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06" w:rsidRDefault="00653906" w:rsidP="00653906">
      <w:pPr>
        <w:spacing w:line="60" w:lineRule="exact"/>
        <w:rPr>
          <w:sz w:val="6"/>
        </w:rPr>
        <w:sectPr w:rsidR="00653906" w:rsidSect="0065390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742699" w:rsidRPr="00456197" w:rsidRDefault="00742699" w:rsidP="008C632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60"/>
        <w:ind w:left="0" w:right="1260"/>
        <w:rPr>
          <w:rFonts w:ascii="黑体" w:eastAsia="黑体" w:hAnsi="黑体"/>
        </w:rPr>
      </w:pPr>
      <w:r w:rsidRPr="00456197">
        <w:rPr>
          <w:rFonts w:ascii="黑体" w:eastAsia="黑体" w:hAnsi="黑体" w:hint="eastAsia"/>
        </w:rPr>
        <w:lastRenderedPageBreak/>
        <w:t>2016年届会</w:t>
      </w:r>
    </w:p>
    <w:p w:rsidR="00742699" w:rsidRDefault="00742699" w:rsidP="008C632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60"/>
        <w:ind w:left="0" w:right="1260"/>
      </w:pPr>
      <w:r>
        <w:rPr>
          <w:rFonts w:hint="eastAsia"/>
        </w:rPr>
        <w:t>2015</w:t>
      </w:r>
      <w:r>
        <w:rPr>
          <w:rFonts w:hint="eastAsia"/>
        </w:rPr>
        <w:t>年</w:t>
      </w:r>
      <w:r>
        <w:rPr>
          <w:rFonts w:hint="eastAsia"/>
        </w:rPr>
        <w:t>7</w:t>
      </w:r>
      <w:r>
        <w:rPr>
          <w:rFonts w:hint="eastAsia"/>
        </w:rPr>
        <w:t>月</w:t>
      </w:r>
      <w:r>
        <w:rPr>
          <w:rFonts w:hint="eastAsia"/>
        </w:rPr>
        <w:t>24</w:t>
      </w:r>
      <w:r>
        <w:rPr>
          <w:rFonts w:hint="eastAsia"/>
        </w:rPr>
        <w:t>日至</w:t>
      </w:r>
      <w:r>
        <w:rPr>
          <w:rFonts w:hint="eastAsia"/>
        </w:rPr>
        <w:t>2016</w:t>
      </w:r>
      <w:r>
        <w:rPr>
          <w:rFonts w:hint="eastAsia"/>
        </w:rPr>
        <w:t>年</w:t>
      </w:r>
      <w:r>
        <w:rPr>
          <w:rFonts w:hint="eastAsia"/>
        </w:rPr>
        <w:t>7</w:t>
      </w:r>
      <w:r>
        <w:rPr>
          <w:rFonts w:hint="eastAsia"/>
        </w:rPr>
        <w:t>月</w:t>
      </w:r>
      <w:r>
        <w:rPr>
          <w:rFonts w:hint="eastAsia"/>
        </w:rPr>
        <w:t>27</w:t>
      </w:r>
      <w:r>
        <w:rPr>
          <w:rFonts w:hint="eastAsia"/>
        </w:rPr>
        <w:t>日</w:t>
      </w:r>
    </w:p>
    <w:p w:rsidR="00742699" w:rsidRDefault="00742699" w:rsidP="008C632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60"/>
        <w:ind w:left="0" w:right="1260"/>
      </w:pPr>
      <w:r>
        <w:rPr>
          <w:rFonts w:hint="eastAsia"/>
        </w:rPr>
        <w:t>议程项目</w:t>
      </w:r>
      <w:r>
        <w:rPr>
          <w:rFonts w:hint="eastAsia"/>
        </w:rPr>
        <w:t>5(c)</w:t>
      </w:r>
    </w:p>
    <w:p w:rsidR="00742699" w:rsidRPr="00456197" w:rsidRDefault="00742699" w:rsidP="008C632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60"/>
        <w:ind w:left="0" w:right="1260"/>
        <w:rPr>
          <w:rFonts w:ascii="黑体" w:eastAsia="黑体" w:hAnsi="黑体"/>
        </w:rPr>
      </w:pPr>
      <w:r w:rsidRPr="00456197">
        <w:rPr>
          <w:rFonts w:ascii="黑体" w:eastAsia="黑体" w:hAnsi="黑体" w:hint="eastAsia"/>
        </w:rPr>
        <w:t>高级别部分：发展合作论坛</w:t>
      </w:r>
    </w:p>
    <w:p w:rsidR="00742699" w:rsidRPr="00742699" w:rsidRDefault="00742699" w:rsidP="00742699">
      <w:pPr>
        <w:pStyle w:val="SingleTxt"/>
        <w:spacing w:after="0" w:line="120" w:lineRule="exact"/>
        <w:ind w:right="0"/>
        <w:rPr>
          <w:sz w:val="10"/>
        </w:rPr>
      </w:pPr>
    </w:p>
    <w:p w:rsidR="00742699" w:rsidRPr="00742699" w:rsidRDefault="00742699" w:rsidP="00742699">
      <w:pPr>
        <w:pStyle w:val="SingleTxt"/>
        <w:spacing w:after="0" w:line="120" w:lineRule="exact"/>
        <w:ind w:right="0"/>
        <w:rPr>
          <w:sz w:val="10"/>
        </w:rPr>
      </w:pPr>
    </w:p>
    <w:p w:rsidR="00742699" w:rsidRPr="00742699" w:rsidRDefault="00742699" w:rsidP="00742699">
      <w:pPr>
        <w:pStyle w:val="SingleTxt"/>
        <w:spacing w:after="0" w:line="120" w:lineRule="exact"/>
        <w:ind w:right="0"/>
        <w:rPr>
          <w:sz w:val="10"/>
        </w:rPr>
      </w:pPr>
    </w:p>
    <w:p w:rsidR="00742699" w:rsidRDefault="00742699" w:rsidP="0074269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国际发展合作的趋势与进展</w:t>
      </w:r>
    </w:p>
    <w:p w:rsidR="00742699" w:rsidRPr="00742699" w:rsidRDefault="00742699" w:rsidP="00742699">
      <w:pPr>
        <w:pStyle w:val="SingleTxt"/>
        <w:spacing w:after="0" w:line="120" w:lineRule="exact"/>
        <w:ind w:right="0"/>
        <w:rPr>
          <w:sz w:val="10"/>
        </w:rPr>
      </w:pPr>
    </w:p>
    <w:p w:rsidR="00742699" w:rsidRPr="00742699" w:rsidRDefault="00742699" w:rsidP="00742699">
      <w:pPr>
        <w:pStyle w:val="SingleTxt"/>
        <w:spacing w:after="0" w:line="120" w:lineRule="exact"/>
        <w:ind w:right="0"/>
        <w:rPr>
          <w:sz w:val="10"/>
        </w:rPr>
      </w:pPr>
    </w:p>
    <w:p w:rsidR="00742699" w:rsidRDefault="00742699" w:rsidP="007426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Pr>
          <w:rFonts w:hint="eastAsia"/>
        </w:rPr>
        <w:tab/>
      </w:r>
      <w:r>
        <w:rPr>
          <w:rFonts w:hint="eastAsia"/>
        </w:rPr>
        <w:tab/>
        <w:t>秘书长的报告</w:t>
      </w: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42699" w:rsidTr="002F4B77">
        <w:tc>
          <w:tcPr>
            <w:tcW w:w="9922" w:type="dxa"/>
            <w:tcBorders>
              <w:top w:val="single" w:sz="2" w:space="0" w:color="auto"/>
            </w:tcBorders>
            <w:shd w:val="clear" w:color="auto" w:fill="auto"/>
          </w:tcPr>
          <w:p w:rsidR="00742699" w:rsidRPr="00A33873" w:rsidRDefault="00742699" w:rsidP="002F4B77">
            <w:pPr>
              <w:tabs>
                <w:tab w:val="left" w:pos="240"/>
              </w:tabs>
              <w:spacing w:before="240" w:after="120"/>
              <w:rPr>
                <w:rFonts w:eastAsia="楷体"/>
                <w:sz w:val="24"/>
              </w:rPr>
            </w:pPr>
            <w:r>
              <w:rPr>
                <w:rFonts w:eastAsia="楷体" w:hint="eastAsia"/>
                <w:sz w:val="24"/>
              </w:rPr>
              <w:tab/>
            </w:r>
            <w:r>
              <w:rPr>
                <w:rFonts w:eastAsia="楷体" w:hint="eastAsia"/>
                <w:sz w:val="24"/>
              </w:rPr>
              <w:t>摘要</w:t>
            </w:r>
          </w:p>
        </w:tc>
      </w:tr>
      <w:tr w:rsidR="00742699" w:rsidTr="002F4B77">
        <w:tc>
          <w:tcPr>
            <w:tcW w:w="9922" w:type="dxa"/>
            <w:shd w:val="clear" w:color="auto" w:fill="auto"/>
          </w:tcPr>
          <w:p w:rsidR="00742699" w:rsidRPr="00A33873" w:rsidRDefault="00742699" w:rsidP="002F4B77">
            <w:pPr>
              <w:pStyle w:val="SingleTxt"/>
            </w:pPr>
            <w:r>
              <w:tab/>
            </w:r>
            <w:r w:rsidRPr="00A33873">
              <w:rPr>
                <w:rFonts w:hint="eastAsia"/>
              </w:rPr>
              <w:t>发展合作论坛第五次两年期高级别会议将于</w:t>
            </w:r>
            <w:r>
              <w:rPr>
                <w:rFonts w:hint="eastAsia"/>
              </w:rPr>
              <w:t>2016</w:t>
            </w:r>
            <w:r w:rsidRPr="00A33873">
              <w:rPr>
                <w:rFonts w:hint="eastAsia"/>
              </w:rPr>
              <w:t>年</w:t>
            </w:r>
            <w:r>
              <w:rPr>
                <w:rFonts w:hint="eastAsia"/>
              </w:rPr>
              <w:t>7</w:t>
            </w:r>
            <w:r w:rsidRPr="00A33873">
              <w:rPr>
                <w:rFonts w:hint="eastAsia"/>
              </w:rPr>
              <w:t>月</w:t>
            </w:r>
            <w:r>
              <w:rPr>
                <w:rFonts w:hint="eastAsia"/>
              </w:rPr>
              <w:t>21</w:t>
            </w:r>
            <w:r w:rsidRPr="00A33873">
              <w:rPr>
                <w:rFonts w:hint="eastAsia"/>
              </w:rPr>
              <w:t>日和</w:t>
            </w:r>
            <w:r>
              <w:rPr>
                <w:rFonts w:hint="eastAsia"/>
              </w:rPr>
              <w:t>22</w:t>
            </w:r>
            <w:r w:rsidRPr="00A33873">
              <w:rPr>
                <w:rFonts w:hint="eastAsia"/>
              </w:rPr>
              <w:t>日在纽约举行，在会议举行之前，秘书长根据大会第</w:t>
            </w:r>
            <w:hyperlink r:id="rId16" w:history="1">
              <w:r w:rsidRPr="00E24254">
                <w:rPr>
                  <w:rStyle w:val="ad"/>
                  <w:rFonts w:hint="eastAsia"/>
                </w:rPr>
                <w:t>61/16</w:t>
              </w:r>
            </w:hyperlink>
            <w:r w:rsidRPr="00A33873">
              <w:rPr>
                <w:rFonts w:hint="eastAsia"/>
              </w:rPr>
              <w:t>号和第</w:t>
            </w:r>
            <w:hyperlink r:id="rId17" w:history="1">
              <w:r w:rsidRPr="00E24254">
                <w:rPr>
                  <w:rStyle w:val="ad"/>
                  <w:rFonts w:hint="eastAsia"/>
                </w:rPr>
                <w:t>68/1</w:t>
              </w:r>
            </w:hyperlink>
            <w:r w:rsidRPr="00A33873">
              <w:rPr>
                <w:rFonts w:hint="eastAsia"/>
              </w:rPr>
              <w:t>号决议的规定提交本报告，供论坛审议。报告是在两年期筹备工作的基础上编制的。第一节介绍了报告及其发展合作概念框架，其中涵盖资金、能力建设、技术开发和转让、政策变化和多方利益攸关方伙伴关系。第二节从《</w:t>
            </w:r>
            <w:r w:rsidRPr="00A33873">
              <w:rPr>
                <w:rFonts w:hint="eastAsia"/>
              </w:rPr>
              <w:t>2030</w:t>
            </w:r>
            <w:r w:rsidRPr="00A33873">
              <w:rPr>
                <w:rFonts w:hint="eastAsia"/>
              </w:rPr>
              <w:t>年可持续发展议程》的角度阐述了发展合作资金流动的近期趋势；特别注意提高官方发展援助的针对性和更好地分配这种援助；使发展合作与南南合作的迅速发展协调一致。第三节讨论了在可持续发展目标范畴内需要为发展合作进行哪些调整，以及有效的发展合作对落实这些目标意味着什么。第四节述及从地方、国家、区域和全球各不同层面对在《</w:t>
            </w:r>
            <w:r w:rsidRPr="00A33873">
              <w:rPr>
                <w:rFonts w:hint="eastAsia"/>
              </w:rPr>
              <w:t>2030</w:t>
            </w:r>
            <w:r w:rsidRPr="00A33873">
              <w:rPr>
                <w:rFonts w:hint="eastAsia"/>
              </w:rPr>
              <w:t>年议程》下作出的发展承诺进行的监测、审查和问责所发挥的相辅相成的独特作用。第五节重点介绍了主要建议和结论。</w:t>
            </w:r>
          </w:p>
        </w:tc>
      </w:tr>
      <w:tr w:rsidR="00742699" w:rsidTr="002F4B77">
        <w:tc>
          <w:tcPr>
            <w:tcW w:w="9922" w:type="dxa"/>
            <w:tcBorders>
              <w:bottom w:val="single" w:sz="2" w:space="0" w:color="auto"/>
            </w:tcBorders>
            <w:shd w:val="clear" w:color="auto" w:fill="auto"/>
          </w:tcPr>
          <w:p w:rsidR="00742699" w:rsidRPr="00A33873" w:rsidRDefault="00742699" w:rsidP="002F4B77">
            <w:pPr>
              <w:pStyle w:val="SingleTxt"/>
              <w:spacing w:after="0" w:line="120" w:lineRule="exact"/>
            </w:pPr>
          </w:p>
        </w:tc>
      </w:tr>
    </w:tbl>
    <w:p w:rsidR="00742699" w:rsidRDefault="00742699" w:rsidP="00293DD6">
      <w:pPr>
        <w:pStyle w:val="SingleTxt"/>
      </w:pPr>
    </w:p>
    <w:p w:rsidR="00742699" w:rsidRDefault="00742699" w:rsidP="00293DD6">
      <w:pPr>
        <w:spacing w:line="240" w:lineRule="auto"/>
        <w:jc w:val="left"/>
      </w:pPr>
      <w:r>
        <w:br w:type="page"/>
      </w:r>
    </w:p>
    <w:p w:rsidR="00742699" w:rsidRDefault="00742699" w:rsidP="00293DD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t>一.</w:t>
      </w:r>
      <w:r>
        <w:rPr>
          <w:rFonts w:hint="eastAsia"/>
        </w:rPr>
        <w:tab/>
        <w:t>导言</w:t>
      </w:r>
    </w:p>
    <w:p w:rsidR="008C632F" w:rsidRPr="008C632F" w:rsidRDefault="008C632F" w:rsidP="008C632F">
      <w:pPr>
        <w:pStyle w:val="SingleTxt"/>
        <w:spacing w:after="0" w:line="120" w:lineRule="exact"/>
        <w:rPr>
          <w:sz w:val="10"/>
        </w:rPr>
      </w:pPr>
    </w:p>
    <w:p w:rsidR="008C632F" w:rsidRPr="008C632F" w:rsidRDefault="008C632F" w:rsidP="008C632F">
      <w:pPr>
        <w:pStyle w:val="SingleTxt"/>
        <w:spacing w:after="0" w:line="120" w:lineRule="exact"/>
        <w:rPr>
          <w:sz w:val="10"/>
        </w:rPr>
      </w:pPr>
    </w:p>
    <w:p w:rsidR="00742699" w:rsidRPr="008C632F" w:rsidRDefault="00742699" w:rsidP="00293DD6">
      <w:pPr>
        <w:pStyle w:val="SingleTxt"/>
      </w:pPr>
      <w:r>
        <w:rPr>
          <w:rFonts w:hint="eastAsia"/>
        </w:rPr>
        <w:t>1.</w:t>
      </w:r>
      <w:r>
        <w:rPr>
          <w:rFonts w:hint="eastAsia"/>
        </w:rPr>
        <w:tab/>
      </w:r>
      <w:r w:rsidRPr="008C632F">
        <w:rPr>
          <w:rFonts w:hint="eastAsia"/>
        </w:rPr>
        <w:t>发展合作论坛为开展关于发展合作问题的包容各方的循证政策对话提供了全面的空间。论坛侧重于知识共享和相互学习，以便实现更好的可持续发展成果，促进发展政策的协调一致以及不同行为体和不同活动的协调一致。论坛汇聚了发展中国家和发达国家的决策者和专家、议员、民间社会组织、国际组织、地方当局、慈善组织和私营部门代表。</w:t>
      </w:r>
      <w:r w:rsidRPr="008C632F">
        <w:rPr>
          <w:rStyle w:val="a3"/>
          <w:w w:val="100"/>
        </w:rPr>
        <w:footnoteReference w:id="1"/>
      </w:r>
      <w:r w:rsidR="008C632F" w:rsidRPr="008C632F">
        <w:t xml:space="preserve"> </w:t>
      </w:r>
      <w:r w:rsidRPr="008C632F">
        <w:rPr>
          <w:rFonts w:hint="eastAsia"/>
        </w:rPr>
        <w:t>论坛对所有会员国开放，是经济及社会理事会的一个核心职能，而该理事会在对《</w:t>
      </w:r>
      <w:r w:rsidRPr="008C632F">
        <w:rPr>
          <w:rFonts w:hint="eastAsia"/>
        </w:rPr>
        <w:t>2030</w:t>
      </w:r>
      <w:r w:rsidRPr="008C632F">
        <w:rPr>
          <w:rFonts w:hint="eastAsia"/>
        </w:rPr>
        <w:t>年可持续发展议程》</w:t>
      </w:r>
      <w:r w:rsidRPr="008C632F">
        <w:rPr>
          <w:rStyle w:val="a3"/>
          <w:w w:val="100"/>
        </w:rPr>
        <w:footnoteReference w:id="2"/>
      </w:r>
      <w:r w:rsidR="008C632F" w:rsidRPr="008C632F">
        <w:t xml:space="preserve"> </w:t>
      </w:r>
      <w:r w:rsidRPr="008C632F">
        <w:rPr>
          <w:rFonts w:hint="eastAsia"/>
        </w:rPr>
        <w:t>和《第三次发展筹资问题国际会议亚的斯亚贝巴行动议程》采取后续行动和进行审查方面发挥全球一级的重要作用。</w:t>
      </w:r>
      <w:r w:rsidRPr="008C632F">
        <w:rPr>
          <w:rStyle w:val="a3"/>
          <w:w w:val="100"/>
        </w:rPr>
        <w:footnoteReference w:id="3"/>
      </w:r>
    </w:p>
    <w:p w:rsidR="00742699" w:rsidRPr="00727D0F" w:rsidRDefault="00742699" w:rsidP="00293DD6">
      <w:pPr>
        <w:pStyle w:val="SingleTxt"/>
        <w:rPr>
          <w:spacing w:val="-4"/>
        </w:rPr>
      </w:pPr>
      <w:r>
        <w:rPr>
          <w:rFonts w:hint="eastAsia"/>
        </w:rPr>
        <w:t>2.</w:t>
      </w:r>
      <w:r>
        <w:rPr>
          <w:rFonts w:hint="eastAsia"/>
        </w:rPr>
        <w:tab/>
      </w:r>
      <w:r w:rsidRPr="00727D0F">
        <w:rPr>
          <w:rFonts w:hint="eastAsia"/>
          <w:spacing w:val="4"/>
        </w:rPr>
        <w:t>发展合作论坛</w:t>
      </w:r>
      <w:r w:rsidRPr="00727D0F">
        <w:rPr>
          <w:rFonts w:hint="eastAsia"/>
          <w:spacing w:val="4"/>
        </w:rPr>
        <w:t>2016</w:t>
      </w:r>
      <w:r w:rsidRPr="00727D0F">
        <w:rPr>
          <w:rFonts w:hint="eastAsia"/>
          <w:spacing w:val="4"/>
        </w:rPr>
        <w:t>年高级别会议将于</w:t>
      </w:r>
      <w:r w:rsidRPr="00727D0F">
        <w:rPr>
          <w:rFonts w:hint="eastAsia"/>
          <w:spacing w:val="4"/>
        </w:rPr>
        <w:t>2016</w:t>
      </w:r>
      <w:r w:rsidRPr="00727D0F">
        <w:rPr>
          <w:rFonts w:hint="eastAsia"/>
          <w:spacing w:val="4"/>
        </w:rPr>
        <w:t>年</w:t>
      </w:r>
      <w:r w:rsidRPr="00727D0F">
        <w:rPr>
          <w:rFonts w:hint="eastAsia"/>
          <w:spacing w:val="4"/>
        </w:rPr>
        <w:t>7</w:t>
      </w:r>
      <w:r w:rsidRPr="00727D0F">
        <w:rPr>
          <w:rFonts w:hint="eastAsia"/>
          <w:spacing w:val="4"/>
        </w:rPr>
        <w:t>月</w:t>
      </w:r>
      <w:r w:rsidRPr="00727D0F">
        <w:rPr>
          <w:rFonts w:hint="eastAsia"/>
          <w:spacing w:val="4"/>
        </w:rPr>
        <w:t>21</w:t>
      </w:r>
      <w:r w:rsidRPr="00727D0F">
        <w:rPr>
          <w:rFonts w:hint="eastAsia"/>
          <w:spacing w:val="4"/>
        </w:rPr>
        <w:t>日和</w:t>
      </w:r>
      <w:r w:rsidRPr="00727D0F">
        <w:rPr>
          <w:rFonts w:hint="eastAsia"/>
          <w:spacing w:val="4"/>
        </w:rPr>
        <w:t>22</w:t>
      </w:r>
      <w:r w:rsidRPr="00727D0F">
        <w:rPr>
          <w:rFonts w:hint="eastAsia"/>
          <w:spacing w:val="4"/>
        </w:rPr>
        <w:t>日举行，本报告是在这次会议的两年期筹备工作的基础上编写的，其中将分析工作与利益攸关方的参与以及在大韩民国</w:t>
      </w:r>
      <w:r w:rsidRPr="00727D0F">
        <w:rPr>
          <w:rFonts w:hint="eastAsia"/>
          <w:spacing w:val="4"/>
        </w:rPr>
        <w:t>(2015</w:t>
      </w:r>
      <w:r w:rsidRPr="00727D0F">
        <w:rPr>
          <w:rFonts w:hint="eastAsia"/>
          <w:spacing w:val="4"/>
        </w:rPr>
        <w:t>年</w:t>
      </w:r>
      <w:r w:rsidRPr="00727D0F">
        <w:rPr>
          <w:rFonts w:hint="eastAsia"/>
          <w:spacing w:val="4"/>
        </w:rPr>
        <w:t>4</w:t>
      </w:r>
      <w:r w:rsidRPr="00727D0F">
        <w:rPr>
          <w:rFonts w:hint="eastAsia"/>
          <w:spacing w:val="4"/>
        </w:rPr>
        <w:t>月</w:t>
      </w:r>
      <w:r w:rsidRPr="00727D0F">
        <w:rPr>
          <w:rFonts w:hint="eastAsia"/>
          <w:spacing w:val="4"/>
        </w:rPr>
        <w:t>8</w:t>
      </w:r>
      <w:r w:rsidRPr="00727D0F">
        <w:rPr>
          <w:rFonts w:hint="eastAsia"/>
          <w:spacing w:val="4"/>
        </w:rPr>
        <w:t>日至</w:t>
      </w:r>
      <w:r w:rsidRPr="00727D0F">
        <w:rPr>
          <w:rFonts w:hint="eastAsia"/>
          <w:spacing w:val="4"/>
        </w:rPr>
        <w:t>10</w:t>
      </w:r>
      <w:r w:rsidRPr="00727D0F">
        <w:rPr>
          <w:rFonts w:hint="eastAsia"/>
          <w:spacing w:val="4"/>
        </w:rPr>
        <w:t>日</w:t>
      </w:r>
      <w:r w:rsidRPr="00727D0F">
        <w:rPr>
          <w:rFonts w:hint="eastAsia"/>
          <w:spacing w:val="4"/>
        </w:rPr>
        <w:t>)</w:t>
      </w:r>
      <w:r w:rsidRPr="00727D0F">
        <w:rPr>
          <w:rFonts w:hint="eastAsia"/>
          <w:spacing w:val="4"/>
        </w:rPr>
        <w:t>、乌干达</w:t>
      </w:r>
      <w:r w:rsidRPr="00727D0F">
        <w:rPr>
          <w:rFonts w:hint="eastAsia"/>
          <w:spacing w:val="4"/>
        </w:rPr>
        <w:t>(2015</w:t>
      </w:r>
      <w:r w:rsidRPr="00727D0F">
        <w:rPr>
          <w:rFonts w:hint="eastAsia"/>
          <w:spacing w:val="4"/>
        </w:rPr>
        <w:t>年</w:t>
      </w:r>
      <w:r w:rsidRPr="00727D0F">
        <w:rPr>
          <w:rFonts w:hint="eastAsia"/>
          <w:spacing w:val="4"/>
        </w:rPr>
        <w:t>11</w:t>
      </w:r>
      <w:r w:rsidRPr="00727D0F">
        <w:rPr>
          <w:rFonts w:hint="eastAsia"/>
          <w:spacing w:val="4"/>
        </w:rPr>
        <w:t>月</w:t>
      </w:r>
      <w:r w:rsidRPr="00727D0F">
        <w:rPr>
          <w:rFonts w:hint="eastAsia"/>
          <w:spacing w:val="4"/>
        </w:rPr>
        <w:t>4</w:t>
      </w:r>
      <w:r w:rsidRPr="00727D0F">
        <w:rPr>
          <w:rFonts w:hint="eastAsia"/>
          <w:spacing w:val="4"/>
        </w:rPr>
        <w:t>日至</w:t>
      </w:r>
      <w:r w:rsidRPr="00727D0F">
        <w:rPr>
          <w:rFonts w:hint="eastAsia"/>
          <w:spacing w:val="4"/>
        </w:rPr>
        <w:t>6</w:t>
      </w:r>
      <w:r w:rsidRPr="00727D0F">
        <w:rPr>
          <w:rFonts w:hint="eastAsia"/>
          <w:spacing w:val="4"/>
        </w:rPr>
        <w:t>日</w:t>
      </w:r>
      <w:r w:rsidRPr="00727D0F">
        <w:rPr>
          <w:rFonts w:hint="eastAsia"/>
          <w:spacing w:val="4"/>
        </w:rPr>
        <w:t>)</w:t>
      </w:r>
      <w:r w:rsidRPr="00727D0F">
        <w:rPr>
          <w:rFonts w:hint="eastAsia"/>
          <w:spacing w:val="4"/>
        </w:rPr>
        <w:t>和</w:t>
      </w:r>
      <w:r>
        <w:rPr>
          <w:rFonts w:hint="eastAsia"/>
        </w:rPr>
        <w:t>比利时</w:t>
      </w:r>
      <w:r>
        <w:rPr>
          <w:rFonts w:hint="eastAsia"/>
        </w:rPr>
        <w:t>(2016</w:t>
      </w:r>
      <w:r>
        <w:rPr>
          <w:rFonts w:hint="eastAsia"/>
        </w:rPr>
        <w:t>年</w:t>
      </w:r>
      <w:r>
        <w:rPr>
          <w:rFonts w:hint="eastAsia"/>
        </w:rPr>
        <w:t>4</w:t>
      </w:r>
      <w:r>
        <w:rPr>
          <w:rFonts w:hint="eastAsia"/>
        </w:rPr>
        <w:t>月</w:t>
      </w:r>
      <w:r>
        <w:rPr>
          <w:rFonts w:hint="eastAsia"/>
        </w:rPr>
        <w:t>6</w:t>
      </w:r>
      <w:r>
        <w:rPr>
          <w:rFonts w:hint="eastAsia"/>
        </w:rPr>
        <w:t>日至</w:t>
      </w:r>
      <w:r>
        <w:rPr>
          <w:rFonts w:hint="eastAsia"/>
        </w:rPr>
        <w:t>8</w:t>
      </w:r>
      <w:r>
        <w:rPr>
          <w:rFonts w:hint="eastAsia"/>
        </w:rPr>
        <w:t>日</w:t>
      </w:r>
      <w:r>
        <w:rPr>
          <w:rFonts w:hint="eastAsia"/>
        </w:rPr>
        <w:t>)</w:t>
      </w:r>
      <w:r>
        <w:rPr>
          <w:rFonts w:hint="eastAsia"/>
        </w:rPr>
        <w:t>举行的高级别筹备专题讨论会结合起来。</w:t>
      </w:r>
      <w:r w:rsidRPr="008C632F">
        <w:rPr>
          <w:rStyle w:val="a3"/>
        </w:rPr>
        <w:footnoteReference w:id="4"/>
      </w:r>
      <w:r>
        <w:rPr>
          <w:rFonts w:hint="eastAsia"/>
        </w:rPr>
        <w:t xml:space="preserve"> </w:t>
      </w:r>
      <w:r w:rsidRPr="00727D0F">
        <w:rPr>
          <w:rFonts w:hint="eastAsia"/>
          <w:spacing w:val="-4"/>
        </w:rPr>
        <w:t>2014-2016</w:t>
      </w:r>
      <w:r w:rsidRPr="00727D0F">
        <w:rPr>
          <w:rFonts w:hint="eastAsia"/>
          <w:spacing w:val="-4"/>
        </w:rPr>
        <w:t>年论坛周期的目标是：</w:t>
      </w:r>
      <w:r w:rsidRPr="00727D0F">
        <w:rPr>
          <w:rFonts w:hint="eastAsia"/>
          <w:spacing w:val="-4"/>
        </w:rPr>
        <w:t xml:space="preserve">(a) </w:t>
      </w:r>
      <w:r w:rsidRPr="00727D0F">
        <w:rPr>
          <w:rFonts w:hint="eastAsia"/>
          <w:spacing w:val="-4"/>
        </w:rPr>
        <w:t>探讨发展合作如何能够应对发展中国家的需求和挑战，重点放在处境特殊的国家上；</w:t>
      </w:r>
      <w:r w:rsidRPr="00727D0F">
        <w:rPr>
          <w:rFonts w:hint="eastAsia"/>
          <w:spacing w:val="-4"/>
        </w:rPr>
        <w:t xml:space="preserve">(b) </w:t>
      </w:r>
      <w:r w:rsidRPr="00727D0F">
        <w:rPr>
          <w:rFonts w:hint="eastAsia"/>
          <w:spacing w:val="-4"/>
        </w:rPr>
        <w:t>审查与日益复杂的发展合作局面有关的挑战和机遇，包括官方发展援助不断变化的作用，以及使各行为体和所有现有执行手段与《</w:t>
      </w:r>
      <w:r w:rsidRPr="00727D0F">
        <w:rPr>
          <w:rFonts w:hint="eastAsia"/>
          <w:spacing w:val="-4"/>
        </w:rPr>
        <w:t>2030</w:t>
      </w:r>
      <w:r w:rsidRPr="00727D0F">
        <w:rPr>
          <w:rFonts w:hint="eastAsia"/>
          <w:spacing w:val="-4"/>
        </w:rPr>
        <w:t>年议程》一致的必要性；</w:t>
      </w:r>
      <w:r w:rsidRPr="00727D0F">
        <w:rPr>
          <w:rFonts w:hint="eastAsia"/>
          <w:spacing w:val="-4"/>
        </w:rPr>
        <w:t xml:space="preserve">(c) </w:t>
      </w:r>
      <w:r w:rsidRPr="00727D0F">
        <w:rPr>
          <w:rFonts w:hint="eastAsia"/>
          <w:spacing w:val="-4"/>
        </w:rPr>
        <w:t>推动发展合作南方伙伴间的政策对话；</w:t>
      </w:r>
      <w:r w:rsidRPr="00727D0F">
        <w:rPr>
          <w:rFonts w:hint="eastAsia"/>
          <w:spacing w:val="-4"/>
        </w:rPr>
        <w:t xml:space="preserve">(d) </w:t>
      </w:r>
      <w:r w:rsidRPr="00727D0F">
        <w:rPr>
          <w:rFonts w:hint="eastAsia"/>
          <w:spacing w:val="-4"/>
        </w:rPr>
        <w:t>就各级对发展合作承诺的监测、审查和问责提供进一步指导。</w:t>
      </w:r>
    </w:p>
    <w:p w:rsidR="00742699" w:rsidRDefault="00742699" w:rsidP="008C632F">
      <w:pPr>
        <w:pStyle w:val="SingleTxt"/>
        <w:spacing w:after="260"/>
      </w:pPr>
      <w:r>
        <w:rPr>
          <w:rFonts w:hint="eastAsia"/>
        </w:rPr>
        <w:t>3.</w:t>
      </w:r>
      <w:r>
        <w:rPr>
          <w:rFonts w:hint="eastAsia"/>
        </w:rPr>
        <w:tab/>
      </w:r>
      <w:r>
        <w:rPr>
          <w:rFonts w:hint="eastAsia"/>
        </w:rPr>
        <w:t>在筹备进程中提出的总主题是，发展合作的重要性和巨大潜力。从广义上讲，发展合作是有效执行《</w:t>
      </w:r>
      <w:r>
        <w:rPr>
          <w:rFonts w:hint="eastAsia"/>
        </w:rPr>
        <w:t>2030</w:t>
      </w:r>
      <w:r>
        <w:rPr>
          <w:rFonts w:hint="eastAsia"/>
        </w:rPr>
        <w:t>年议程》的手段。</w:t>
      </w:r>
    </w:p>
    <w:p w:rsidR="00742699" w:rsidRDefault="00742699" w:rsidP="00293DD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二.</w:t>
      </w:r>
      <w:r>
        <w:rPr>
          <w:rFonts w:hint="eastAsia"/>
        </w:rPr>
        <w:tab/>
        <w:t>近期趋势</w:t>
      </w:r>
    </w:p>
    <w:p w:rsidR="00742699" w:rsidRPr="00CA7C90" w:rsidRDefault="00742699" w:rsidP="00293DD6">
      <w:pPr>
        <w:pStyle w:val="SingleTxt"/>
        <w:spacing w:after="0" w:line="120" w:lineRule="exact"/>
        <w:rPr>
          <w:sz w:val="10"/>
        </w:rPr>
      </w:pPr>
    </w:p>
    <w:p w:rsidR="00742699" w:rsidRPr="00CA7C90" w:rsidRDefault="00742699" w:rsidP="00293DD6">
      <w:pPr>
        <w:pStyle w:val="SingleTxt"/>
        <w:spacing w:after="0" w:line="120" w:lineRule="exact"/>
        <w:rPr>
          <w:sz w:val="10"/>
        </w:rPr>
      </w:pPr>
    </w:p>
    <w:p w:rsidR="00742699" w:rsidRPr="00727D0F" w:rsidRDefault="00742699" w:rsidP="008C632F">
      <w:pPr>
        <w:pStyle w:val="SingleTxt"/>
        <w:spacing w:after="120"/>
        <w:rPr>
          <w:spacing w:val="-4"/>
        </w:rPr>
      </w:pPr>
      <w:r>
        <w:rPr>
          <w:rFonts w:hint="eastAsia"/>
        </w:rPr>
        <w:t>4.</w:t>
      </w:r>
      <w:r>
        <w:rPr>
          <w:rFonts w:hint="eastAsia"/>
        </w:rPr>
        <w:tab/>
      </w:r>
      <w:r>
        <w:rPr>
          <w:rFonts w:hint="eastAsia"/>
        </w:rPr>
        <w:t>《</w:t>
      </w:r>
      <w:r>
        <w:rPr>
          <w:rFonts w:hint="eastAsia"/>
        </w:rPr>
        <w:t>2030</w:t>
      </w:r>
      <w:r>
        <w:rPr>
          <w:rFonts w:hint="eastAsia"/>
        </w:rPr>
        <w:t>年议程》与《亚的斯亚贝巴行动议程》、《联合国气候变化框架公约》下的《巴黎协定》和《</w:t>
      </w:r>
      <w:r>
        <w:rPr>
          <w:rFonts w:hint="eastAsia"/>
        </w:rPr>
        <w:t>2015-2030</w:t>
      </w:r>
      <w:r>
        <w:rPr>
          <w:rFonts w:hint="eastAsia"/>
        </w:rPr>
        <w:t>年仙台减少灾害风险框架》为发展合作提供了全面的框架。</w:t>
      </w:r>
      <w:r w:rsidRPr="00727D0F">
        <w:rPr>
          <w:rFonts w:hint="eastAsia"/>
          <w:spacing w:val="-4"/>
        </w:rPr>
        <w:t>在发展合作论坛</w:t>
      </w:r>
      <w:r w:rsidRPr="00727D0F">
        <w:rPr>
          <w:rFonts w:hint="eastAsia"/>
          <w:spacing w:val="-4"/>
        </w:rPr>
        <w:t>2014-2016</w:t>
      </w:r>
      <w:r w:rsidRPr="00727D0F">
        <w:rPr>
          <w:rFonts w:hint="eastAsia"/>
          <w:spacing w:val="-4"/>
        </w:rPr>
        <w:t>年周期开始时开展了范围界定工作，并确定了发展合作的工作定义，即它是一种旨在明确支持国家或国际发展优先事项的活动，并非主要由利润驱动，优待发展中国家，基于力求加强发展中国家自主权的合作关系。这一定义并非用于衡量的目的，而是作为一个概念框架帮助制定各种参数，用于讨论可持续发展目标范畴内的发展合作的目的、特点和种类。</w:t>
      </w:r>
      <w:r w:rsidRPr="008C632F">
        <w:rPr>
          <w:rStyle w:val="a3"/>
          <w:spacing w:val="-4"/>
        </w:rPr>
        <w:footnoteReference w:id="5"/>
      </w:r>
    </w:p>
    <w:p w:rsidR="00742699" w:rsidRPr="00727D0F" w:rsidRDefault="00742699" w:rsidP="008C632F">
      <w:pPr>
        <w:pStyle w:val="SingleTxt"/>
        <w:spacing w:after="120" w:line="316" w:lineRule="exact"/>
        <w:rPr>
          <w:spacing w:val="4"/>
        </w:rPr>
      </w:pPr>
      <w:r>
        <w:rPr>
          <w:rFonts w:hint="eastAsia"/>
        </w:rPr>
        <w:t>5.</w:t>
      </w:r>
      <w:r>
        <w:rPr>
          <w:rFonts w:hint="eastAsia"/>
        </w:rPr>
        <w:tab/>
      </w:r>
      <w:r w:rsidRPr="008C632F">
        <w:rPr>
          <w:rFonts w:hint="eastAsia"/>
          <w:spacing w:val="-2"/>
        </w:rPr>
        <w:t>从这一角度来看，发展合作需要采取以下几个方式的广泛国际行动：资金、能力建设、技术开发和转让、政策变化</w:t>
      </w:r>
      <w:r w:rsidRPr="008C632F">
        <w:rPr>
          <w:rFonts w:hint="eastAsia"/>
          <w:spacing w:val="-2"/>
        </w:rPr>
        <w:t>(</w:t>
      </w:r>
      <w:r w:rsidRPr="008C632F">
        <w:rPr>
          <w:rFonts w:hint="eastAsia"/>
          <w:spacing w:val="-2"/>
        </w:rPr>
        <w:t>比如确保国内政策协调一致，帮助解决全球系统性问题</w:t>
      </w:r>
      <w:r w:rsidRPr="008C632F">
        <w:rPr>
          <w:rFonts w:hint="eastAsia"/>
          <w:spacing w:val="-2"/>
        </w:rPr>
        <w:t>)</w:t>
      </w:r>
      <w:r w:rsidRPr="008C632F">
        <w:rPr>
          <w:rFonts w:hint="eastAsia"/>
          <w:spacing w:val="-2"/>
        </w:rPr>
        <w:t>和多利益攸关方伙伴关系。</w:t>
      </w:r>
      <w:r w:rsidRPr="008C632F">
        <w:rPr>
          <w:rStyle w:val="a3"/>
          <w:spacing w:val="-2"/>
          <w:w w:val="100"/>
        </w:rPr>
        <w:footnoteReference w:id="6"/>
      </w:r>
      <w:r w:rsidRPr="008C632F">
        <w:rPr>
          <w:rFonts w:hint="eastAsia"/>
          <w:spacing w:val="-2"/>
        </w:rPr>
        <w:t xml:space="preserve"> </w:t>
      </w:r>
      <w:r w:rsidRPr="008C632F">
        <w:rPr>
          <w:rFonts w:hint="eastAsia"/>
          <w:spacing w:val="-2"/>
        </w:rPr>
        <w:t>鉴于执行《</w:t>
      </w:r>
      <w:r w:rsidRPr="008C632F">
        <w:rPr>
          <w:rFonts w:hint="eastAsia"/>
          <w:spacing w:val="-2"/>
        </w:rPr>
        <w:t>2030</w:t>
      </w:r>
      <w:r w:rsidRPr="008C632F">
        <w:rPr>
          <w:rFonts w:hint="eastAsia"/>
          <w:spacing w:val="-2"/>
        </w:rPr>
        <w:t>年议程》所需的支持规模巨大，范围也很广，所有这些要素都将至关重要。虽然重视数额空前的所需财政资源是适当的做法，</w:t>
      </w:r>
      <w:r w:rsidRPr="008C632F">
        <w:rPr>
          <w:rStyle w:val="a3"/>
          <w:spacing w:val="-2"/>
          <w:w w:val="100"/>
        </w:rPr>
        <w:footnoteReference w:id="7"/>
      </w:r>
      <w:r w:rsidRPr="008C632F">
        <w:rPr>
          <w:rFonts w:hint="eastAsia"/>
          <w:spacing w:val="-2"/>
        </w:rPr>
        <w:t xml:space="preserve"> </w:t>
      </w:r>
      <w:r w:rsidRPr="008C632F">
        <w:rPr>
          <w:rFonts w:hint="eastAsia"/>
          <w:spacing w:val="-2"/>
        </w:rPr>
        <w:t>但可持续发展目标也进一步突出强调非资金形式的发展合作的重要性。本报告中的这一节审视了用于发展合作的资金的近期趋势、提高官方发展援助的针对性以及使这一合作与南南合作的趋势和进展一致等问题</w:t>
      </w:r>
      <w:r w:rsidRPr="00727D0F">
        <w:rPr>
          <w:rFonts w:hint="eastAsia"/>
          <w:spacing w:val="4"/>
        </w:rPr>
        <w:t>。</w:t>
      </w:r>
    </w:p>
    <w:p w:rsidR="00742699" w:rsidRDefault="00742699" w:rsidP="008C632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rPr>
          <w:rFonts w:hint="eastAsia"/>
        </w:rPr>
        <w:tab/>
        <w:t>A.</w:t>
      </w:r>
      <w:r>
        <w:rPr>
          <w:rFonts w:hint="eastAsia"/>
        </w:rPr>
        <w:tab/>
        <w:t>发展合作资金流动的趋势</w:t>
      </w:r>
    </w:p>
    <w:p w:rsidR="00742699" w:rsidRDefault="00742699" w:rsidP="008C632F">
      <w:pPr>
        <w:pStyle w:val="SingleTxt"/>
        <w:spacing w:after="120" w:line="316" w:lineRule="exact"/>
      </w:pPr>
      <w:r>
        <w:rPr>
          <w:rFonts w:hint="eastAsia"/>
        </w:rPr>
        <w:t>6.</w:t>
      </w:r>
      <w:r>
        <w:rPr>
          <w:rFonts w:hint="eastAsia"/>
        </w:rPr>
        <w:tab/>
      </w:r>
      <w:r>
        <w:rPr>
          <w:rFonts w:hint="eastAsia"/>
        </w:rPr>
        <w:t>官方发展援助仍然是发展合作的独特而重要的驱动力。这种援助是为进入国际资本市场机会有限的国家提供的。官方发展援助是唯一的国际公共融资形式，其明确目标是促进发展中国家的发展和福利，</w:t>
      </w:r>
      <w:r w:rsidRPr="008C632F">
        <w:rPr>
          <w:rStyle w:val="a3"/>
        </w:rPr>
        <w:footnoteReference w:id="8"/>
      </w:r>
      <w:r>
        <w:rPr>
          <w:rFonts w:hint="eastAsia"/>
        </w:rPr>
        <w:t xml:space="preserve"> </w:t>
      </w:r>
      <w:r>
        <w:rPr>
          <w:rFonts w:hint="eastAsia"/>
        </w:rPr>
        <w:t>这使其有别于可能以其他因素</w:t>
      </w:r>
      <w:r>
        <w:rPr>
          <w:rFonts w:hint="eastAsia"/>
        </w:rPr>
        <w:t>(</w:t>
      </w:r>
      <w:r>
        <w:rPr>
          <w:rFonts w:hint="eastAsia"/>
        </w:rPr>
        <w:t>比如提供国的出口业绩</w:t>
      </w:r>
      <w:r>
        <w:rPr>
          <w:rFonts w:hint="eastAsia"/>
        </w:rPr>
        <w:t>)</w:t>
      </w:r>
      <w:r>
        <w:rPr>
          <w:rFonts w:hint="eastAsia"/>
        </w:rPr>
        <w:t>为动机的其他国际公共融资形式。</w:t>
      </w:r>
      <w:r w:rsidRPr="008C632F">
        <w:rPr>
          <w:rStyle w:val="a3"/>
        </w:rPr>
        <w:footnoteReference w:id="9"/>
      </w:r>
    </w:p>
    <w:p w:rsidR="00742699" w:rsidRDefault="00742699" w:rsidP="008C632F">
      <w:pPr>
        <w:pStyle w:val="SingleTxt"/>
        <w:spacing w:after="120" w:line="316" w:lineRule="exact"/>
      </w:pPr>
      <w:r>
        <w:rPr>
          <w:rFonts w:hint="eastAsia"/>
        </w:rPr>
        <w:t>7.</w:t>
      </w:r>
      <w:r>
        <w:rPr>
          <w:rFonts w:hint="eastAsia"/>
        </w:rPr>
        <w:tab/>
      </w:r>
      <w:r>
        <w:rPr>
          <w:rFonts w:hint="eastAsia"/>
        </w:rPr>
        <w:t>虽然发展合作为推动和支持执行工作提供多种手段，但没有任何做法可以替代履行对最不发达国家和全球可持续发展伙伴关系作出的现有承诺。</w:t>
      </w:r>
      <w:r w:rsidRPr="008C632F">
        <w:rPr>
          <w:rStyle w:val="a3"/>
        </w:rPr>
        <w:footnoteReference w:id="10"/>
      </w:r>
      <w:r>
        <w:rPr>
          <w:rFonts w:hint="eastAsia"/>
        </w:rPr>
        <w:t xml:space="preserve"> </w:t>
      </w:r>
      <w:r>
        <w:rPr>
          <w:rFonts w:hint="eastAsia"/>
        </w:rPr>
        <w:t>为了使发展伙伴实现或超过全球官方发展援助目标，包括为最不发达国家制定的目标，最近的一份政策简报</w:t>
      </w:r>
      <w:r w:rsidRPr="008C632F">
        <w:rPr>
          <w:rStyle w:val="a3"/>
        </w:rPr>
        <w:footnoteReference w:id="11"/>
      </w:r>
      <w:r>
        <w:rPr>
          <w:rFonts w:hint="eastAsia"/>
        </w:rPr>
        <w:t xml:space="preserve"> </w:t>
      </w:r>
      <w:r>
        <w:rPr>
          <w:rFonts w:hint="eastAsia"/>
        </w:rPr>
        <w:t>强调必须获得国内纳税人和全体选民的支持，领导人必须致力于可持续发展，发展合作在国家进程中的定位必须制度化。</w:t>
      </w:r>
      <w:r w:rsidRPr="008C632F">
        <w:rPr>
          <w:rStyle w:val="a3"/>
        </w:rPr>
        <w:footnoteReference w:id="12"/>
      </w:r>
    </w:p>
    <w:p w:rsidR="00742699" w:rsidRDefault="00742699" w:rsidP="00293DD6">
      <w:pPr>
        <w:pStyle w:val="SingleTxt"/>
      </w:pPr>
      <w:r>
        <w:rPr>
          <w:rFonts w:hint="eastAsia"/>
        </w:rPr>
        <w:t>8.</w:t>
      </w:r>
      <w:r>
        <w:rPr>
          <w:rFonts w:hint="eastAsia"/>
        </w:rPr>
        <w:tab/>
      </w:r>
      <w:r>
        <w:rPr>
          <w:rFonts w:hint="eastAsia"/>
        </w:rPr>
        <w:t>自</w:t>
      </w:r>
      <w:r>
        <w:rPr>
          <w:rFonts w:hint="eastAsia"/>
        </w:rPr>
        <w:t>2000</w:t>
      </w:r>
      <w:r>
        <w:rPr>
          <w:rFonts w:hint="eastAsia"/>
        </w:rPr>
        <w:t>年以来，官方发展援助按实际价值计算增加了</w:t>
      </w:r>
      <w:r>
        <w:rPr>
          <w:rFonts w:hint="eastAsia"/>
        </w:rPr>
        <w:t>83%</w:t>
      </w:r>
      <w:r>
        <w:rPr>
          <w:rFonts w:hint="eastAsia"/>
        </w:rPr>
        <w:t>，</w:t>
      </w:r>
      <w:r w:rsidRPr="008C632F">
        <w:rPr>
          <w:rStyle w:val="a3"/>
        </w:rPr>
        <w:footnoteReference w:id="13"/>
      </w:r>
      <w:r>
        <w:rPr>
          <w:rFonts w:hint="eastAsia"/>
        </w:rPr>
        <w:t xml:space="preserve"> </w:t>
      </w:r>
      <w:r>
        <w:rPr>
          <w:rFonts w:hint="eastAsia"/>
        </w:rPr>
        <w:t>而经济合作与发展组织</w:t>
      </w:r>
      <w:r>
        <w:rPr>
          <w:rFonts w:hint="eastAsia"/>
        </w:rPr>
        <w:t>(</w:t>
      </w:r>
      <w:r>
        <w:rPr>
          <w:rFonts w:hint="eastAsia"/>
        </w:rPr>
        <w:t>经合组织</w:t>
      </w:r>
      <w:r>
        <w:rPr>
          <w:rFonts w:hint="eastAsia"/>
        </w:rPr>
        <w:t>)</w:t>
      </w:r>
      <w:r>
        <w:rPr>
          <w:rFonts w:hint="eastAsia"/>
        </w:rPr>
        <w:t>发展援助委员会成员提供的官方发展援助近年却往往停滞不前</w:t>
      </w:r>
      <w:r>
        <w:rPr>
          <w:rFonts w:hint="eastAsia"/>
        </w:rPr>
        <w:t>(</w:t>
      </w:r>
      <w:r>
        <w:rPr>
          <w:rFonts w:hint="eastAsia"/>
        </w:rPr>
        <w:t>见图一</w:t>
      </w:r>
      <w:r>
        <w:rPr>
          <w:rFonts w:hint="eastAsia"/>
        </w:rPr>
        <w:t>)</w:t>
      </w:r>
      <w:r>
        <w:rPr>
          <w:rFonts w:hint="eastAsia"/>
        </w:rPr>
        <w:t>。</w:t>
      </w:r>
      <w:r w:rsidRPr="008C632F">
        <w:rPr>
          <w:rStyle w:val="a3"/>
        </w:rPr>
        <w:footnoteReference w:id="14"/>
      </w:r>
      <w:r>
        <w:rPr>
          <w:rFonts w:hint="eastAsia"/>
        </w:rPr>
        <w:t xml:space="preserve"> 2014</w:t>
      </w:r>
      <w:r>
        <w:rPr>
          <w:rFonts w:hint="eastAsia"/>
        </w:rPr>
        <w:t>年，用于非紧急情况的官方发展援助有所下降，原因是冲突和其他紧急情况引发的人道主义援助和捐助国内部难民费用日益增加</w:t>
      </w:r>
      <w:r>
        <w:rPr>
          <w:rFonts w:hint="eastAsia"/>
        </w:rPr>
        <w:t>(</w:t>
      </w:r>
      <w:r>
        <w:rPr>
          <w:rFonts w:hint="eastAsia"/>
        </w:rPr>
        <w:t>见图二</w:t>
      </w:r>
      <w:r>
        <w:rPr>
          <w:rFonts w:hint="eastAsia"/>
        </w:rPr>
        <w:t>)</w:t>
      </w:r>
      <w:r>
        <w:rPr>
          <w:rFonts w:hint="eastAsia"/>
        </w:rPr>
        <w:t>。虽然</w:t>
      </w:r>
      <w:r>
        <w:rPr>
          <w:rFonts w:hint="eastAsia"/>
        </w:rPr>
        <w:t>2015</w:t>
      </w:r>
      <w:r>
        <w:rPr>
          <w:rFonts w:hint="eastAsia"/>
        </w:rPr>
        <w:t>年的部分数据显示，用于非紧急情况的官方发展援助保持稳定，但必须密切监测捐助国内部难民费用不断增加对可用于可持续发展的官方发展援助的潜在影响。</w:t>
      </w:r>
      <w:r w:rsidRPr="008C632F">
        <w:rPr>
          <w:rStyle w:val="a3"/>
        </w:rPr>
        <w:footnoteReference w:id="15"/>
      </w:r>
      <w:r>
        <w:rPr>
          <w:rFonts w:hint="eastAsia"/>
        </w:rPr>
        <w:t xml:space="preserve"> </w:t>
      </w:r>
      <w:r>
        <w:rPr>
          <w:rFonts w:hint="eastAsia"/>
        </w:rPr>
        <w:t>只要确保加强发展合作与人道主义援助之间的联系，以及促进复原力建设方面的系统性投资，就会开始在新的更和谐的协调关系中提供国际支助。</w:t>
      </w:r>
      <w:r w:rsidRPr="008C632F">
        <w:rPr>
          <w:rStyle w:val="a3"/>
        </w:rPr>
        <w:footnoteReference w:id="16"/>
      </w:r>
    </w:p>
    <w:p w:rsidR="00742699" w:rsidRDefault="00742699" w:rsidP="00D22391">
      <w:pPr>
        <w:pStyle w:val="SingleTxt"/>
        <w:spacing w:after="60"/>
        <w:rPr>
          <w:rFonts w:ascii="黑体" w:eastAsia="黑体" w:hAnsi="黑体"/>
        </w:rPr>
      </w:pPr>
      <w:r>
        <w:rPr>
          <w:rFonts w:hint="eastAsia"/>
        </w:rPr>
        <w:t>图一</w:t>
      </w:r>
      <w:r>
        <w:rPr>
          <w:rFonts w:hint="eastAsia"/>
        </w:rPr>
        <w:br/>
      </w:r>
      <w:r w:rsidRPr="00413AC0">
        <w:rPr>
          <w:rFonts w:ascii="黑体" w:eastAsia="黑体" w:hAnsi="黑体" w:hint="eastAsia"/>
        </w:rPr>
        <w:t>2000</w:t>
      </w:r>
      <w:r>
        <w:rPr>
          <w:rFonts w:ascii="黑体" w:eastAsia="黑体" w:hAnsi="黑体" w:hint="eastAsia"/>
        </w:rPr>
        <w:t>-</w:t>
      </w:r>
      <w:r w:rsidRPr="00413AC0">
        <w:rPr>
          <w:rFonts w:ascii="黑体" w:eastAsia="黑体" w:hAnsi="黑体" w:hint="eastAsia"/>
        </w:rPr>
        <w:t>2014年官方发展援助净额的趋势</w:t>
      </w:r>
    </w:p>
    <w:p w:rsidR="008C632F" w:rsidRDefault="008C632F" w:rsidP="00D22391">
      <w:pPr>
        <w:pStyle w:val="SingleTxt"/>
        <w:spacing w:line="240" w:lineRule="auto"/>
        <w:ind w:left="1191"/>
        <w:rPr>
          <w:rFonts w:ascii="黑体" w:eastAsia="黑体" w:hAnsi="黑体"/>
        </w:rPr>
      </w:pPr>
      <w:r>
        <w:rPr>
          <w:rFonts w:hint="eastAsia"/>
          <w:noProof/>
        </w:rPr>
        <mc:AlternateContent>
          <mc:Choice Requires="wps">
            <w:drawing>
              <wp:anchor distT="0" distB="0" distL="114300" distR="114300" simplePos="0" relativeHeight="251661312" behindDoc="0" locked="0" layoutInCell="1" allowOverlap="1" wp14:anchorId="74EF3725" wp14:editId="18237557">
                <wp:simplePos x="0" y="0"/>
                <wp:positionH relativeFrom="column">
                  <wp:posOffset>4719114</wp:posOffset>
                </wp:positionH>
                <wp:positionV relativeFrom="paragraph">
                  <wp:posOffset>1293910</wp:posOffset>
                </wp:positionV>
                <wp:extent cx="1416528" cy="589915"/>
                <wp:effectExtent l="0" t="0" r="0" b="635"/>
                <wp:wrapNone/>
                <wp:docPr id="7" name="文本框 7"/>
                <wp:cNvGraphicFramePr/>
                <a:graphic xmlns:a="http://schemas.openxmlformats.org/drawingml/2006/main">
                  <a:graphicData uri="http://schemas.microsoft.com/office/word/2010/wordprocessingShape">
                    <wps:wsp>
                      <wps:cNvSpPr txBox="1"/>
                      <wps:spPr>
                        <a:xfrm>
                          <a:off x="0" y="0"/>
                          <a:ext cx="1416528" cy="589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699" w:rsidRPr="0093070E" w:rsidRDefault="00742699" w:rsidP="008C632F">
                            <w:pPr>
                              <w:spacing w:line="300" w:lineRule="exact"/>
                              <w:jc w:val="left"/>
                              <w:rPr>
                                <w:sz w:val="18"/>
                                <w:szCs w:val="18"/>
                              </w:rPr>
                            </w:pPr>
                            <w:r w:rsidRPr="0093070E">
                              <w:rPr>
                                <w:rFonts w:hint="eastAsia"/>
                                <w:sz w:val="18"/>
                                <w:szCs w:val="18"/>
                              </w:rPr>
                              <w:t>所有捐助国</w:t>
                            </w:r>
                          </w:p>
                          <w:p w:rsidR="00742699" w:rsidRPr="0093070E" w:rsidRDefault="00017315" w:rsidP="008C632F">
                            <w:pPr>
                              <w:spacing w:line="300" w:lineRule="exact"/>
                              <w:jc w:val="left"/>
                              <w:rPr>
                                <w:sz w:val="18"/>
                                <w:szCs w:val="18"/>
                              </w:rPr>
                            </w:pPr>
                            <w:r>
                              <w:rPr>
                                <w:rFonts w:hint="eastAsia"/>
                                <w:sz w:val="18"/>
                                <w:szCs w:val="18"/>
                              </w:rPr>
                              <w:t>发展援助委员会捐助国</w:t>
                            </w:r>
                          </w:p>
                          <w:p w:rsidR="00742699" w:rsidRPr="0093070E" w:rsidRDefault="00742699" w:rsidP="008C632F">
                            <w:pPr>
                              <w:spacing w:line="300" w:lineRule="exact"/>
                              <w:jc w:val="left"/>
                              <w:rPr>
                                <w:sz w:val="18"/>
                                <w:szCs w:val="18"/>
                              </w:rPr>
                            </w:pPr>
                            <w:r w:rsidRPr="0093070E">
                              <w:rPr>
                                <w:rFonts w:hint="eastAsia"/>
                                <w:sz w:val="18"/>
                                <w:szCs w:val="18"/>
                              </w:rPr>
                              <w:t>非</w:t>
                            </w:r>
                            <w:r w:rsidR="00017315">
                              <w:rPr>
                                <w:rFonts w:hint="eastAsia"/>
                                <w:sz w:val="18"/>
                                <w:szCs w:val="18"/>
                              </w:rPr>
                              <w:t>发展援助委员会捐助国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371.6pt;margin-top:101.9pt;width:111.55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" fillcolor="white [3201]" stroked="f" strokeweight=".5pt">
                <v:textbox inset="0,0,0,0">
                  <w:txbxContent>
                    <w:p w:rsidR="00742699" w:rsidRPr="0093070E" w:rsidRDefault="00742699" w:rsidP="008C632F">
                      <w:pPr>
                        <w:spacing w:line="300" w:lineRule="exact"/>
                        <w:jc w:val="left"/>
                        <w:rPr>
                          <w:sz w:val="18"/>
                          <w:szCs w:val="18"/>
                        </w:rPr>
                      </w:pPr>
                      <w:r w:rsidRPr="0093070E">
                        <w:rPr>
                          <w:rFonts w:hint="eastAsia"/>
                          <w:sz w:val="18"/>
                          <w:szCs w:val="18"/>
                        </w:rPr>
                        <w:t>所有捐助国</w:t>
                      </w:r>
                    </w:p>
                    <w:p w:rsidR="00742699" w:rsidRPr="0093070E" w:rsidRDefault="00017315" w:rsidP="008C632F">
                      <w:pPr>
                        <w:spacing w:line="300" w:lineRule="exact"/>
                        <w:jc w:val="left"/>
                        <w:rPr>
                          <w:sz w:val="18"/>
                          <w:szCs w:val="18"/>
                        </w:rPr>
                      </w:pPr>
                      <w:r>
                        <w:rPr>
                          <w:rFonts w:hint="eastAsia"/>
                          <w:sz w:val="18"/>
                          <w:szCs w:val="18"/>
                        </w:rPr>
                        <w:t>发展援助委员会捐助国</w:t>
                      </w:r>
                    </w:p>
                    <w:p w:rsidR="00742699" w:rsidRPr="0093070E" w:rsidRDefault="00742699" w:rsidP="008C632F">
                      <w:pPr>
                        <w:spacing w:line="300" w:lineRule="exact"/>
                        <w:jc w:val="left"/>
                        <w:rPr>
                          <w:sz w:val="18"/>
                          <w:szCs w:val="18"/>
                        </w:rPr>
                      </w:pPr>
                      <w:r w:rsidRPr="0093070E">
                        <w:rPr>
                          <w:rFonts w:hint="eastAsia"/>
                          <w:sz w:val="18"/>
                          <w:szCs w:val="18"/>
                        </w:rPr>
                        <w:t>非</w:t>
                      </w:r>
                      <w:r w:rsidR="00017315">
                        <w:rPr>
                          <w:rFonts w:hint="eastAsia"/>
                          <w:sz w:val="18"/>
                          <w:szCs w:val="18"/>
                        </w:rPr>
                        <w:t>发展援助委员会捐助国</w:t>
                      </w:r>
                    </w:p>
                  </w:txbxContent>
                </v:textbox>
              </v:shape>
            </w:pict>
          </mc:Fallback>
        </mc:AlternateContent>
      </w:r>
      <w:r w:rsidRPr="00F63299">
        <w:rPr>
          <w:noProof/>
        </w:rPr>
        <w:drawing>
          <wp:inline distT="0" distB="0" distL="0" distR="0" wp14:anchorId="2359377D" wp14:editId="30B288AF">
            <wp:extent cx="4807527" cy="3165763"/>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2699" w:rsidRDefault="00742699" w:rsidP="00293DD6">
      <w:pPr>
        <w:pStyle w:val="a5"/>
        <w:tabs>
          <w:tab w:val="clear" w:pos="418"/>
          <w:tab w:val="right" w:pos="1476"/>
          <w:tab w:val="left" w:pos="1548"/>
          <w:tab w:val="right" w:pos="1836"/>
          <w:tab w:val="left" w:pos="1908"/>
        </w:tabs>
        <w:spacing w:line="240" w:lineRule="auto"/>
        <w:ind w:left="1548" w:right="1264" w:hanging="289"/>
      </w:pPr>
      <w:r w:rsidRPr="00413AC0">
        <w:rPr>
          <w:rFonts w:ascii="楷体_GB2312" w:eastAsia="楷体_GB2312" w:hAnsi="楷体_GB2312" w:hint="eastAsia"/>
        </w:rPr>
        <w:t>资料来源</w:t>
      </w:r>
      <w:r>
        <w:rPr>
          <w:rFonts w:hint="eastAsia"/>
        </w:rPr>
        <w:t>：</w:t>
      </w:r>
      <w:r w:rsidR="00017315">
        <w:rPr>
          <w:rFonts w:hint="eastAsia"/>
        </w:rPr>
        <w:t>发展倡议，基于发展援助委员会的数据</w:t>
      </w:r>
      <w:r>
        <w:rPr>
          <w:rFonts w:hint="eastAsia"/>
        </w:rPr>
        <w:t>。</w:t>
      </w:r>
    </w:p>
    <w:p w:rsidR="00742699" w:rsidRPr="00413AC0" w:rsidRDefault="00742699" w:rsidP="00D22391">
      <w:pPr>
        <w:pStyle w:val="SingleTxt"/>
        <w:spacing w:after="0"/>
        <w:rPr>
          <w:rFonts w:ascii="黑体" w:eastAsia="黑体" w:hAnsi="黑体"/>
        </w:rPr>
      </w:pPr>
      <w:r>
        <w:rPr>
          <w:rFonts w:hint="eastAsia"/>
        </w:rPr>
        <w:t>图二</w:t>
      </w:r>
      <w:r>
        <w:rPr>
          <w:rFonts w:hint="eastAsia"/>
        </w:rPr>
        <w:br/>
      </w:r>
      <w:r w:rsidR="00835515">
        <w:rPr>
          <w:rFonts w:ascii="黑体" w:eastAsia="黑体" w:hAnsi="黑体" w:hint="eastAsia"/>
        </w:rPr>
        <w:t>2000-2015所增加</w:t>
      </w:r>
      <w:r w:rsidRPr="00413AC0">
        <w:rPr>
          <w:rFonts w:ascii="黑体" w:eastAsia="黑体" w:hAnsi="黑体" w:hint="eastAsia"/>
        </w:rPr>
        <w:t>紧急援助在官方发展援助中的份额</w:t>
      </w:r>
    </w:p>
    <w:p w:rsidR="00742699" w:rsidRDefault="00742699" w:rsidP="00293DD6">
      <w:pPr>
        <w:pStyle w:val="SingleTxt"/>
      </w:pPr>
      <w:r>
        <w:rPr>
          <w:noProof/>
        </w:rPr>
        <w:drawing>
          <wp:anchor distT="0" distB="0" distL="114300" distR="114300" simplePos="0" relativeHeight="251662336" behindDoc="0" locked="0" layoutInCell="1" allowOverlap="1" wp14:anchorId="4C3265FC" wp14:editId="447F482B">
            <wp:simplePos x="0" y="0"/>
            <wp:positionH relativeFrom="column">
              <wp:posOffset>800793</wp:posOffset>
            </wp:positionH>
            <wp:positionV relativeFrom="paragraph">
              <wp:posOffset>12700</wp:posOffset>
            </wp:positionV>
            <wp:extent cx="4638675" cy="1933575"/>
            <wp:effectExtent l="0" t="0" r="9525" b="952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1143" r="1143" b="25371"/>
                    <a:stretch>
                      <a:fillRect/>
                    </a:stretch>
                  </pic:blipFill>
                  <pic:spPr bwMode="auto">
                    <a:xfrm>
                      <a:off x="0" y="0"/>
                      <a:ext cx="46386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99" w:rsidRDefault="00742699" w:rsidP="00293DD6">
      <w:pPr>
        <w:pStyle w:val="SingleTxt"/>
      </w:pPr>
    </w:p>
    <w:p w:rsidR="00742699" w:rsidRDefault="00742699" w:rsidP="00293DD6">
      <w:pPr>
        <w:pStyle w:val="SingleTxt"/>
      </w:pPr>
    </w:p>
    <w:p w:rsidR="00742699" w:rsidRDefault="00742699" w:rsidP="00293DD6">
      <w:pPr>
        <w:pStyle w:val="SingleTxt"/>
      </w:pPr>
    </w:p>
    <w:p w:rsidR="00742699" w:rsidRDefault="00742699" w:rsidP="00293DD6">
      <w:pPr>
        <w:pStyle w:val="SingleTxt"/>
      </w:pPr>
    </w:p>
    <w:p w:rsidR="00742699" w:rsidRDefault="00D22391" w:rsidP="00293DD6">
      <w:pPr>
        <w:pStyle w:val="SingleTxt"/>
      </w:pPr>
      <w:r>
        <w:rPr>
          <w:rFonts w:hint="eastAsia"/>
          <w:noProof/>
        </w:rPr>
        <mc:AlternateContent>
          <mc:Choice Requires="wps">
            <w:drawing>
              <wp:anchor distT="0" distB="0" distL="114300" distR="114300" simplePos="0" relativeHeight="251665408" behindDoc="0" locked="0" layoutInCell="1" allowOverlap="1" wp14:anchorId="6200685E" wp14:editId="44B0DAAE">
                <wp:simplePos x="0" y="0"/>
                <wp:positionH relativeFrom="column">
                  <wp:posOffset>4048818</wp:posOffset>
                </wp:positionH>
                <wp:positionV relativeFrom="paragraph">
                  <wp:posOffset>279400</wp:posOffset>
                </wp:positionV>
                <wp:extent cx="1334770" cy="21399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334770"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699" w:rsidRPr="00413AC0" w:rsidRDefault="00742699" w:rsidP="00293DD6">
                            <w:pPr>
                              <w:spacing w:line="240" w:lineRule="exact"/>
                              <w:jc w:val="left"/>
                              <w:rPr>
                                <w:sz w:val="13"/>
                                <w:szCs w:val="13"/>
                              </w:rPr>
                            </w:pPr>
                            <w:r w:rsidRPr="00413AC0">
                              <w:rPr>
                                <w:rFonts w:hint="eastAsia"/>
                                <w:sz w:val="13"/>
                                <w:szCs w:val="13"/>
                              </w:rPr>
                              <w:t>捐助国内部难民费用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1" o:spid="_x0000_s1027" type="#_x0000_t202" style="position:absolute;left:0;text-align:left;margin-left:318.8pt;margin-top:22pt;width:105.1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" fillcolor="white [3201]" stroked="f" strokeweight=".5pt">
                <v:textbox inset="0,0,0,0">
                  <w:txbxContent>
                    <w:p w:rsidR="00742699" w:rsidRPr="00413AC0" w:rsidRDefault="00742699" w:rsidP="00293DD6">
                      <w:pPr>
                        <w:spacing w:line="240" w:lineRule="exact"/>
                        <w:jc w:val="left"/>
                        <w:rPr>
                          <w:sz w:val="13"/>
                          <w:szCs w:val="13"/>
                        </w:rPr>
                      </w:pPr>
                      <w:r w:rsidRPr="00413AC0">
                        <w:rPr>
                          <w:rFonts w:hint="eastAsia"/>
                          <w:sz w:val="13"/>
                          <w:szCs w:val="13"/>
                        </w:rPr>
                        <w:t>捐助国内部难民费用</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4FC21AB4" wp14:editId="64874EE5">
                <wp:simplePos x="0" y="0"/>
                <wp:positionH relativeFrom="column">
                  <wp:posOffset>1369753</wp:posOffset>
                </wp:positionH>
                <wp:positionV relativeFrom="paragraph">
                  <wp:posOffset>273685</wp:posOffset>
                </wp:positionV>
                <wp:extent cx="975360" cy="2139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975360"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699" w:rsidRPr="0093070E" w:rsidRDefault="00742699" w:rsidP="00293DD6">
                            <w:pPr>
                              <w:spacing w:line="240" w:lineRule="exact"/>
                              <w:jc w:val="left"/>
                              <w:rPr>
                                <w:sz w:val="18"/>
                                <w:szCs w:val="18"/>
                              </w:rPr>
                            </w:pPr>
                            <w:r w:rsidRPr="00413AC0">
                              <w:rPr>
                                <w:rFonts w:hint="eastAsia"/>
                                <w:sz w:val="13"/>
                                <w:szCs w:val="13"/>
                              </w:rPr>
                              <w:t>其他官方发展援助净额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 o:spid="_x0000_s1028" type="#_x0000_t202" style="position:absolute;left:0;text-align:left;margin-left:107.85pt;margin-top:21.55pt;width:76.8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" fillcolor="white [3201]" stroked="f" strokeweight=".5pt">
                <v:textbox inset="0,0,0,0">
                  <w:txbxContent>
                    <w:p w:rsidR="00742699" w:rsidRPr="0093070E" w:rsidRDefault="00742699" w:rsidP="00293DD6">
                      <w:pPr>
                        <w:spacing w:line="240" w:lineRule="exact"/>
                        <w:jc w:val="left"/>
                        <w:rPr>
                          <w:sz w:val="18"/>
                          <w:szCs w:val="18"/>
                        </w:rPr>
                      </w:pPr>
                      <w:r w:rsidRPr="00413AC0">
                        <w:rPr>
                          <w:rFonts w:hint="eastAsia"/>
                          <w:sz w:val="13"/>
                          <w:szCs w:val="13"/>
                        </w:rPr>
                        <w:t>其他官方发展援助净额</w:t>
                      </w:r>
                    </w:p>
                  </w:txbxContent>
                </v:textbox>
              </v:shape>
            </w:pict>
          </mc:Fallback>
        </mc:AlternateContent>
      </w:r>
      <w:r w:rsidR="00742699">
        <w:rPr>
          <w:rFonts w:hint="eastAsia"/>
          <w:noProof/>
        </w:rPr>
        <mc:AlternateContent>
          <mc:Choice Requires="wps">
            <w:drawing>
              <wp:anchor distT="0" distB="0" distL="114300" distR="114300" simplePos="0" relativeHeight="251664384" behindDoc="0" locked="0" layoutInCell="1" allowOverlap="1" wp14:anchorId="35EA896C" wp14:editId="01A6D319">
                <wp:simplePos x="0" y="0"/>
                <wp:positionH relativeFrom="column">
                  <wp:posOffset>2718689</wp:posOffset>
                </wp:positionH>
                <wp:positionV relativeFrom="paragraph">
                  <wp:posOffset>284480</wp:posOffset>
                </wp:positionV>
                <wp:extent cx="1054100" cy="21399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54100"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699" w:rsidRPr="00413AC0" w:rsidRDefault="00742699" w:rsidP="00293DD6">
                            <w:pPr>
                              <w:spacing w:line="240" w:lineRule="exact"/>
                              <w:jc w:val="left"/>
                              <w:rPr>
                                <w:sz w:val="13"/>
                                <w:szCs w:val="13"/>
                              </w:rPr>
                            </w:pPr>
                            <w:r w:rsidRPr="00413AC0">
                              <w:rPr>
                                <w:rFonts w:hint="eastAsia"/>
                                <w:sz w:val="13"/>
                                <w:szCs w:val="13"/>
                              </w:rPr>
                              <w:t>人道主义援助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 o:spid="_x0000_s1029" type="#_x0000_t202" style="position:absolute;left:0;text-align:left;margin-left:214.05pt;margin-top:22.4pt;width:83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" fillcolor="white [3201]" stroked="f" strokeweight=".5pt">
                <v:textbox inset="0,0,0,0">
                  <w:txbxContent>
                    <w:p w:rsidR="00742699" w:rsidRPr="00413AC0" w:rsidRDefault="00742699" w:rsidP="00293DD6">
                      <w:pPr>
                        <w:spacing w:line="240" w:lineRule="exact"/>
                        <w:jc w:val="left"/>
                        <w:rPr>
                          <w:sz w:val="13"/>
                          <w:szCs w:val="13"/>
                        </w:rPr>
                      </w:pPr>
                      <w:r w:rsidRPr="00413AC0">
                        <w:rPr>
                          <w:rFonts w:hint="eastAsia"/>
                          <w:sz w:val="13"/>
                          <w:szCs w:val="13"/>
                        </w:rPr>
                        <w:t>人道主义援助</w:t>
                      </w:r>
                    </w:p>
                  </w:txbxContent>
                </v:textbox>
              </v:shape>
            </w:pict>
          </mc:Fallback>
        </mc:AlternateContent>
      </w:r>
    </w:p>
    <w:p w:rsidR="00742699" w:rsidRPr="00413AC0" w:rsidRDefault="00742699" w:rsidP="00293DD6">
      <w:pPr>
        <w:pStyle w:val="a5"/>
        <w:tabs>
          <w:tab w:val="clear" w:pos="418"/>
          <w:tab w:val="right" w:pos="1476"/>
          <w:tab w:val="left" w:pos="1548"/>
          <w:tab w:val="right" w:pos="1836"/>
          <w:tab w:val="left" w:pos="1908"/>
        </w:tabs>
        <w:spacing w:after="0" w:line="120" w:lineRule="exact"/>
        <w:ind w:left="1548" w:right="1267" w:hanging="288"/>
        <w:rPr>
          <w:rFonts w:ascii="楷体_GB2312" w:eastAsia="楷体_GB2312" w:hAnsi="楷体_GB2312"/>
          <w:sz w:val="10"/>
        </w:rPr>
      </w:pPr>
    </w:p>
    <w:p w:rsidR="00742699" w:rsidRDefault="00742699" w:rsidP="00293DD6">
      <w:pPr>
        <w:pStyle w:val="a5"/>
        <w:tabs>
          <w:tab w:val="clear" w:pos="418"/>
          <w:tab w:val="right" w:pos="1476"/>
          <w:tab w:val="left" w:pos="1548"/>
          <w:tab w:val="right" w:pos="1836"/>
          <w:tab w:val="left" w:pos="1908"/>
        </w:tabs>
        <w:ind w:left="1548" w:right="1267" w:hanging="288"/>
        <w:rPr>
          <w:rFonts w:ascii="楷体_GB2312" w:eastAsia="楷体_GB2312" w:hAnsi="楷体_GB2312"/>
        </w:rPr>
      </w:pPr>
    </w:p>
    <w:p w:rsidR="00742699" w:rsidRDefault="00742699" w:rsidP="00293DD6">
      <w:pPr>
        <w:pStyle w:val="a5"/>
        <w:tabs>
          <w:tab w:val="clear" w:pos="418"/>
          <w:tab w:val="right" w:pos="1476"/>
          <w:tab w:val="left" w:pos="1548"/>
          <w:tab w:val="right" w:pos="1836"/>
          <w:tab w:val="left" w:pos="1908"/>
        </w:tabs>
        <w:ind w:left="1548" w:right="1267" w:hanging="288"/>
      </w:pPr>
      <w:r w:rsidRPr="00413AC0">
        <w:rPr>
          <w:rFonts w:ascii="楷体_GB2312" w:eastAsia="楷体_GB2312" w:hAnsi="楷体_GB2312" w:hint="eastAsia"/>
        </w:rPr>
        <w:t>资料来源</w:t>
      </w:r>
      <w:r w:rsidRPr="00413AC0">
        <w:rPr>
          <w:rFonts w:hint="eastAsia"/>
        </w:rPr>
        <w:t>：基于经合组织发援会数据的发展倡议。</w:t>
      </w:r>
    </w:p>
    <w:p w:rsidR="00742699" w:rsidRDefault="00742699" w:rsidP="00293DD6">
      <w:pPr>
        <w:pStyle w:val="SingleTxt"/>
      </w:pPr>
      <w:r w:rsidRPr="00413AC0">
        <w:t>9.</w:t>
      </w:r>
      <w:r w:rsidRPr="00413AC0">
        <w:tab/>
      </w:r>
      <w:r w:rsidRPr="00D22391">
        <w:rPr>
          <w:spacing w:val="-4"/>
        </w:rPr>
        <w:t>在发展中国家用于投入可持续发展的现有资源组合总额中，官方发展援助仅占很小的比例。</w:t>
      </w:r>
      <w:r w:rsidRPr="00D22391">
        <w:rPr>
          <w:spacing w:val="-4"/>
        </w:rPr>
        <w:t>2014</w:t>
      </w:r>
      <w:r w:rsidRPr="00D22391">
        <w:rPr>
          <w:spacing w:val="-4"/>
        </w:rPr>
        <w:t>年，国内公共资源</w:t>
      </w:r>
      <w:r w:rsidRPr="00D22391">
        <w:rPr>
          <w:spacing w:val="-4"/>
        </w:rPr>
        <w:t>(5.3</w:t>
      </w:r>
      <w:r w:rsidRPr="00D22391">
        <w:rPr>
          <w:spacing w:val="-4"/>
        </w:rPr>
        <w:t>万亿美元</w:t>
      </w:r>
      <w:r w:rsidRPr="00D22391">
        <w:rPr>
          <w:spacing w:val="-4"/>
        </w:rPr>
        <w:t>)</w:t>
      </w:r>
      <w:r w:rsidRPr="00D22391">
        <w:rPr>
          <w:rStyle w:val="a3"/>
          <w:spacing w:val="-4"/>
        </w:rPr>
        <w:footnoteReference w:id="17"/>
      </w:r>
      <w:r w:rsidRPr="00D22391">
        <w:rPr>
          <w:rFonts w:hint="eastAsia"/>
          <w:spacing w:val="-4"/>
        </w:rPr>
        <w:t xml:space="preserve"> </w:t>
      </w:r>
      <w:r w:rsidRPr="00D22391">
        <w:rPr>
          <w:spacing w:val="-4"/>
        </w:rPr>
        <w:t>大大超过了向发展中国家提供的官方发展援助</w:t>
      </w:r>
      <w:r w:rsidRPr="00D22391">
        <w:rPr>
          <w:spacing w:val="-4"/>
        </w:rPr>
        <w:t>(1</w:t>
      </w:r>
      <w:r w:rsidRPr="00D22391">
        <w:rPr>
          <w:rFonts w:hint="eastAsia"/>
          <w:spacing w:val="-4"/>
        </w:rPr>
        <w:t xml:space="preserve"> </w:t>
      </w:r>
      <w:r w:rsidRPr="00D22391">
        <w:rPr>
          <w:spacing w:val="-4"/>
        </w:rPr>
        <w:t>600</w:t>
      </w:r>
      <w:r w:rsidRPr="00D22391">
        <w:rPr>
          <w:spacing w:val="-4"/>
        </w:rPr>
        <w:t>亿美元</w:t>
      </w:r>
      <w:r w:rsidRPr="00D22391">
        <w:rPr>
          <w:spacing w:val="-4"/>
        </w:rPr>
        <w:t>)</w:t>
      </w:r>
      <w:r w:rsidRPr="00D22391">
        <w:rPr>
          <w:spacing w:val="-4"/>
        </w:rPr>
        <w:t>，</w:t>
      </w:r>
      <w:r w:rsidRPr="00D22391">
        <w:rPr>
          <w:rStyle w:val="a3"/>
          <w:spacing w:val="-4"/>
        </w:rPr>
        <w:footnoteReference w:id="18"/>
      </w:r>
      <w:r w:rsidRPr="00D22391">
        <w:rPr>
          <w:rFonts w:hint="eastAsia"/>
          <w:spacing w:val="-4"/>
        </w:rPr>
        <w:t xml:space="preserve"> </w:t>
      </w:r>
      <w:r w:rsidRPr="00D22391">
        <w:rPr>
          <w:spacing w:val="-4"/>
        </w:rPr>
        <w:t>综合来看，是截至目前数额最大的现有资源；然而，近期研究表明，在贫困程度最深的国家，国内公共资源往往最少</w:t>
      </w:r>
      <w:r w:rsidRPr="00D22391">
        <w:rPr>
          <w:spacing w:val="-4"/>
        </w:rPr>
        <w:t>(</w:t>
      </w:r>
      <w:r w:rsidRPr="00D22391">
        <w:rPr>
          <w:spacing w:val="-4"/>
        </w:rPr>
        <w:t>见图三</w:t>
      </w:r>
      <w:r w:rsidRPr="00D22391">
        <w:rPr>
          <w:spacing w:val="-4"/>
        </w:rPr>
        <w:t>)</w:t>
      </w:r>
      <w:r w:rsidRPr="00413AC0">
        <w:t>。</w:t>
      </w:r>
    </w:p>
    <w:p w:rsidR="00742699" w:rsidRPr="00B205C9" w:rsidRDefault="00742699" w:rsidP="00293DD6">
      <w:pPr>
        <w:pStyle w:val="SingleTxt"/>
        <w:rPr>
          <w:rFonts w:ascii="黑体" w:eastAsia="黑体" w:hAnsi="黑体"/>
        </w:rPr>
      </w:pPr>
      <w:r>
        <w:rPr>
          <w:rFonts w:hint="eastAsia"/>
        </w:rPr>
        <w:t>图三</w:t>
      </w:r>
      <w:r>
        <w:rPr>
          <w:rFonts w:hint="eastAsia"/>
        </w:rPr>
        <w:br/>
      </w:r>
      <w:r w:rsidRPr="00B205C9">
        <w:rPr>
          <w:rFonts w:ascii="黑体" w:eastAsia="黑体" w:hAnsi="黑体" w:hint="eastAsia"/>
        </w:rPr>
        <w:t>贫困程度较低的国家每名穷人的官方发展援助额较高</w:t>
      </w:r>
    </w:p>
    <w:p w:rsidR="00742699" w:rsidRDefault="00D22391" w:rsidP="00891236">
      <w:pPr>
        <w:pStyle w:val="SingleTxt"/>
        <w:spacing w:after="60" w:line="240" w:lineRule="auto"/>
        <w:ind w:right="0"/>
        <w:jc w:val="left"/>
      </w:pPr>
      <w:r>
        <w:rPr>
          <w:rFonts w:hint="eastAsia"/>
          <w:noProof/>
        </w:rPr>
        <mc:AlternateContent>
          <mc:Choice Requires="wps">
            <w:drawing>
              <wp:anchor distT="0" distB="0" distL="114300" distR="114300" simplePos="0" relativeHeight="251666432" behindDoc="0" locked="0" layoutInCell="1" allowOverlap="1" wp14:anchorId="77FD17E8" wp14:editId="438B1778">
                <wp:simplePos x="0" y="0"/>
                <wp:positionH relativeFrom="column">
                  <wp:posOffset>2827655</wp:posOffset>
                </wp:positionH>
                <wp:positionV relativeFrom="paragraph">
                  <wp:posOffset>2466340</wp:posOffset>
                </wp:positionV>
                <wp:extent cx="1657350" cy="188595"/>
                <wp:effectExtent l="0" t="0" r="0" b="1905"/>
                <wp:wrapNone/>
                <wp:docPr id="18" name="文本框 18"/>
                <wp:cNvGraphicFramePr/>
                <a:graphic xmlns:a="http://schemas.openxmlformats.org/drawingml/2006/main">
                  <a:graphicData uri="http://schemas.microsoft.com/office/word/2010/wordprocessingShape">
                    <wps:wsp>
                      <wps:cNvSpPr txBox="1"/>
                      <wps:spPr>
                        <a:xfrm>
                          <a:off x="0" y="0"/>
                          <a:ext cx="1657350" cy="188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699" w:rsidRPr="00D22391" w:rsidRDefault="00742699" w:rsidP="00293DD6">
                            <w:pPr>
                              <w:spacing w:line="240" w:lineRule="exact"/>
                              <w:jc w:val="center"/>
                              <w:rPr>
                                <w:sz w:val="15"/>
                                <w:szCs w:val="15"/>
                              </w:rPr>
                            </w:pPr>
                            <w:r w:rsidRPr="00D22391">
                              <w:rPr>
                                <w:rFonts w:ascii="宋体" w:hAnsi="宋体" w:cs="宋体" w:hint="eastAsia"/>
                                <w:color w:val="000000"/>
                                <w:sz w:val="15"/>
                                <w:szCs w:val="15"/>
                              </w:rPr>
                              <w:t>贫困程度加重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8" o:spid="_x0000_s1030" type="#_x0000_t202" style="position:absolute;left:0;text-align:left;margin-left:222.65pt;margin-top:194.2pt;width:130.5pt;height:1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" fillcolor="white [3201]" stroked="f" strokeweight=".5pt">
                <v:textbox inset="0,0,0,0">
                  <w:txbxContent>
                    <w:p w:rsidR="00742699" w:rsidRPr="00D22391" w:rsidRDefault="00742699" w:rsidP="00293DD6">
                      <w:pPr>
                        <w:spacing w:line="240" w:lineRule="exact"/>
                        <w:jc w:val="center"/>
                        <w:rPr>
                          <w:sz w:val="15"/>
                          <w:szCs w:val="15"/>
                        </w:rPr>
                      </w:pPr>
                      <w:r w:rsidRPr="00D22391">
                        <w:rPr>
                          <w:rFonts w:ascii="宋体" w:hAnsi="宋体" w:cs="宋体" w:hint="eastAsia"/>
                          <w:color w:val="000000"/>
                          <w:sz w:val="15"/>
                          <w:szCs w:val="15"/>
                        </w:rPr>
                        <w:t>贫困程度加重</w:t>
                      </w:r>
                    </w:p>
                  </w:txbxContent>
                </v:textbox>
              </v:shape>
            </w:pict>
          </mc:Fallback>
        </mc:AlternateContent>
      </w:r>
      <w:r w:rsidR="00742699" w:rsidRPr="00D22391">
        <w:rPr>
          <w:noProof/>
          <w:color w:val="000000" w:themeColor="text1"/>
          <w:sz w:val="15"/>
          <w:szCs w:val="15"/>
        </w:rPr>
        <w:drawing>
          <wp:inline distT="0" distB="0" distL="0" distR="0" wp14:anchorId="4A102318" wp14:editId="681F3B04">
            <wp:extent cx="5190067" cy="2658533"/>
            <wp:effectExtent l="0" t="0" r="0" b="889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4812" w:rsidRDefault="00034812" w:rsidP="00034812">
      <w:pPr>
        <w:pStyle w:val="a5"/>
        <w:tabs>
          <w:tab w:val="clear" w:pos="418"/>
          <w:tab w:val="right" w:pos="1476"/>
          <w:tab w:val="left" w:pos="1548"/>
          <w:tab w:val="right" w:pos="1836"/>
          <w:tab w:val="left" w:pos="1908"/>
        </w:tabs>
        <w:ind w:left="1548" w:right="1267" w:hanging="288"/>
      </w:pPr>
      <w:r w:rsidRPr="00891236">
        <w:rPr>
          <w:rFonts w:ascii="楷体_GB2312" w:eastAsia="楷体_GB2312" w:hAnsi="楷体_GB2312" w:hint="eastAsia"/>
        </w:rPr>
        <w:t>资料来源</w:t>
      </w:r>
      <w:r w:rsidRPr="00034812">
        <w:rPr>
          <w:rFonts w:hint="eastAsia"/>
        </w:rPr>
        <w:t>：</w:t>
      </w:r>
      <w:r w:rsidR="00835515">
        <w:rPr>
          <w:rFonts w:hint="eastAsia"/>
        </w:rPr>
        <w:t>发展倡议，报告，《</w:t>
      </w:r>
      <w:r w:rsidR="00835515">
        <w:rPr>
          <w:rFonts w:hint="eastAsia"/>
        </w:rPr>
        <w:t>2015</w:t>
      </w:r>
      <w:r w:rsidR="00835515">
        <w:rPr>
          <w:rFonts w:hint="eastAsia"/>
        </w:rPr>
        <w:t>年投资消除贫穷》</w:t>
      </w:r>
      <w:r>
        <w:rPr>
          <w:rFonts w:hint="eastAsia"/>
        </w:rPr>
        <w:t>。</w:t>
      </w:r>
    </w:p>
    <w:p w:rsidR="00742699" w:rsidRDefault="00742699" w:rsidP="00293DD6">
      <w:pPr>
        <w:pStyle w:val="SingleTxt"/>
      </w:pPr>
      <w:r>
        <w:rPr>
          <w:rFonts w:hint="eastAsia"/>
        </w:rPr>
        <w:t>10.</w:t>
      </w:r>
      <w:r>
        <w:rPr>
          <w:rFonts w:hint="eastAsia"/>
        </w:rPr>
        <w:tab/>
      </w:r>
      <w:r>
        <w:rPr>
          <w:rFonts w:hint="eastAsia"/>
        </w:rPr>
        <w:t>关于主要以支持国家或国际发展为目的而不是以赢利为目的、并涉及向发展中国家转移资源的私营实体</w:t>
      </w:r>
      <w:r>
        <w:rPr>
          <w:rFonts w:hint="eastAsia"/>
        </w:rPr>
        <w:t>(</w:t>
      </w:r>
      <w:r>
        <w:rPr>
          <w:rFonts w:hint="eastAsia"/>
        </w:rPr>
        <w:t>比如慈善基金会、企业慈善事业</w:t>
      </w:r>
      <w:r>
        <w:rPr>
          <w:rFonts w:hint="eastAsia"/>
        </w:rPr>
        <w:t>)</w:t>
      </w:r>
      <w:r>
        <w:rPr>
          <w:rFonts w:hint="eastAsia"/>
        </w:rPr>
        <w:t>的活动，没有任何官方估计数。</w:t>
      </w:r>
      <w:r w:rsidRPr="008C632F">
        <w:rPr>
          <w:rStyle w:val="a3"/>
        </w:rPr>
        <w:footnoteReference w:id="19"/>
      </w:r>
      <w:r>
        <w:rPr>
          <w:rFonts w:hint="eastAsia"/>
        </w:rPr>
        <w:t xml:space="preserve"> </w:t>
      </w:r>
      <w:r>
        <w:rPr>
          <w:rFonts w:hint="eastAsia"/>
        </w:rPr>
        <w:t>这是一个广泛趋势的一部分，这个趋势就是，一些私营部门行为体正在调整其商业模式，使其与可持续发展目标更加一致。据保守估计，</w:t>
      </w:r>
      <w:r>
        <w:rPr>
          <w:rFonts w:hint="eastAsia"/>
        </w:rPr>
        <w:t>2011</w:t>
      </w:r>
      <w:r>
        <w:rPr>
          <w:rFonts w:hint="eastAsia"/>
        </w:rPr>
        <w:t>年这种私人发展合作资金流动达到</w:t>
      </w:r>
      <w:r>
        <w:rPr>
          <w:rFonts w:hint="eastAsia"/>
        </w:rPr>
        <w:t>450</w:t>
      </w:r>
      <w:r>
        <w:rPr>
          <w:rFonts w:hint="eastAsia"/>
        </w:rPr>
        <w:t>亿美元，</w:t>
      </w:r>
      <w:r w:rsidRPr="008C632F">
        <w:rPr>
          <w:rStyle w:val="a3"/>
        </w:rPr>
        <w:footnoteReference w:id="20"/>
      </w:r>
      <w:r>
        <w:rPr>
          <w:rFonts w:hint="eastAsia"/>
        </w:rPr>
        <w:t xml:space="preserve"> </w:t>
      </w:r>
      <w:r>
        <w:rPr>
          <w:rFonts w:hint="eastAsia"/>
        </w:rPr>
        <w:t>相当于发展援助委员会成员为同一年提供的所有官方发展援助的三分之一。</w:t>
      </w:r>
    </w:p>
    <w:p w:rsidR="00742699" w:rsidRDefault="00742699" w:rsidP="00293DD6">
      <w:pPr>
        <w:pStyle w:val="SingleTxt"/>
      </w:pPr>
      <w:r>
        <w:rPr>
          <w:rFonts w:hint="eastAsia"/>
        </w:rPr>
        <w:t>11.</w:t>
      </w:r>
      <w:r>
        <w:rPr>
          <w:rFonts w:hint="eastAsia"/>
        </w:rPr>
        <w:tab/>
      </w:r>
      <w:r w:rsidRPr="00CA7C90">
        <w:rPr>
          <w:rFonts w:hint="eastAsia"/>
          <w:spacing w:val="4"/>
        </w:rPr>
        <w:t>与私营实体的资金流动相结合的官方发展援助数额虽然较小，但很重要，估计数额约为</w:t>
      </w:r>
      <w:r w:rsidRPr="00CA7C90">
        <w:rPr>
          <w:rFonts w:hint="eastAsia"/>
          <w:spacing w:val="4"/>
        </w:rPr>
        <w:t>200</w:t>
      </w:r>
      <w:r w:rsidRPr="00CA7C90">
        <w:rPr>
          <w:rFonts w:hint="eastAsia"/>
          <w:spacing w:val="4"/>
        </w:rPr>
        <w:t>亿美元或更多。</w:t>
      </w:r>
      <w:r w:rsidRPr="008C632F">
        <w:rPr>
          <w:rStyle w:val="a3"/>
          <w:spacing w:val="4"/>
        </w:rPr>
        <w:footnoteReference w:id="21"/>
      </w:r>
      <w:r>
        <w:rPr>
          <w:rFonts w:hint="eastAsia"/>
          <w:spacing w:val="4"/>
        </w:rPr>
        <w:t xml:space="preserve"> </w:t>
      </w:r>
      <w:r w:rsidRPr="00CA7C90">
        <w:rPr>
          <w:rFonts w:hint="eastAsia"/>
          <w:spacing w:val="4"/>
        </w:rPr>
        <w:t>没有充分的证据说明“混合办法”是否会调动</w:t>
      </w:r>
      <w:r>
        <w:rPr>
          <w:rFonts w:hint="eastAsia"/>
        </w:rPr>
        <w:t>更多的私人资本流动，支持国家可持续发展优先事项或增加可持续发展的影响。</w:t>
      </w:r>
      <w:r w:rsidRPr="008C632F">
        <w:rPr>
          <w:rStyle w:val="a3"/>
        </w:rPr>
        <w:footnoteReference w:id="22"/>
      </w:r>
    </w:p>
    <w:p w:rsidR="00742699" w:rsidRDefault="00742699" w:rsidP="00293DD6">
      <w:pPr>
        <w:pStyle w:val="SingleTxt"/>
      </w:pPr>
      <w:r>
        <w:rPr>
          <w:rFonts w:hint="eastAsia"/>
        </w:rPr>
        <w:t>12.</w:t>
      </w:r>
      <w:r>
        <w:rPr>
          <w:rFonts w:hint="eastAsia"/>
        </w:rPr>
        <w:tab/>
      </w:r>
      <w:r>
        <w:rPr>
          <w:rFonts w:hint="eastAsia"/>
        </w:rPr>
        <w:t>根据经合组织的最新统计，</w:t>
      </w:r>
      <w:r w:rsidRPr="008C632F">
        <w:rPr>
          <w:rStyle w:val="a3"/>
        </w:rPr>
        <w:footnoteReference w:id="23"/>
      </w:r>
      <w:r>
        <w:rPr>
          <w:rFonts w:hint="eastAsia"/>
        </w:rPr>
        <w:t xml:space="preserve"> </w:t>
      </w:r>
      <w:r>
        <w:rPr>
          <w:rFonts w:hint="eastAsia"/>
        </w:rPr>
        <w:t>经过几年的下滑降趋势后，向最不发达国家提供的双边官方发展援助于</w:t>
      </w:r>
      <w:r>
        <w:rPr>
          <w:rFonts w:hint="eastAsia"/>
        </w:rPr>
        <w:t>2015</w:t>
      </w:r>
      <w:r>
        <w:rPr>
          <w:rFonts w:hint="eastAsia"/>
        </w:rPr>
        <w:t>年达到</w:t>
      </w:r>
      <w:r>
        <w:rPr>
          <w:rFonts w:hint="eastAsia"/>
        </w:rPr>
        <w:t>250</w:t>
      </w:r>
      <w:r>
        <w:rPr>
          <w:rFonts w:hint="eastAsia"/>
        </w:rPr>
        <w:t>亿美元，与</w:t>
      </w:r>
      <w:r>
        <w:rPr>
          <w:rFonts w:hint="eastAsia"/>
        </w:rPr>
        <w:t>2014</w:t>
      </w:r>
      <w:r>
        <w:rPr>
          <w:rFonts w:hint="eastAsia"/>
        </w:rPr>
        <w:t>年相比增加了</w:t>
      </w:r>
      <w:r>
        <w:rPr>
          <w:rFonts w:hint="eastAsia"/>
        </w:rPr>
        <w:t>4%</w:t>
      </w:r>
      <w:r>
        <w:rPr>
          <w:rFonts w:hint="eastAsia"/>
        </w:rPr>
        <w:t>。同一消息来源指出，为最不发达国家和其他低收入国家提供的可列入国家方案的援助</w:t>
      </w:r>
      <w:r>
        <w:rPr>
          <w:rFonts w:hint="eastAsia"/>
        </w:rPr>
        <w:t>2015</w:t>
      </w:r>
      <w:r>
        <w:rPr>
          <w:rFonts w:hint="eastAsia"/>
        </w:rPr>
        <w:t>年为</w:t>
      </w:r>
      <w:r>
        <w:rPr>
          <w:rFonts w:hint="eastAsia"/>
        </w:rPr>
        <w:t>398</w:t>
      </w:r>
      <w:r>
        <w:rPr>
          <w:rFonts w:hint="eastAsia"/>
        </w:rPr>
        <w:t>亿美元，与</w:t>
      </w:r>
      <w:r>
        <w:rPr>
          <w:rFonts w:hint="eastAsia"/>
        </w:rPr>
        <w:t>2014</w:t>
      </w:r>
      <w:r>
        <w:rPr>
          <w:rFonts w:hint="eastAsia"/>
        </w:rPr>
        <w:t>年相比增加了</w:t>
      </w:r>
      <w:r>
        <w:rPr>
          <w:rFonts w:hint="eastAsia"/>
        </w:rPr>
        <w:t>3%</w:t>
      </w:r>
      <w:r>
        <w:rPr>
          <w:rFonts w:hint="eastAsia"/>
        </w:rPr>
        <w:t>，同时预测，</w:t>
      </w:r>
      <w:r>
        <w:rPr>
          <w:rFonts w:hint="eastAsia"/>
        </w:rPr>
        <w:t>2016</w:t>
      </w:r>
      <w:r>
        <w:rPr>
          <w:rFonts w:hint="eastAsia"/>
        </w:rPr>
        <w:t>年至</w:t>
      </w:r>
      <w:r>
        <w:rPr>
          <w:rFonts w:hint="eastAsia"/>
        </w:rPr>
        <w:t>2019</w:t>
      </w:r>
      <w:r>
        <w:rPr>
          <w:rFonts w:hint="eastAsia"/>
        </w:rPr>
        <w:t>年，为一些最不发达国家提供的可列入国家方案的援助额将有所下降。</w:t>
      </w:r>
    </w:p>
    <w:p w:rsidR="00742699" w:rsidRDefault="00742699" w:rsidP="00293DD6">
      <w:pPr>
        <w:pStyle w:val="SingleTxt"/>
      </w:pPr>
      <w:r>
        <w:rPr>
          <w:rFonts w:hint="eastAsia"/>
        </w:rPr>
        <w:t>13.</w:t>
      </w:r>
      <w:r>
        <w:rPr>
          <w:rFonts w:hint="eastAsia"/>
        </w:rPr>
        <w:tab/>
      </w:r>
      <w:r>
        <w:rPr>
          <w:rFonts w:hint="eastAsia"/>
        </w:rPr>
        <w:t>为小岛屿发展中国家提供的官方发展援助自</w:t>
      </w:r>
      <w:r>
        <w:rPr>
          <w:rFonts w:hint="eastAsia"/>
        </w:rPr>
        <w:t>2010</w:t>
      </w:r>
      <w:r>
        <w:rPr>
          <w:rFonts w:hint="eastAsia"/>
        </w:rPr>
        <w:t>年以来有所下降，</w:t>
      </w:r>
      <w:r>
        <w:rPr>
          <w:rFonts w:hint="eastAsia"/>
        </w:rPr>
        <w:t>2014</w:t>
      </w:r>
      <w:r>
        <w:rPr>
          <w:rFonts w:hint="eastAsia"/>
        </w:rPr>
        <w:t>年超过</w:t>
      </w:r>
      <w:r>
        <w:rPr>
          <w:rFonts w:hint="eastAsia"/>
        </w:rPr>
        <w:t>40</w:t>
      </w:r>
      <w:r>
        <w:rPr>
          <w:rFonts w:hint="eastAsia"/>
        </w:rPr>
        <w:t>亿美元，鉴于这些国家的结构脆弱性，这种状况需要特别关注和密切监测。</w:t>
      </w:r>
      <w:r w:rsidRPr="008C632F">
        <w:rPr>
          <w:rStyle w:val="a3"/>
        </w:rPr>
        <w:footnoteReference w:id="24"/>
      </w:r>
      <w:r>
        <w:rPr>
          <w:rFonts w:hint="eastAsia"/>
        </w:rPr>
        <w:t xml:space="preserve"> </w:t>
      </w:r>
      <w:r>
        <w:rPr>
          <w:rFonts w:hint="eastAsia"/>
        </w:rPr>
        <w:t>在为受冲突或脆弱性影响的国家提供的官方发展援助方面，没有任何国际公认的目标，这种官方发展援助近年来一直相对停滞，按实际价值计算，自</w:t>
      </w:r>
      <w:r>
        <w:rPr>
          <w:rFonts w:hint="eastAsia"/>
        </w:rPr>
        <w:t>2006</w:t>
      </w:r>
      <w:r>
        <w:rPr>
          <w:rFonts w:hint="eastAsia"/>
        </w:rPr>
        <w:t>年以来每年大约为</w:t>
      </w:r>
      <w:r>
        <w:rPr>
          <w:rFonts w:hint="eastAsia"/>
        </w:rPr>
        <w:t>500</w:t>
      </w:r>
      <w:r>
        <w:rPr>
          <w:rFonts w:hint="eastAsia"/>
        </w:rPr>
        <w:t>亿美元。</w:t>
      </w:r>
      <w:r w:rsidRPr="008C632F">
        <w:rPr>
          <w:rStyle w:val="a3"/>
        </w:rPr>
        <w:footnoteReference w:id="25"/>
      </w:r>
    </w:p>
    <w:p w:rsidR="00742699" w:rsidRDefault="00742699" w:rsidP="00293DD6">
      <w:pPr>
        <w:pStyle w:val="SingleTxt"/>
      </w:pPr>
      <w:r>
        <w:rPr>
          <w:rFonts w:hint="eastAsia"/>
        </w:rPr>
        <w:t>14.</w:t>
      </w:r>
      <w:r>
        <w:rPr>
          <w:rFonts w:hint="eastAsia"/>
        </w:rPr>
        <w:tab/>
        <w:t>2013</w:t>
      </w:r>
      <w:r>
        <w:rPr>
          <w:rFonts w:hint="eastAsia"/>
        </w:rPr>
        <w:t>年至</w:t>
      </w:r>
      <w:r>
        <w:rPr>
          <w:rFonts w:hint="eastAsia"/>
        </w:rPr>
        <w:t>2014</w:t>
      </w:r>
      <w:r>
        <w:rPr>
          <w:rFonts w:hint="eastAsia"/>
        </w:rPr>
        <w:t>年，在官方发展援助付款额部门模式上发生的最大变化是债务减免和一般预算援助减少，其原因均在于少数几个捐助国对那些部门的付款发生重大变化。</w:t>
      </w:r>
      <w:r w:rsidRPr="008C632F">
        <w:rPr>
          <w:rStyle w:val="a3"/>
        </w:rPr>
        <w:footnoteReference w:id="26"/>
      </w:r>
      <w:r>
        <w:rPr>
          <w:rFonts w:hint="eastAsia"/>
        </w:rPr>
        <w:t xml:space="preserve"> </w:t>
      </w:r>
      <w:r>
        <w:rPr>
          <w:rFonts w:hint="eastAsia"/>
        </w:rPr>
        <w:t>最近的趋势是摆脱基于方案的办法，包括预算援助，需要密切监测这一趋势，以确保它不会破坏在提高发展合作的实效方面取得的重要进展</w:t>
      </w:r>
      <w:r>
        <w:rPr>
          <w:rFonts w:hint="eastAsia"/>
        </w:rPr>
        <w:t>(</w:t>
      </w:r>
      <w:r>
        <w:rPr>
          <w:rFonts w:hint="eastAsia"/>
        </w:rPr>
        <w:t>见第三节</w:t>
      </w:r>
      <w:r>
        <w:rPr>
          <w:rFonts w:hint="eastAsia"/>
        </w:rPr>
        <w:t>)</w:t>
      </w:r>
      <w:r>
        <w:rPr>
          <w:rFonts w:hint="eastAsia"/>
        </w:rPr>
        <w:t>。</w:t>
      </w:r>
    </w:p>
    <w:p w:rsidR="00742699" w:rsidRDefault="00742699" w:rsidP="00293DD6">
      <w:pPr>
        <w:pStyle w:val="SingleTxt"/>
      </w:pPr>
      <w:r>
        <w:rPr>
          <w:rFonts w:hint="eastAsia"/>
        </w:rPr>
        <w:t>15.</w:t>
      </w:r>
      <w:r>
        <w:rPr>
          <w:rFonts w:hint="eastAsia"/>
        </w:rPr>
        <w:tab/>
      </w:r>
      <w:r w:rsidRPr="00891236">
        <w:rPr>
          <w:rFonts w:hint="eastAsia"/>
          <w:spacing w:val="4"/>
        </w:rPr>
        <w:t>虽然针对全球挑战提供了一些官方发展援助，并且在某些情况下显然需要有这种针对性，但至关重要的是要更好地界定哪些因素构成一项全球挑战，以及有关挑战在多大程度上需要官方发展援助。经合组织目前正在使官方发展援助措施现代化，并且正在制定一个反映更广泛的资金流动情况的补充框架</w:t>
      </w:r>
      <w:r w:rsidRPr="00891236">
        <w:rPr>
          <w:rFonts w:hint="eastAsia"/>
          <w:spacing w:val="4"/>
        </w:rPr>
        <w:t>(</w:t>
      </w:r>
      <w:r w:rsidRPr="00891236">
        <w:rPr>
          <w:rFonts w:hint="eastAsia"/>
          <w:spacing w:val="4"/>
        </w:rPr>
        <w:t>见方框</w:t>
      </w:r>
      <w:r w:rsidRPr="00891236">
        <w:rPr>
          <w:rFonts w:hint="eastAsia"/>
          <w:spacing w:val="4"/>
        </w:rPr>
        <w:t>1)</w:t>
      </w:r>
      <w:r w:rsidRPr="00891236">
        <w:rPr>
          <w:rFonts w:hint="eastAsia"/>
          <w:spacing w:val="4"/>
        </w:rPr>
        <w:t>。</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742699" w:rsidTr="002F4B77">
        <w:tc>
          <w:tcPr>
            <w:tcW w:w="7321" w:type="dxa"/>
            <w:shd w:val="clear" w:color="auto" w:fill="auto"/>
          </w:tcPr>
          <w:p w:rsidR="00742699" w:rsidRPr="00E966FE" w:rsidRDefault="00742699" w:rsidP="002F4B7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742699" w:rsidRPr="00E24254" w:rsidRDefault="00742699" w:rsidP="002F4B7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rPr>
                <w:rFonts w:ascii="黑体" w:eastAsia="黑体" w:hAnsi="黑体"/>
              </w:rPr>
            </w:pPr>
            <w:r w:rsidRPr="00E24254">
              <w:rPr>
                <w:rFonts w:ascii="黑体" w:eastAsia="黑体" w:hAnsi="黑体" w:hint="eastAsia"/>
              </w:rPr>
              <w:t>方框1：官方可持续发展支助总量</w:t>
            </w:r>
          </w:p>
        </w:tc>
      </w:tr>
      <w:tr w:rsidR="00742699" w:rsidTr="002F4B77">
        <w:tc>
          <w:tcPr>
            <w:tcW w:w="7321" w:type="dxa"/>
            <w:shd w:val="clear" w:color="auto" w:fill="auto"/>
          </w:tcPr>
          <w:p w:rsidR="00742699" w:rsidRDefault="00742699" w:rsidP="002F4B7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ind w:left="113" w:right="113"/>
            </w:pPr>
            <w:r>
              <w:tab/>
            </w:r>
            <w:r>
              <w:rPr>
                <w:rFonts w:hint="eastAsia"/>
              </w:rPr>
              <w:t>经合组织发展援助委员会正在牵头制定一个名为“官方可持续发展支助总量”的新的统计框架，以补充其衡量官方发展援助的工作。该框架将包括以下特征：</w:t>
            </w:r>
          </w:p>
        </w:tc>
      </w:tr>
      <w:tr w:rsidR="00742699" w:rsidTr="002F4B77">
        <w:tc>
          <w:tcPr>
            <w:tcW w:w="7321" w:type="dxa"/>
            <w:shd w:val="clear" w:color="auto" w:fill="auto"/>
          </w:tcPr>
          <w:p w:rsidR="00742699" w:rsidRDefault="00742699" w:rsidP="002F4B77">
            <w:pPr>
              <w:pStyle w:val="SingleTxt"/>
              <w:tabs>
                <w:tab w:val="left" w:pos="551"/>
                <w:tab w:val="left" w:pos="941"/>
                <w:tab w:val="left" w:pos="1440"/>
                <w:tab w:val="left" w:pos="1915"/>
                <w:tab w:val="left" w:pos="2405"/>
                <w:tab w:val="left" w:pos="2880"/>
                <w:tab w:val="left" w:pos="3355"/>
              </w:tabs>
              <w:ind w:left="544" w:right="113" w:hanging="431"/>
            </w:pPr>
            <w:r>
              <w:sym w:font="Symbol" w:char="F0B7"/>
            </w:r>
            <w:r>
              <w:rPr>
                <w:rFonts w:hint="eastAsia"/>
              </w:rPr>
              <w:tab/>
            </w:r>
            <w:r w:rsidRPr="00E24254">
              <w:rPr>
                <w:rFonts w:ascii="黑体" w:eastAsia="黑体" w:hAnsi="黑体" w:hint="eastAsia"/>
              </w:rPr>
              <w:t>覆盖面</w:t>
            </w:r>
            <w:r>
              <w:rPr>
                <w:rFonts w:hint="eastAsia"/>
              </w:rPr>
              <w:t>：从官方来源和行动流向发展中国家和多边组织的所有资源流入，包括公共和私人资源，而不论是哪种工具</w:t>
            </w:r>
          </w:p>
        </w:tc>
      </w:tr>
      <w:tr w:rsidR="00742699" w:rsidTr="002F4B77">
        <w:tc>
          <w:tcPr>
            <w:tcW w:w="7321" w:type="dxa"/>
            <w:shd w:val="clear" w:color="auto" w:fill="auto"/>
          </w:tcPr>
          <w:p w:rsidR="00742699" w:rsidRDefault="00742699" w:rsidP="002F4B77">
            <w:pPr>
              <w:pStyle w:val="SingleTxt"/>
              <w:tabs>
                <w:tab w:val="left" w:pos="551"/>
                <w:tab w:val="left" w:pos="941"/>
                <w:tab w:val="left" w:pos="1440"/>
                <w:tab w:val="left" w:pos="1915"/>
                <w:tab w:val="left" w:pos="2405"/>
                <w:tab w:val="left" w:pos="2880"/>
                <w:tab w:val="left" w:pos="3355"/>
              </w:tabs>
              <w:ind w:left="544" w:right="113" w:hanging="431"/>
            </w:pPr>
            <w:r>
              <w:rPr>
                <w:rFonts w:hint="eastAsia"/>
              </w:rPr>
              <w:sym w:font="Symbol" w:char="F0B7"/>
            </w:r>
            <w:r>
              <w:tab/>
            </w:r>
            <w:r w:rsidRPr="00E24254">
              <w:rPr>
                <w:rFonts w:ascii="黑体" w:eastAsia="黑体" w:hAnsi="黑体" w:hint="eastAsia"/>
              </w:rPr>
              <w:t>范围</w:t>
            </w:r>
            <w:r>
              <w:rPr>
                <w:rFonts w:hint="eastAsia"/>
              </w:rPr>
              <w:t>：作为官方可持续发展支助总量列报的任何支出都必须以支持《</w:t>
            </w:r>
            <w:r>
              <w:rPr>
                <w:rFonts w:hint="eastAsia"/>
              </w:rPr>
              <w:t>2030</w:t>
            </w:r>
            <w:r>
              <w:rPr>
                <w:rFonts w:hint="eastAsia"/>
              </w:rPr>
              <w:t>年议程》所界定的可持续发展为动机</w:t>
            </w:r>
          </w:p>
          <w:p w:rsidR="00742699" w:rsidRDefault="00742699" w:rsidP="002F4B77">
            <w:pPr>
              <w:pStyle w:val="SingleTxt"/>
              <w:tabs>
                <w:tab w:val="left" w:pos="551"/>
                <w:tab w:val="left" w:pos="941"/>
                <w:tab w:val="left" w:pos="1440"/>
                <w:tab w:val="left" w:pos="1915"/>
                <w:tab w:val="left" w:pos="2405"/>
                <w:tab w:val="left" w:pos="2880"/>
                <w:tab w:val="left" w:pos="3355"/>
              </w:tabs>
              <w:ind w:left="544" w:right="113" w:hanging="431"/>
            </w:pPr>
            <w:r>
              <w:rPr>
                <w:rFonts w:hint="eastAsia"/>
              </w:rPr>
              <w:sym w:font="Symbol" w:char="F0B7"/>
            </w:r>
            <w:r>
              <w:tab/>
            </w:r>
            <w:r w:rsidRPr="00E24254">
              <w:rPr>
                <w:rFonts w:ascii="黑体" w:eastAsia="黑体" w:hAnsi="黑体" w:hint="eastAsia"/>
              </w:rPr>
              <w:t>原则</w:t>
            </w:r>
            <w:r>
              <w:rPr>
                <w:rFonts w:hint="eastAsia"/>
              </w:rPr>
              <w:t>：与发展中国家的优先事项以及国际承诺和纪律保持一致</w:t>
            </w:r>
          </w:p>
          <w:p w:rsidR="00742699" w:rsidRDefault="00742699" w:rsidP="002F4B77">
            <w:pPr>
              <w:pStyle w:val="SingleTxt"/>
              <w:tabs>
                <w:tab w:val="left" w:pos="551"/>
                <w:tab w:val="left" w:pos="941"/>
                <w:tab w:val="left" w:pos="1440"/>
                <w:tab w:val="left" w:pos="1915"/>
                <w:tab w:val="left" w:pos="2405"/>
                <w:tab w:val="left" w:pos="2880"/>
                <w:tab w:val="left" w:pos="3355"/>
              </w:tabs>
              <w:ind w:left="544" w:right="113" w:hanging="431"/>
            </w:pPr>
            <w:r>
              <w:rPr>
                <w:rFonts w:hint="eastAsia"/>
              </w:rPr>
              <w:sym w:font="Symbol" w:char="F0B7"/>
            </w:r>
            <w:r>
              <w:tab/>
            </w:r>
            <w:r w:rsidRPr="00E24254">
              <w:rPr>
                <w:rFonts w:ascii="黑体" w:eastAsia="黑体" w:hAnsi="黑体" w:hint="eastAsia"/>
              </w:rPr>
              <w:t>透明度</w:t>
            </w:r>
            <w:r>
              <w:rPr>
                <w:rFonts w:hint="eastAsia"/>
              </w:rPr>
              <w:t>：反映提供国和受援国的观点</w:t>
            </w:r>
            <w:r>
              <w:rPr>
                <w:rFonts w:hint="eastAsia"/>
              </w:rPr>
              <w:t>(</w:t>
            </w:r>
            <w:r>
              <w:rPr>
                <w:rFonts w:hint="eastAsia"/>
              </w:rPr>
              <w:t>项目层面的信息和跨界流动</w:t>
            </w:r>
            <w:r>
              <w:rPr>
                <w:rFonts w:hint="eastAsia"/>
              </w:rPr>
              <w:t>)</w:t>
            </w:r>
            <w:r>
              <w:rPr>
                <w:rFonts w:hint="eastAsia"/>
              </w:rPr>
              <w:t>，监测与官方发展援助有关的框架流量。</w:t>
            </w:r>
          </w:p>
        </w:tc>
      </w:tr>
      <w:tr w:rsidR="00742699" w:rsidTr="002F4B77">
        <w:tc>
          <w:tcPr>
            <w:tcW w:w="7321" w:type="dxa"/>
            <w:shd w:val="clear" w:color="auto" w:fill="auto"/>
          </w:tcPr>
          <w:p w:rsidR="00742699" w:rsidRDefault="00742699" w:rsidP="002F4B7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ind w:left="113" w:right="113"/>
            </w:pPr>
            <w:r>
              <w:tab/>
            </w:r>
            <w:r w:rsidRPr="00CA7C90">
              <w:rPr>
                <w:rFonts w:hint="eastAsia"/>
              </w:rPr>
              <w:t>根据《亚的斯亚贝巴行动议程》第</w:t>
            </w:r>
            <w:r w:rsidRPr="00CA7C90">
              <w:rPr>
                <w:rFonts w:hint="eastAsia"/>
              </w:rPr>
              <w:t>55</w:t>
            </w:r>
            <w:r w:rsidRPr="00CA7C90">
              <w:rPr>
                <w:rFonts w:hint="eastAsia"/>
              </w:rPr>
              <w:t>段，该框架下的讨论应具有高度的包容性，很多其他重大问题仍有待处理。</w:t>
            </w:r>
            <w:r w:rsidRPr="00CA7C90">
              <w:rPr>
                <w:rFonts w:hint="eastAsia"/>
                <w:vertAlign w:val="superscript"/>
              </w:rPr>
              <w:t>a</w:t>
            </w:r>
            <w:r w:rsidRPr="00CA7C90">
              <w:rPr>
                <w:rFonts w:hint="eastAsia"/>
              </w:rPr>
              <w:t>尚未决定是否将官方调动的私人资本流动包括在内，这需要进一步分析，以商定一个适当办法，用于衡量公共资金对其他对可持续发展有影响的资源产生的杠杆效应。需要确定提供国和受援国的观点如何在框架内相互作用，如何相互调和。一般而言，框架不会提供对长期可持续发展不利的激励措施</w:t>
            </w:r>
            <w:r>
              <w:rPr>
                <w:rFonts w:hint="eastAsia"/>
              </w:rPr>
              <w:t>——</w:t>
            </w:r>
            <w:r w:rsidRPr="00CA7C90">
              <w:rPr>
                <w:rFonts w:hint="eastAsia"/>
              </w:rPr>
              <w:t>例如，鼓励短期、可能突然逆转的私人资金流动；制造过多债务；或可能通过更多以外币计值的负债增加汇率风险，这一点很重要。</w:t>
            </w:r>
            <w:r w:rsidRPr="00CA7C90">
              <w:rPr>
                <w:rFonts w:hint="eastAsia"/>
                <w:vertAlign w:val="superscript"/>
              </w:rPr>
              <w:t>b</w:t>
            </w:r>
          </w:p>
        </w:tc>
      </w:tr>
      <w:tr w:rsidR="00742699" w:rsidTr="002F4B77">
        <w:tc>
          <w:tcPr>
            <w:tcW w:w="7321" w:type="dxa"/>
            <w:shd w:val="clear" w:color="auto" w:fill="auto"/>
          </w:tcPr>
          <w:p w:rsidR="00742699" w:rsidRPr="00E966FE" w:rsidRDefault="00742699" w:rsidP="002F4B7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5" w:right="475"/>
              <w:rPr>
                <w:sz w:val="10"/>
              </w:rPr>
            </w:pPr>
            <w:r>
              <w:rPr>
                <w:noProof/>
                <w:sz w:val="10"/>
              </w:rPr>
              <mc:AlternateContent>
                <mc:Choice Requires="wps">
                  <w:drawing>
                    <wp:anchor distT="0" distB="0" distL="114300" distR="114300" simplePos="0" relativeHeight="251667456" behindDoc="0" locked="0" layoutInCell="1" allowOverlap="1" wp14:anchorId="1127E67E" wp14:editId="42C221AD">
                      <wp:simplePos x="0" y="0"/>
                      <wp:positionH relativeFrom="column">
                        <wp:posOffset>66675</wp:posOffset>
                      </wp:positionH>
                      <wp:positionV relativeFrom="paragraph">
                        <wp:posOffset>0</wp:posOffset>
                      </wp:positionV>
                      <wp:extent cx="914400" cy="0"/>
                      <wp:effectExtent l="9525" t="9525" r="952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7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" strokeweight=".25pt"/>
                  </w:pict>
                </mc:Fallback>
              </mc:AlternateContent>
            </w:r>
          </w:p>
          <w:p w:rsidR="00742699" w:rsidRPr="00CA7C90" w:rsidRDefault="00742699" w:rsidP="00891236">
            <w:pPr>
              <w:pStyle w:val="SingleTxt"/>
              <w:tabs>
                <w:tab w:val="right" w:pos="289"/>
                <w:tab w:val="left" w:pos="357"/>
              </w:tabs>
              <w:spacing w:after="100" w:line="240" w:lineRule="exact"/>
              <w:ind w:left="368" w:right="113" w:hanging="255"/>
              <w:rPr>
                <w:sz w:val="17"/>
              </w:rPr>
            </w:pPr>
            <w:r w:rsidRPr="00340FD0">
              <w:rPr>
                <w:sz w:val="17"/>
              </w:rPr>
              <w:tab/>
            </w:r>
            <w:r w:rsidRPr="00CA7C90">
              <w:rPr>
                <w:rFonts w:hint="eastAsia"/>
                <w:sz w:val="17"/>
                <w:vertAlign w:val="superscript"/>
              </w:rPr>
              <w:t>a</w:t>
            </w:r>
            <w:r>
              <w:rPr>
                <w:sz w:val="17"/>
              </w:rPr>
              <w:tab/>
            </w:r>
            <w:r w:rsidRPr="00CA7C90">
              <w:rPr>
                <w:rFonts w:hint="eastAsia"/>
                <w:sz w:val="17"/>
              </w:rPr>
              <w:t>见发展政策委员会提交经济及社会理事会的</w:t>
            </w:r>
            <w:r w:rsidRPr="00CA7C90">
              <w:rPr>
                <w:rFonts w:hint="eastAsia"/>
                <w:sz w:val="17"/>
              </w:rPr>
              <w:t>2016</w:t>
            </w:r>
            <w:r w:rsidRPr="00CA7C90">
              <w:rPr>
                <w:rFonts w:hint="eastAsia"/>
                <w:sz w:val="17"/>
              </w:rPr>
              <w:t>年报告</w:t>
            </w:r>
            <w:r>
              <w:rPr>
                <w:rFonts w:hint="eastAsia"/>
                <w:sz w:val="17"/>
              </w:rPr>
              <w:t>(</w:t>
            </w:r>
            <w:r w:rsidRPr="00CA7C90">
              <w:rPr>
                <w:rFonts w:hint="eastAsia"/>
                <w:sz w:val="17"/>
              </w:rPr>
              <w:t>即将印发</w:t>
            </w:r>
            <w:r>
              <w:rPr>
                <w:rFonts w:hint="eastAsia"/>
                <w:sz w:val="17"/>
              </w:rPr>
              <w:t>)</w:t>
            </w:r>
            <w:r w:rsidRPr="00CA7C90">
              <w:rPr>
                <w:rFonts w:hint="eastAsia"/>
                <w:sz w:val="17"/>
              </w:rPr>
              <w:t>。</w:t>
            </w:r>
          </w:p>
          <w:p w:rsidR="00742699" w:rsidRPr="00340FD0" w:rsidRDefault="00742699" w:rsidP="0089123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289"/>
                <w:tab w:val="left" w:pos="357"/>
              </w:tabs>
              <w:spacing w:after="0" w:line="240" w:lineRule="exact"/>
              <w:ind w:left="368" w:right="113" w:hanging="255"/>
              <w:rPr>
                <w:sz w:val="17"/>
              </w:rPr>
            </w:pPr>
            <w:r>
              <w:rPr>
                <w:sz w:val="17"/>
              </w:rPr>
              <w:tab/>
            </w:r>
            <w:r w:rsidRPr="00CA7C90">
              <w:rPr>
                <w:rFonts w:hint="eastAsia"/>
                <w:sz w:val="17"/>
                <w:vertAlign w:val="superscript"/>
              </w:rPr>
              <w:t>b</w:t>
            </w:r>
            <w:r>
              <w:rPr>
                <w:sz w:val="17"/>
              </w:rPr>
              <w:tab/>
            </w:r>
            <w:r w:rsidRPr="00CA7C90">
              <w:rPr>
                <w:rFonts w:hint="eastAsia"/>
                <w:sz w:val="17"/>
              </w:rPr>
              <w:t>见</w:t>
            </w:r>
            <w:r w:rsidRPr="00CA7C90">
              <w:rPr>
                <w:rFonts w:hint="eastAsia"/>
                <w:sz w:val="17"/>
              </w:rPr>
              <w:t>www.oecd.org/dac/financing-sustainable-development/tossd.htm</w:t>
            </w:r>
            <w:r w:rsidRPr="00CA7C90">
              <w:rPr>
                <w:rFonts w:hint="eastAsia"/>
                <w:sz w:val="17"/>
              </w:rPr>
              <w:t>。</w:t>
            </w:r>
          </w:p>
        </w:tc>
      </w:tr>
      <w:tr w:rsidR="00742699" w:rsidTr="002F4B77">
        <w:tc>
          <w:tcPr>
            <w:tcW w:w="7321" w:type="dxa"/>
            <w:shd w:val="clear" w:color="auto" w:fill="auto"/>
          </w:tcPr>
          <w:p w:rsidR="00742699" w:rsidRDefault="00742699" w:rsidP="002F4B7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742699" w:rsidRPr="00891236" w:rsidRDefault="00742699" w:rsidP="00891236">
      <w:pPr>
        <w:pStyle w:val="SingleTxt"/>
        <w:spacing w:after="0" w:line="120" w:lineRule="exact"/>
        <w:rPr>
          <w:sz w:val="10"/>
        </w:rPr>
      </w:pPr>
    </w:p>
    <w:p w:rsidR="00891236" w:rsidRDefault="00891236">
      <w:pPr>
        <w:spacing w:line="240" w:lineRule="auto"/>
        <w:jc w:val="left"/>
        <w:rPr>
          <w:sz w:val="10"/>
        </w:rPr>
      </w:pPr>
      <w:r>
        <w:rPr>
          <w:sz w:val="10"/>
        </w:rPr>
        <w:br w:type="page"/>
      </w:r>
    </w:p>
    <w:p w:rsidR="00742699" w:rsidRDefault="00742699" w:rsidP="007426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提高官方发展援助的针对性，使合作协调一致</w:t>
      </w:r>
    </w:p>
    <w:p w:rsidR="00742699" w:rsidRPr="00742699" w:rsidRDefault="00742699" w:rsidP="00742699">
      <w:pPr>
        <w:pStyle w:val="SingleTxt"/>
        <w:spacing w:after="0" w:line="120" w:lineRule="exact"/>
        <w:ind w:right="0"/>
        <w:rPr>
          <w:sz w:val="10"/>
        </w:rPr>
      </w:pPr>
    </w:p>
    <w:p w:rsidR="00742699" w:rsidRDefault="00742699" w:rsidP="0089123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16.</w:t>
      </w:r>
      <w:r>
        <w:rPr>
          <w:rFonts w:hint="eastAsia"/>
        </w:rPr>
        <w:tab/>
      </w:r>
      <w:r>
        <w:rPr>
          <w:rFonts w:hint="eastAsia"/>
        </w:rPr>
        <w:t>在《</w:t>
      </w:r>
      <w:r>
        <w:rPr>
          <w:rFonts w:hint="eastAsia"/>
        </w:rPr>
        <w:t>2030</w:t>
      </w:r>
      <w:r>
        <w:rPr>
          <w:rFonts w:hint="eastAsia"/>
        </w:rPr>
        <w:t>年议程》背景下，可以而且应该进一步确定官方发展援助的优先次序，以推动公共和私人资源投向需求最大、能力最弱的地方。</w:t>
      </w:r>
      <w:r w:rsidRPr="008C632F">
        <w:rPr>
          <w:rStyle w:val="a3"/>
        </w:rPr>
        <w:footnoteReference w:id="27"/>
      </w:r>
    </w:p>
    <w:p w:rsidR="00742699" w:rsidRDefault="00742699" w:rsidP="0089123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17.</w:t>
      </w:r>
      <w:r>
        <w:rPr>
          <w:rFonts w:hint="eastAsia"/>
        </w:rPr>
        <w:tab/>
      </w:r>
      <w:r w:rsidRPr="00891236">
        <w:rPr>
          <w:rFonts w:hint="eastAsia"/>
          <w:spacing w:val="-4"/>
        </w:rPr>
        <w:t>一个可能提高官方发展援助针对性的办法是，规定提供官方发展援助机构的法定授权之一是根据减贫目标有针对性地拨款。分析显示，如果捐助机构的法定任务是消除贫穷或者捐助机构认为消除贫穷是一项主要目标，则更有可能将官方发展援助分配给政府资源占国内生产总值</w:t>
      </w:r>
      <w:r w:rsidRPr="00891236">
        <w:rPr>
          <w:rFonts w:hint="eastAsia"/>
          <w:spacing w:val="-4"/>
        </w:rPr>
        <w:t>(</w:t>
      </w:r>
      <w:r w:rsidRPr="00891236">
        <w:rPr>
          <w:rFonts w:hint="eastAsia"/>
          <w:spacing w:val="-4"/>
        </w:rPr>
        <w:t>国内总产值</w:t>
      </w:r>
      <w:r w:rsidRPr="00891236">
        <w:rPr>
          <w:rFonts w:hint="eastAsia"/>
          <w:spacing w:val="-4"/>
        </w:rPr>
        <w:t>)</w:t>
      </w:r>
      <w:r w:rsidRPr="00891236">
        <w:rPr>
          <w:rFonts w:hint="eastAsia"/>
          <w:spacing w:val="-4"/>
        </w:rPr>
        <w:t>比例最低且贫困程度最高的国家。</w:t>
      </w:r>
      <w:r w:rsidRPr="008C632F">
        <w:rPr>
          <w:rStyle w:val="a3"/>
        </w:rPr>
        <w:footnoteReference w:id="28"/>
      </w:r>
    </w:p>
    <w:p w:rsidR="00742699" w:rsidRDefault="00742699" w:rsidP="0089123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18.</w:t>
      </w:r>
      <w:r>
        <w:rPr>
          <w:rFonts w:hint="eastAsia"/>
        </w:rPr>
        <w:tab/>
      </w:r>
      <w:r>
        <w:rPr>
          <w:rFonts w:hint="eastAsia"/>
        </w:rPr>
        <w:t>必须给予特别关注，以确保官方发展援助惠及最贫穷人口以及有具体关切问题的人口，包括妇女和女童</w:t>
      </w:r>
      <w:r>
        <w:rPr>
          <w:rFonts w:hint="eastAsia"/>
        </w:rPr>
        <w:t>(</w:t>
      </w:r>
      <w:r>
        <w:rPr>
          <w:rFonts w:hint="eastAsia"/>
        </w:rPr>
        <w:t>见方框</w:t>
      </w:r>
      <w:r>
        <w:rPr>
          <w:rFonts w:hint="eastAsia"/>
        </w:rPr>
        <w:t>2)</w:t>
      </w:r>
      <w:r>
        <w:rPr>
          <w:rFonts w:hint="eastAsia"/>
        </w:rPr>
        <w:t>。在可持续发展目标范畴内，需要重新审议以人均国民总收入为基础的分配标准，同时考虑到国家的现有能力以及其他社会和环境脆弱性因素。</w:t>
      </w:r>
      <w:r w:rsidRPr="008C632F">
        <w:rPr>
          <w:rStyle w:val="a3"/>
        </w:rPr>
        <w:footnoteReference w:id="29"/>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742699">
        <w:tc>
          <w:tcPr>
            <w:tcW w:w="7321" w:type="dxa"/>
            <w:shd w:val="clear" w:color="auto" w:fill="auto"/>
          </w:tcPr>
          <w:p w:rsidR="00742699" w:rsidRPr="00E966FE" w:rsidRDefault="00742699" w:rsidP="00EE74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742699" w:rsidRPr="00F74F6E" w:rsidRDefault="00742699" w:rsidP="00891236">
            <w:pPr>
              <w:pStyle w:val="SingleTxt"/>
              <w:tabs>
                <w:tab w:val="left" w:pos="544"/>
                <w:tab w:val="left" w:pos="965"/>
                <w:tab w:val="left" w:pos="1440"/>
                <w:tab w:val="left" w:pos="1915"/>
                <w:tab w:val="left" w:pos="2405"/>
                <w:tab w:val="left" w:pos="2880"/>
                <w:tab w:val="left" w:pos="3355"/>
              </w:tabs>
              <w:spacing w:after="120"/>
              <w:ind w:left="113" w:right="113"/>
              <w:rPr>
                <w:rFonts w:ascii="黑体" w:eastAsia="黑体" w:hAnsi="黑体"/>
              </w:rPr>
            </w:pPr>
            <w:r w:rsidRPr="00F74F6E">
              <w:rPr>
                <w:rFonts w:ascii="黑体" w:eastAsia="黑体" w:hAnsi="黑体" w:hint="eastAsia"/>
              </w:rPr>
              <w:t>方框2.为促进性别平等和增强妇女和女童权能开展变革性筹资</w:t>
            </w:r>
          </w:p>
          <w:p w:rsidR="00742699" w:rsidRPr="0013118B" w:rsidRDefault="00742699" w:rsidP="00891236">
            <w:pPr>
              <w:pStyle w:val="SingleTxt"/>
              <w:tabs>
                <w:tab w:val="left" w:pos="544"/>
                <w:tab w:val="left" w:pos="965"/>
                <w:tab w:val="left" w:pos="1440"/>
                <w:tab w:val="left" w:pos="1915"/>
                <w:tab w:val="left" w:pos="2405"/>
                <w:tab w:val="left" w:pos="2880"/>
                <w:tab w:val="left" w:pos="3355"/>
              </w:tabs>
              <w:spacing w:line="316" w:lineRule="exact"/>
              <w:ind w:left="113" w:right="113"/>
            </w:pPr>
            <w:r>
              <w:tab/>
            </w:r>
            <w:r>
              <w:rPr>
                <w:rFonts w:hint="eastAsia"/>
              </w:rPr>
              <w:t>虽然在落实千年发展目标期间，发展援助委员会捐助国对性别平等的支助增加了两倍多，</w:t>
            </w:r>
            <w:r w:rsidRPr="00F940FD">
              <w:rPr>
                <w:rFonts w:hint="eastAsia"/>
                <w:vertAlign w:val="superscript"/>
              </w:rPr>
              <w:t>a</w:t>
            </w:r>
            <w:r>
              <w:rPr>
                <w:rFonts w:hint="eastAsia"/>
                <w:vertAlign w:val="superscript"/>
              </w:rPr>
              <w:t xml:space="preserve"> </w:t>
            </w:r>
            <w:r>
              <w:rPr>
                <w:rFonts w:hint="eastAsia"/>
              </w:rPr>
              <w:t>但是总体投资仍远远低于实现性别平等所需的水平，而且只有小部分投资解决了妇女的具体需要。正如联合国促进性别平等和增强妇女权能署所呼吁的那样，《亚的斯亚贝巴行动议程》承诺采取和加强合理的政策和可强制执行的立法，采取和加强变革行动，以促进性别平等，在各级增强妇女和女童权能。《亚的斯亚贝巴行动议程》还强调需要性别平等主流化，包括在制订和执行所有金融、经济、环境和社会政策方面开展有针对性的行动和投资，敦促各国跟踪和报告用于促进性别平等和增强妇女权能的资源分配情况。</w:t>
            </w:r>
          </w:p>
        </w:tc>
      </w:tr>
      <w:tr w:rsidR="00742699">
        <w:tc>
          <w:tcPr>
            <w:tcW w:w="7321" w:type="dxa"/>
            <w:shd w:val="clear" w:color="auto" w:fill="auto"/>
          </w:tcPr>
          <w:p w:rsidR="00742699" w:rsidRPr="00E966FE" w:rsidRDefault="00CB2B7E" w:rsidP="00EE74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5" w:right="475"/>
              <w:rPr>
                <w:sz w:val="10"/>
              </w:rPr>
            </w:pPr>
            <w:r>
              <w:rPr>
                <w:noProof/>
                <w:sz w:val="10"/>
              </w:rPr>
              <w:pict>
                <v:line id="_x0000_s1026" style="position:absolute;left:0;text-align:left;z-index:251669504;mso-position-horizontal-relative:text;mso-position-vertical-relative:text" from="5.25pt,0" to="77.25pt,0" strokeweight=".25pt"/>
              </w:pict>
            </w:r>
          </w:p>
          <w:p w:rsidR="00742699" w:rsidRPr="00340FD0" w:rsidRDefault="00742699" w:rsidP="00F74F6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289"/>
                <w:tab w:val="left" w:pos="357"/>
              </w:tabs>
              <w:spacing w:after="0" w:line="240" w:lineRule="exact"/>
              <w:ind w:left="368" w:right="113" w:hanging="255"/>
              <w:rPr>
                <w:sz w:val="17"/>
              </w:rPr>
            </w:pPr>
            <w:r>
              <w:rPr>
                <w:sz w:val="17"/>
              </w:rPr>
              <w:tab/>
            </w:r>
            <w:r>
              <w:rPr>
                <w:rFonts w:hint="eastAsia"/>
                <w:sz w:val="17"/>
                <w:vertAlign w:val="superscript"/>
              </w:rPr>
              <w:t>a</w:t>
            </w:r>
            <w:r w:rsidRPr="00340FD0">
              <w:rPr>
                <w:sz w:val="17"/>
              </w:rPr>
              <w:tab/>
            </w:r>
            <w:r w:rsidRPr="00F74F6E">
              <w:rPr>
                <w:rFonts w:hint="eastAsia"/>
                <w:sz w:val="17"/>
              </w:rPr>
              <w:t>见“从承诺到行动：在落实可持续发展目标过程中为促进性别平等和妇女权利筹资”，经合组织发展援助委员会性别平等网络</w:t>
            </w:r>
            <w:r>
              <w:rPr>
                <w:rFonts w:hint="eastAsia"/>
                <w:sz w:val="17"/>
              </w:rPr>
              <w:t>(</w:t>
            </w:r>
            <w:r w:rsidRPr="00F74F6E">
              <w:rPr>
                <w:rFonts w:hint="eastAsia"/>
                <w:sz w:val="17"/>
              </w:rPr>
              <w:t>GENDERNET</w:t>
            </w:r>
            <w:r>
              <w:rPr>
                <w:rFonts w:hint="eastAsia"/>
                <w:sz w:val="17"/>
              </w:rPr>
              <w:t>)</w:t>
            </w:r>
            <w:r w:rsidRPr="00F74F6E">
              <w:rPr>
                <w:rFonts w:hint="eastAsia"/>
                <w:sz w:val="17"/>
              </w:rPr>
              <w:t>，</w:t>
            </w:r>
            <w:r w:rsidRPr="00F74F6E">
              <w:rPr>
                <w:rFonts w:hint="eastAsia"/>
                <w:sz w:val="17"/>
              </w:rPr>
              <w:t>2015</w:t>
            </w:r>
            <w:r w:rsidRPr="00F74F6E">
              <w:rPr>
                <w:rFonts w:hint="eastAsia"/>
                <w:sz w:val="17"/>
              </w:rPr>
              <w:t>年</w:t>
            </w:r>
            <w:r w:rsidRPr="00F74F6E">
              <w:rPr>
                <w:rFonts w:hint="eastAsia"/>
                <w:sz w:val="17"/>
              </w:rPr>
              <w:t>3</w:t>
            </w:r>
            <w:r w:rsidRPr="00F74F6E">
              <w:rPr>
                <w:rFonts w:hint="eastAsia"/>
                <w:sz w:val="17"/>
              </w:rPr>
              <w:t>月，</w:t>
            </w:r>
            <w:r w:rsidRPr="00F74F6E">
              <w:rPr>
                <w:rFonts w:hint="eastAsia"/>
                <w:sz w:val="17"/>
              </w:rPr>
              <w:t>www.oecd.org/dac/gender-</w:t>
            </w:r>
            <w:r>
              <w:rPr>
                <w:sz w:val="17"/>
              </w:rPr>
              <w:br/>
            </w:r>
            <w:r w:rsidRPr="00F74F6E">
              <w:rPr>
                <w:rFonts w:hint="eastAsia"/>
                <w:sz w:val="17"/>
              </w:rPr>
              <w:t>development/From%20commitment%20to%20action%20FINAL.pdf</w:t>
            </w:r>
            <w:r w:rsidRPr="00F74F6E">
              <w:rPr>
                <w:rFonts w:hint="eastAsia"/>
                <w:sz w:val="17"/>
              </w:rPr>
              <w:t>。</w:t>
            </w:r>
          </w:p>
        </w:tc>
      </w:tr>
      <w:tr w:rsidR="00742699">
        <w:tc>
          <w:tcPr>
            <w:tcW w:w="7321" w:type="dxa"/>
            <w:shd w:val="clear" w:color="auto" w:fill="auto"/>
          </w:tcPr>
          <w:p w:rsidR="00742699" w:rsidRDefault="00742699" w:rsidP="00226C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742699" w:rsidRPr="00891236" w:rsidRDefault="00742699" w:rsidP="00891236">
      <w:pPr>
        <w:pStyle w:val="SingleTxt"/>
        <w:spacing w:after="0" w:line="200" w:lineRule="exact"/>
        <w:rPr>
          <w:sz w:val="10"/>
        </w:rPr>
      </w:pPr>
    </w:p>
    <w:p w:rsidR="00742699" w:rsidRDefault="00742699" w:rsidP="00F74F6E">
      <w:pPr>
        <w:pStyle w:val="SingleTxt"/>
      </w:pPr>
      <w:r>
        <w:rPr>
          <w:rFonts w:hint="eastAsia"/>
        </w:rPr>
        <w:t>19.</w:t>
      </w:r>
      <w:r>
        <w:rPr>
          <w:rFonts w:hint="eastAsia"/>
        </w:rPr>
        <w:tab/>
      </w:r>
      <w:r>
        <w:rPr>
          <w:rFonts w:hint="eastAsia"/>
        </w:rPr>
        <w:t>在更有针对性地选择国家的同时，还应该使方法更有针对性。目前，官方发展援助赠款拨款主要侧重于政府收入低和贫困程度高的国家，而官方发展援助贷款的分配主要侧重于政府收入低的国家，对贫困程度的强调较少。但是，大量官方发展援助赠款流向贫困水平较低的中等收入国家，主要用于资助应对全球挑战的努力，如减缓气候变化和公共卫生领域。</w:t>
      </w:r>
      <w:r w:rsidRPr="008C632F">
        <w:rPr>
          <w:rStyle w:val="a3"/>
        </w:rPr>
        <w:footnoteReference w:id="30"/>
      </w:r>
    </w:p>
    <w:p w:rsidR="00742699" w:rsidRDefault="00742699" w:rsidP="00891236">
      <w:pPr>
        <w:pStyle w:val="SingleTxt"/>
        <w:spacing w:line="326" w:lineRule="exact"/>
      </w:pPr>
      <w:r>
        <w:rPr>
          <w:rFonts w:hint="eastAsia"/>
        </w:rPr>
        <w:t>20.</w:t>
      </w:r>
      <w:r>
        <w:rPr>
          <w:rFonts w:hint="eastAsia"/>
        </w:rPr>
        <w:tab/>
      </w:r>
      <w:r>
        <w:rPr>
          <w:rFonts w:hint="eastAsia"/>
        </w:rPr>
        <w:t>在可持续发展目标范畴内，人们也期待更战略性地利用发展合作，将其作为调动其他类型资源的促进因素。</w:t>
      </w:r>
      <w:r w:rsidRPr="008C632F">
        <w:rPr>
          <w:rStyle w:val="a3"/>
        </w:rPr>
        <w:footnoteReference w:id="31"/>
      </w:r>
      <w:r>
        <w:rPr>
          <w:rFonts w:hint="eastAsia"/>
        </w:rPr>
        <w:t xml:space="preserve"> </w:t>
      </w:r>
      <w:r>
        <w:rPr>
          <w:rFonts w:hint="eastAsia"/>
        </w:rPr>
        <w:t>在这方面，重要的是密切监测和记录有关证据，了解将官方发展援助用作杠杆工具的各种办法的效力，其中包括通过发展中国家的公私伙伴关系促进私人投资。本节提及了把官方发展援助用作杠杆工具的三种方式。</w:t>
      </w:r>
    </w:p>
    <w:p w:rsidR="00742699" w:rsidRDefault="00742699" w:rsidP="00891236">
      <w:pPr>
        <w:pStyle w:val="SingleTxt"/>
        <w:spacing w:line="326" w:lineRule="exact"/>
      </w:pPr>
      <w:r>
        <w:rPr>
          <w:rFonts w:hint="eastAsia"/>
        </w:rPr>
        <w:t>21.</w:t>
      </w:r>
      <w:r>
        <w:rPr>
          <w:rFonts w:hint="eastAsia"/>
        </w:rPr>
        <w:tab/>
      </w:r>
      <w:r>
        <w:rPr>
          <w:rFonts w:hint="eastAsia"/>
        </w:rPr>
        <w:t>首先，发展合作，包括通过加强南南合作，应该在激发科学、技术和创新</w:t>
      </w:r>
      <w:r>
        <w:rPr>
          <w:rFonts w:hint="eastAsia"/>
        </w:rPr>
        <w:t>(</w:t>
      </w:r>
      <w:r>
        <w:rPr>
          <w:rFonts w:hint="eastAsia"/>
        </w:rPr>
        <w:t>包括信息和通信技术</w:t>
      </w:r>
      <w:r>
        <w:rPr>
          <w:rFonts w:hint="eastAsia"/>
        </w:rPr>
        <w:t>)</w:t>
      </w:r>
      <w:r>
        <w:rPr>
          <w:rFonts w:hint="eastAsia"/>
        </w:rPr>
        <w:t>的变革力量方面发挥更突出的作用，以推动获得环境友好型技术，加快人类进步，建设知识社会，缩小技术差距。在努力实现上述目标期间，应特别关注最不发达国家、内陆发展中国家和小岛屿发展中国家，并与新设立的技术推动机制的努力和拟议的最不发达国家技术库相配合。还应重点关注如何通过发展合作利用土著</w:t>
      </w:r>
      <w:r>
        <w:rPr>
          <w:rFonts w:hint="eastAsia"/>
        </w:rPr>
        <w:t>/</w:t>
      </w:r>
      <w:r>
        <w:rPr>
          <w:rFonts w:hint="eastAsia"/>
        </w:rPr>
        <w:t>本地知识体系和技术。政策咨询和能力支持可发挥至关重要的作用，支持各国政府和其他行为体作出充分知情的决定，以确保稀缺的财政和非财政资源得到最佳配置。</w:t>
      </w:r>
      <w:r w:rsidRPr="008C632F">
        <w:rPr>
          <w:rStyle w:val="a3"/>
        </w:rPr>
        <w:footnoteReference w:id="32"/>
      </w:r>
    </w:p>
    <w:p w:rsidR="00742699" w:rsidRDefault="00742699" w:rsidP="00891236">
      <w:pPr>
        <w:pStyle w:val="SingleTxt"/>
        <w:spacing w:line="326" w:lineRule="exact"/>
      </w:pPr>
      <w:r>
        <w:rPr>
          <w:rFonts w:hint="eastAsia"/>
        </w:rPr>
        <w:t>22.</w:t>
      </w:r>
      <w:r>
        <w:rPr>
          <w:rFonts w:hint="eastAsia"/>
        </w:rPr>
        <w:tab/>
      </w:r>
      <w:r>
        <w:rPr>
          <w:rFonts w:hint="eastAsia"/>
        </w:rPr>
        <w:t>第二，在亚的斯亚贝巴税收倡议</w:t>
      </w:r>
      <w:r w:rsidRPr="008C632F">
        <w:rPr>
          <w:rStyle w:val="a3"/>
        </w:rPr>
        <w:footnoteReference w:id="33"/>
      </w:r>
      <w:r>
        <w:rPr>
          <w:rFonts w:hint="eastAsia"/>
        </w:rPr>
        <w:t xml:space="preserve"> </w:t>
      </w:r>
      <w:r>
        <w:rPr>
          <w:rFonts w:hint="eastAsia"/>
        </w:rPr>
        <w:t>的背景下，发展合作可以为发展中国家提供具有促进作用的支持，加强税务管理能力，并根据不同国情，通过各种方式</w:t>
      </w:r>
      <w:r>
        <w:rPr>
          <w:rFonts w:hint="eastAsia"/>
        </w:rPr>
        <w:t>(</w:t>
      </w:r>
      <w:r>
        <w:rPr>
          <w:rFonts w:hint="eastAsia"/>
        </w:rPr>
        <w:t>官方发展援助、南南合作和三角合作</w:t>
      </w:r>
      <w:r>
        <w:rPr>
          <w:rFonts w:hint="eastAsia"/>
        </w:rPr>
        <w:t>)</w:t>
      </w:r>
      <w:r>
        <w:rPr>
          <w:rFonts w:hint="eastAsia"/>
        </w:rPr>
        <w:t>来采取必要措施。在有些情况下，分享技术和创新以及为加强金融体系开展有针对性的能力建设已证明是有效的。需要更透明地报告为调动国内资源进行的发展合作资金流动，以推动更加注重成果，为分享关于行之有效办法的知识提供基础。发展合作可以在以下方面发挥更大作用：推动全球和区域两级实现更大程度的协调一致和政策变化，有针对性地解决影响国内资源调动的系统性问题。</w:t>
      </w:r>
    </w:p>
    <w:p w:rsidR="00742699" w:rsidRDefault="00742699" w:rsidP="00891236">
      <w:pPr>
        <w:pStyle w:val="SingleTxt"/>
        <w:spacing w:line="326" w:lineRule="exact"/>
      </w:pPr>
      <w:r>
        <w:rPr>
          <w:rFonts w:hint="eastAsia"/>
        </w:rPr>
        <w:t>23.</w:t>
      </w:r>
      <w:r>
        <w:rPr>
          <w:rFonts w:hint="eastAsia"/>
        </w:rPr>
        <w:tab/>
      </w:r>
      <w:r>
        <w:rPr>
          <w:rFonts w:hint="eastAsia"/>
        </w:rPr>
        <w:t>第三，支持统计能力建设的官方发展援助仅集中在少数国家，</w:t>
      </w:r>
      <w:r>
        <w:rPr>
          <w:rFonts w:hint="eastAsia"/>
        </w:rPr>
        <w:t>2014</w:t>
      </w:r>
      <w:r>
        <w:rPr>
          <w:rFonts w:hint="eastAsia"/>
        </w:rPr>
        <w:t>年按实际价值计算的援助下降近一半</w:t>
      </w:r>
      <w:r>
        <w:rPr>
          <w:rFonts w:hint="eastAsia"/>
        </w:rPr>
        <w:t>(</w:t>
      </w:r>
      <w:r>
        <w:rPr>
          <w:rFonts w:hint="eastAsia"/>
        </w:rPr>
        <w:t>见图四</w:t>
      </w:r>
      <w:r>
        <w:rPr>
          <w:rFonts w:hint="eastAsia"/>
        </w:rPr>
        <w:t>)</w:t>
      </w:r>
      <w:r>
        <w:rPr>
          <w:rFonts w:hint="eastAsia"/>
        </w:rPr>
        <w:t>。在实现包括目标</w:t>
      </w:r>
      <w:r>
        <w:rPr>
          <w:rFonts w:hint="eastAsia"/>
        </w:rPr>
        <w:t>17</w:t>
      </w:r>
      <w:r>
        <w:rPr>
          <w:rFonts w:hint="eastAsia"/>
        </w:rPr>
        <w:t>在内的所有可持续发展目标方面，数据发挥核心作用。发展合作应特别注意发达国家和发展中国家之间以及能够获得数据的人和无法获得数据的人之间在数据上存在的较大差距和不平等，因为，在实现包括目标</w:t>
      </w:r>
      <w:r>
        <w:rPr>
          <w:rFonts w:hint="eastAsia"/>
        </w:rPr>
        <w:t>17</w:t>
      </w:r>
      <w:r>
        <w:rPr>
          <w:rFonts w:hint="eastAsia"/>
        </w:rPr>
        <w:t>在内的所有可持续发展目标方面，数据发挥核心作用。</w:t>
      </w:r>
      <w:r w:rsidRPr="008C632F">
        <w:rPr>
          <w:rStyle w:val="a3"/>
        </w:rPr>
        <w:footnoteReference w:id="34"/>
      </w:r>
      <w:r>
        <w:rPr>
          <w:rFonts w:hint="eastAsia"/>
        </w:rPr>
        <w:t xml:space="preserve"> </w:t>
      </w:r>
      <w:r>
        <w:rPr>
          <w:rFonts w:hint="eastAsia"/>
        </w:rPr>
        <w:t>该领域的官方发展援助分配应优先考虑提高发展中国家统计能力的明确战略。重点应放在政府收入与国内总产值的比率最低的国家，同时政府致力于随时间推移增加对统计机构的供资。</w:t>
      </w:r>
    </w:p>
    <w:p w:rsidR="00742699" w:rsidRPr="00F74F6E" w:rsidRDefault="00742699" w:rsidP="00891236">
      <w:pPr>
        <w:pStyle w:val="SingleTxt"/>
        <w:spacing w:after="80"/>
        <w:rPr>
          <w:rFonts w:ascii="黑体" w:eastAsia="黑体" w:hAnsi="黑体"/>
        </w:rPr>
      </w:pPr>
      <w:r>
        <w:rPr>
          <w:rFonts w:hint="eastAsia"/>
        </w:rPr>
        <w:t>图</w:t>
      </w:r>
      <w:r w:rsidR="00835515">
        <w:rPr>
          <w:rFonts w:hint="eastAsia"/>
        </w:rPr>
        <w:t>四</w:t>
      </w:r>
      <w:r>
        <w:br/>
      </w:r>
      <w:r w:rsidRPr="00F74F6E">
        <w:rPr>
          <w:rFonts w:ascii="黑体" w:eastAsia="黑体" w:hAnsi="黑体" w:hint="eastAsia"/>
        </w:rPr>
        <w:t>支持统计能力建设的官方发展援助</w:t>
      </w:r>
    </w:p>
    <w:p w:rsidR="00742699" w:rsidRDefault="00742699" w:rsidP="00891236">
      <w:pPr>
        <w:pStyle w:val="SingleTxt"/>
        <w:spacing w:after="60" w:line="240" w:lineRule="auto"/>
      </w:pPr>
      <w:r w:rsidRPr="007E7F5B">
        <w:rPr>
          <w:rFonts w:asciiTheme="majorHAnsi" w:eastAsiaTheme="majorHAnsi" w:hAnsiTheme="majorHAnsi"/>
          <w:noProof/>
        </w:rPr>
        <w:drawing>
          <wp:inline distT="0" distB="0" distL="0" distR="0" wp14:anchorId="2C92C2A4" wp14:editId="1541CA6C">
            <wp:extent cx="3726611" cy="2078966"/>
            <wp:effectExtent l="0" t="0" r="762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2699" w:rsidRDefault="00742699" w:rsidP="00891236">
      <w:pPr>
        <w:pStyle w:val="a5"/>
        <w:tabs>
          <w:tab w:val="clear" w:pos="418"/>
          <w:tab w:val="right" w:pos="1476"/>
          <w:tab w:val="left" w:pos="1548"/>
          <w:tab w:val="right" w:pos="1836"/>
          <w:tab w:val="left" w:pos="1908"/>
        </w:tabs>
        <w:spacing w:after="200"/>
        <w:ind w:left="1548" w:right="1264" w:hanging="289"/>
      </w:pPr>
      <w:r w:rsidRPr="00F74F6E">
        <w:rPr>
          <w:rFonts w:ascii="楷体_GB2312" w:eastAsia="楷体_GB2312" w:hAnsi="楷体_GB2312" w:hint="eastAsia"/>
        </w:rPr>
        <w:t>资料来源</w:t>
      </w:r>
      <w:r w:rsidRPr="00F74F6E">
        <w:rPr>
          <w:rFonts w:hint="eastAsia"/>
        </w:rPr>
        <w:t>：</w:t>
      </w:r>
      <w:r w:rsidR="00835515">
        <w:rPr>
          <w:rFonts w:hint="eastAsia"/>
        </w:rPr>
        <w:t>发展援助委员会贷方报告</w:t>
      </w:r>
      <w:r w:rsidR="00EE6944">
        <w:rPr>
          <w:rFonts w:hint="eastAsia"/>
        </w:rPr>
        <w:t>制度</w:t>
      </w:r>
      <w:r w:rsidRPr="00F74F6E">
        <w:rPr>
          <w:rFonts w:hint="eastAsia"/>
        </w:rPr>
        <w:t>。</w:t>
      </w:r>
    </w:p>
    <w:p w:rsidR="00742699" w:rsidRDefault="00742699" w:rsidP="00F74F6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t>南南合作的趋势和发展</w:t>
      </w:r>
    </w:p>
    <w:p w:rsidR="00742699" w:rsidRPr="00F74F6E" w:rsidRDefault="00742699" w:rsidP="00F74F6E">
      <w:pPr>
        <w:pStyle w:val="SingleTxt"/>
        <w:spacing w:after="0" w:line="120" w:lineRule="exact"/>
        <w:rPr>
          <w:sz w:val="10"/>
        </w:rPr>
      </w:pPr>
    </w:p>
    <w:p w:rsidR="00742699" w:rsidRDefault="00742699" w:rsidP="00F74F6E">
      <w:pPr>
        <w:pStyle w:val="SingleTxt"/>
      </w:pPr>
      <w:r>
        <w:rPr>
          <w:rFonts w:hint="eastAsia"/>
        </w:rPr>
        <w:t>24.</w:t>
      </w:r>
      <w:r>
        <w:rPr>
          <w:rFonts w:hint="eastAsia"/>
        </w:rPr>
        <w:tab/>
      </w:r>
      <w:r>
        <w:rPr>
          <w:rFonts w:hint="eastAsia"/>
        </w:rPr>
        <w:t>尽管新兴经济体的增长速度放缓，商品价格下降，南南合作继续增长。据估计，</w:t>
      </w:r>
      <w:r>
        <w:rPr>
          <w:rFonts w:hint="eastAsia"/>
        </w:rPr>
        <w:t>2013</w:t>
      </w:r>
      <w:r>
        <w:rPr>
          <w:rFonts w:hint="eastAsia"/>
        </w:rPr>
        <w:t>年的南南合作价值超过</w:t>
      </w:r>
      <w:r>
        <w:rPr>
          <w:rFonts w:hint="eastAsia"/>
        </w:rPr>
        <w:t>200</w:t>
      </w:r>
      <w:r>
        <w:rPr>
          <w:rFonts w:hint="eastAsia"/>
        </w:rPr>
        <w:t>亿美元。</w:t>
      </w:r>
      <w:r w:rsidRPr="008C632F">
        <w:rPr>
          <w:rStyle w:val="a3"/>
        </w:rPr>
        <w:footnoteReference w:id="35"/>
      </w:r>
      <w:r>
        <w:rPr>
          <w:rFonts w:hint="eastAsia"/>
        </w:rPr>
        <w:t xml:space="preserve"> 2014</w:t>
      </w:r>
      <w:r>
        <w:rPr>
          <w:rFonts w:hint="eastAsia"/>
        </w:rPr>
        <w:t>年的部分数据显示，南南合作的货币价值可能已远远超过</w:t>
      </w:r>
      <w:r>
        <w:rPr>
          <w:rFonts w:hint="eastAsia"/>
        </w:rPr>
        <w:t>2013</w:t>
      </w:r>
      <w:r>
        <w:rPr>
          <w:rFonts w:hint="eastAsia"/>
        </w:rPr>
        <w:t>年总值，主要原因是沙特阿拉伯大幅增加援助，在</w:t>
      </w:r>
      <w:r>
        <w:rPr>
          <w:rFonts w:hint="eastAsia"/>
        </w:rPr>
        <w:t>2014</w:t>
      </w:r>
      <w:r>
        <w:rPr>
          <w:rFonts w:hint="eastAsia"/>
        </w:rPr>
        <w:t>年将其援助增加一倍多。现有数据还显示，中国和印度提供的发展合作稳步增长。</w:t>
      </w:r>
      <w:r w:rsidRPr="008C632F">
        <w:rPr>
          <w:rStyle w:val="a3"/>
        </w:rPr>
        <w:footnoteReference w:id="36"/>
      </w:r>
    </w:p>
    <w:p w:rsidR="00742699" w:rsidRDefault="00742699" w:rsidP="00F74F6E">
      <w:pPr>
        <w:pStyle w:val="SingleTxt"/>
      </w:pPr>
      <w:r>
        <w:rPr>
          <w:rFonts w:hint="eastAsia"/>
        </w:rPr>
        <w:t>25.</w:t>
      </w:r>
      <w:r>
        <w:rPr>
          <w:rFonts w:hint="eastAsia"/>
        </w:rPr>
        <w:tab/>
      </w:r>
      <w:r>
        <w:rPr>
          <w:rFonts w:hint="eastAsia"/>
        </w:rPr>
        <w:t>《亚的斯亚贝巴行动议程》、《</w:t>
      </w:r>
      <w:r>
        <w:rPr>
          <w:rFonts w:hint="eastAsia"/>
        </w:rPr>
        <w:t>2030</w:t>
      </w:r>
      <w:r>
        <w:rPr>
          <w:rFonts w:hint="eastAsia"/>
        </w:rPr>
        <w:t>年议程》和《联合国气候变化框架公约》下的《巴黎协定》的通过进一步推动了南南合作势头，加速了若干主要倡议的启动。</w:t>
      </w:r>
      <w:r w:rsidRPr="008C632F">
        <w:rPr>
          <w:rStyle w:val="a3"/>
        </w:rPr>
        <w:footnoteReference w:id="37"/>
      </w:r>
      <w:r>
        <w:rPr>
          <w:rFonts w:hint="eastAsia"/>
        </w:rPr>
        <w:t xml:space="preserve"> </w:t>
      </w:r>
      <w:r>
        <w:rPr>
          <w:rFonts w:hint="eastAsia"/>
        </w:rPr>
        <w:t>印度宣布今后五年为非洲提供</w:t>
      </w:r>
      <w:r>
        <w:rPr>
          <w:rFonts w:hint="eastAsia"/>
        </w:rPr>
        <w:t>100</w:t>
      </w:r>
      <w:r>
        <w:rPr>
          <w:rFonts w:hint="eastAsia"/>
        </w:rPr>
        <w:t>亿美元优惠贷款和</w:t>
      </w:r>
      <w:r>
        <w:rPr>
          <w:rFonts w:hint="eastAsia"/>
        </w:rPr>
        <w:t>6</w:t>
      </w:r>
      <w:r>
        <w:rPr>
          <w:rFonts w:hint="eastAsia"/>
        </w:rPr>
        <w:t>亿美元赠款援助，此外还有印度在非洲的持续信贷额度方案。中国宣布设立一个</w:t>
      </w:r>
      <w:r>
        <w:rPr>
          <w:rFonts w:hint="eastAsia"/>
        </w:rPr>
        <w:t>20</w:t>
      </w:r>
      <w:r>
        <w:rPr>
          <w:rFonts w:hint="eastAsia"/>
        </w:rPr>
        <w:t>亿美元的基金，协助发展中国家落实《</w:t>
      </w:r>
      <w:r>
        <w:rPr>
          <w:rFonts w:hint="eastAsia"/>
        </w:rPr>
        <w:t>2030</w:t>
      </w:r>
      <w:r>
        <w:rPr>
          <w:rFonts w:hint="eastAsia"/>
        </w:rPr>
        <w:t>年议程》，并启动了中国气候变化南南合作基金。</w:t>
      </w:r>
    </w:p>
    <w:p w:rsidR="00742699" w:rsidRDefault="00742699" w:rsidP="00F74F6E">
      <w:pPr>
        <w:pStyle w:val="SingleTxt"/>
      </w:pPr>
      <w:r>
        <w:rPr>
          <w:rFonts w:hint="eastAsia"/>
        </w:rPr>
        <w:t>26.</w:t>
      </w:r>
      <w:r>
        <w:rPr>
          <w:rFonts w:hint="eastAsia"/>
        </w:rPr>
        <w:tab/>
      </w:r>
      <w:r>
        <w:rPr>
          <w:rFonts w:hint="eastAsia"/>
        </w:rPr>
        <w:t>南方伙伴已成为日益重要的人道主义援助来源。在</w:t>
      </w:r>
      <w:r>
        <w:rPr>
          <w:rFonts w:hint="eastAsia"/>
        </w:rPr>
        <w:t>2015</w:t>
      </w:r>
      <w:r>
        <w:rPr>
          <w:rFonts w:hint="eastAsia"/>
        </w:rPr>
        <w:t>年全球人道主义援助中，阿拉伯国家约占</w:t>
      </w:r>
      <w:r>
        <w:rPr>
          <w:rFonts w:hint="eastAsia"/>
        </w:rPr>
        <w:t>7.4%</w:t>
      </w:r>
      <w:r>
        <w:rPr>
          <w:rFonts w:hint="eastAsia"/>
        </w:rPr>
        <w:t>，</w:t>
      </w:r>
      <w:r w:rsidRPr="008C632F">
        <w:rPr>
          <w:rStyle w:val="a3"/>
        </w:rPr>
        <w:footnoteReference w:id="38"/>
      </w:r>
      <w:r>
        <w:rPr>
          <w:rFonts w:hint="eastAsia"/>
        </w:rPr>
        <w:t xml:space="preserve"> </w:t>
      </w:r>
      <w:r>
        <w:rPr>
          <w:rFonts w:hint="eastAsia"/>
        </w:rPr>
        <w:t>该数字可能被低估。来自南方伙伴的更高比例的人道主义援助是通过有关发展中国家的公共部门提供的。</w:t>
      </w:r>
    </w:p>
    <w:p w:rsidR="00742699" w:rsidRDefault="00742699" w:rsidP="00891236">
      <w:pPr>
        <w:pStyle w:val="SingleTxt"/>
        <w:spacing w:after="120"/>
      </w:pPr>
      <w:r>
        <w:rPr>
          <w:rFonts w:hint="eastAsia"/>
        </w:rPr>
        <w:t>27.</w:t>
      </w:r>
      <w:r>
        <w:rPr>
          <w:rFonts w:hint="eastAsia"/>
        </w:rPr>
        <w:tab/>
      </w:r>
      <w:r>
        <w:rPr>
          <w:rFonts w:hint="eastAsia"/>
        </w:rPr>
        <w:t>除政府收入之外，南南合作的供资来源日益多样化。国家开发银行，包括非洲的国家开发银行在区域和次区域基础设施融资中发挥了更突出的作用。南方伙伴发起成立的多边开发银行为发展中国家提供了额外资源，以资助其可持续发展需要。例如，据估计，到</w:t>
      </w:r>
      <w:r>
        <w:rPr>
          <w:rFonts w:hint="eastAsia"/>
        </w:rPr>
        <w:t>2024</w:t>
      </w:r>
      <w:r>
        <w:rPr>
          <w:rFonts w:hint="eastAsia"/>
        </w:rPr>
        <w:t>年，新开发银行可实现每年</w:t>
      </w:r>
      <w:r>
        <w:rPr>
          <w:rFonts w:hint="eastAsia"/>
        </w:rPr>
        <w:t>34</w:t>
      </w:r>
      <w:r>
        <w:rPr>
          <w:rFonts w:hint="eastAsia"/>
        </w:rPr>
        <w:t>亿美元的贷款能力，到</w:t>
      </w:r>
      <w:r>
        <w:rPr>
          <w:rFonts w:hint="eastAsia"/>
        </w:rPr>
        <w:t>2034</w:t>
      </w:r>
      <w:r>
        <w:rPr>
          <w:rFonts w:hint="eastAsia"/>
        </w:rPr>
        <w:t>年几乎达到</w:t>
      </w:r>
      <w:r>
        <w:rPr>
          <w:rFonts w:hint="eastAsia"/>
        </w:rPr>
        <w:t>90</w:t>
      </w:r>
      <w:r>
        <w:rPr>
          <w:rFonts w:hint="eastAsia"/>
        </w:rPr>
        <w:t>亿美元。</w:t>
      </w:r>
      <w:r w:rsidRPr="008C632F">
        <w:rPr>
          <w:rStyle w:val="a3"/>
        </w:rPr>
        <w:footnoteReference w:id="39"/>
      </w:r>
      <w:r>
        <w:rPr>
          <w:rFonts w:hint="eastAsia"/>
        </w:rPr>
        <w:t xml:space="preserve"> </w:t>
      </w:r>
      <w:r>
        <w:rPr>
          <w:rFonts w:hint="eastAsia"/>
        </w:rPr>
        <w:t>亚洲基础设施投资银行于</w:t>
      </w:r>
      <w:r>
        <w:rPr>
          <w:rFonts w:hint="eastAsia"/>
        </w:rPr>
        <w:t>2016</w:t>
      </w:r>
      <w:r>
        <w:rPr>
          <w:rFonts w:hint="eastAsia"/>
        </w:rPr>
        <w:t>年</w:t>
      </w:r>
      <w:r>
        <w:rPr>
          <w:rFonts w:hint="eastAsia"/>
        </w:rPr>
        <w:t>1</w:t>
      </w:r>
      <w:r>
        <w:rPr>
          <w:rFonts w:hint="eastAsia"/>
        </w:rPr>
        <w:t>月投入运营，预计今后</w:t>
      </w:r>
      <w:r>
        <w:rPr>
          <w:rFonts w:hint="eastAsia"/>
        </w:rPr>
        <w:t>15</w:t>
      </w:r>
      <w:r>
        <w:rPr>
          <w:rFonts w:hint="eastAsia"/>
        </w:rPr>
        <w:t>年将每年提供</w:t>
      </w:r>
      <w:r>
        <w:rPr>
          <w:rFonts w:hint="eastAsia"/>
        </w:rPr>
        <w:t>100</w:t>
      </w:r>
      <w:r>
        <w:rPr>
          <w:rFonts w:hint="eastAsia"/>
        </w:rPr>
        <w:t>亿至</w:t>
      </w:r>
      <w:r>
        <w:rPr>
          <w:rFonts w:hint="eastAsia"/>
        </w:rPr>
        <w:t>150</w:t>
      </w:r>
      <w:r>
        <w:rPr>
          <w:rFonts w:hint="eastAsia"/>
        </w:rPr>
        <w:t>亿美元的贷款。这两个开发银行可通过发行当地或国际货币债券利用各种来源的资源，从而解决发展中国家的筹资需要，特别是基础设施部门的需要。</w:t>
      </w:r>
    </w:p>
    <w:p w:rsidR="00742699" w:rsidRDefault="00742699" w:rsidP="00891236">
      <w:pPr>
        <w:pStyle w:val="SingleTxt"/>
        <w:spacing w:after="120" w:line="316" w:lineRule="exact"/>
      </w:pPr>
      <w:r>
        <w:rPr>
          <w:rFonts w:hint="eastAsia"/>
        </w:rPr>
        <w:t>28.</w:t>
      </w:r>
      <w:r>
        <w:rPr>
          <w:rFonts w:hint="eastAsia"/>
        </w:rPr>
        <w:tab/>
      </w:r>
      <w:r>
        <w:rPr>
          <w:rFonts w:hint="eastAsia"/>
        </w:rPr>
        <w:t>虽然缺乏具体数据，但上文概述的倡议显示，与气候相关的南南合作总量将继续增加。</w:t>
      </w:r>
      <w:r w:rsidRPr="008C632F">
        <w:rPr>
          <w:rStyle w:val="a3"/>
        </w:rPr>
        <w:footnoteReference w:id="40"/>
      </w:r>
      <w:r>
        <w:rPr>
          <w:rFonts w:hint="eastAsia"/>
        </w:rPr>
        <w:t xml:space="preserve"> </w:t>
      </w:r>
      <w:r>
        <w:rPr>
          <w:rFonts w:hint="eastAsia"/>
        </w:rPr>
        <w:t>同时，气候变化已成为基础设施开发和能力建设工作的一个优先事项，这些工作仍是南南合作的主要侧重点。</w:t>
      </w:r>
      <w:r w:rsidRPr="008C632F">
        <w:rPr>
          <w:rStyle w:val="a3"/>
        </w:rPr>
        <w:footnoteReference w:id="41"/>
      </w:r>
    </w:p>
    <w:p w:rsidR="00742699" w:rsidRDefault="00742699" w:rsidP="00891236">
      <w:pPr>
        <w:pStyle w:val="SingleTxt"/>
        <w:spacing w:after="120" w:line="316" w:lineRule="exact"/>
      </w:pPr>
      <w:r>
        <w:rPr>
          <w:rFonts w:hint="eastAsia"/>
        </w:rPr>
        <w:t>29.</w:t>
      </w:r>
      <w:r>
        <w:rPr>
          <w:rFonts w:hint="eastAsia"/>
        </w:rPr>
        <w:tab/>
      </w:r>
      <w:r>
        <w:rPr>
          <w:rFonts w:hint="eastAsia"/>
        </w:rPr>
        <w:t>总体而言，南南合作正在迅速演变，因此，南方伙伴之间更需要彼此学习和分享经验。南南合作还可以为其他行为体提供有关如何管理发展合作的有益经验教训。例如，虽然南方伙伴常常因没有对其合作进行适当评价而受批评，</w:t>
      </w:r>
      <w:r w:rsidRPr="008C632F">
        <w:rPr>
          <w:rStyle w:val="a3"/>
        </w:rPr>
        <w:footnoteReference w:id="42"/>
      </w:r>
      <w:r>
        <w:rPr>
          <w:rFonts w:hint="eastAsia"/>
        </w:rPr>
        <w:t xml:space="preserve"> </w:t>
      </w:r>
      <w:r>
        <w:rPr>
          <w:rFonts w:hint="eastAsia"/>
        </w:rPr>
        <w:t>印度</w:t>
      </w:r>
      <w:r>
        <w:rPr>
          <w:rFonts w:hint="eastAsia"/>
        </w:rPr>
        <w:t>-</w:t>
      </w:r>
      <w:r>
        <w:rPr>
          <w:rFonts w:hint="eastAsia"/>
        </w:rPr>
        <w:t>非洲论坛首脑会议和中非合作论坛已建立跟踪和评价机制，这些机制能够为确保履行发展合作承诺提供重要的经验教训。</w:t>
      </w:r>
    </w:p>
    <w:p w:rsidR="00742699" w:rsidRPr="00F74F6E" w:rsidRDefault="00742699" w:rsidP="00891236">
      <w:pPr>
        <w:pStyle w:val="SingleTxt"/>
        <w:spacing w:after="240" w:line="316" w:lineRule="exact"/>
        <w:rPr>
          <w:spacing w:val="2"/>
        </w:rPr>
      </w:pPr>
      <w:r>
        <w:rPr>
          <w:rFonts w:hint="eastAsia"/>
        </w:rPr>
        <w:t>30.</w:t>
      </w:r>
      <w:r>
        <w:rPr>
          <w:rFonts w:hint="eastAsia"/>
        </w:rPr>
        <w:tab/>
      </w:r>
      <w:r w:rsidRPr="00844909">
        <w:rPr>
          <w:rFonts w:hint="eastAsia"/>
          <w:spacing w:val="-2"/>
        </w:rPr>
        <w:t>了解南南合作的一个持续挑战是缺乏可比数据。正在重新努力解决这一问题。在发展合作论坛主持下，一些国家政府共同努力，以汇总现有做法，确定在国家、区域和全球各级报告南南合作方面存在的需要和差距。一个技术工作组编写了一份非正式文件，提出了下一步行动的建议。巴西政府和伊比利亚美洲总秘书处还拟订了各项建议，以解决在认识南南合作方面所特有的方法挑战。各项建议虽有差异，却一致认为，南南合作的某些要素不适合以货币价值计算，以及此项工作的目的不是让南方伙伴承担更多义务，而是更好地了解如何通过其工作来实现更好的可持续发展成果。联合国贸易和发展会议</w:t>
      </w:r>
      <w:r w:rsidRPr="00844909">
        <w:rPr>
          <w:rFonts w:hint="eastAsia"/>
          <w:spacing w:val="-2"/>
        </w:rPr>
        <w:t>(</w:t>
      </w:r>
      <w:r w:rsidRPr="00844909">
        <w:rPr>
          <w:rFonts w:hint="eastAsia"/>
          <w:spacing w:val="-2"/>
        </w:rPr>
        <w:t>贸发会议</w:t>
      </w:r>
      <w:r w:rsidRPr="00844909">
        <w:rPr>
          <w:rFonts w:hint="eastAsia"/>
          <w:spacing w:val="-2"/>
        </w:rPr>
        <w:t>)</w:t>
      </w:r>
      <w:r w:rsidRPr="00844909">
        <w:rPr>
          <w:rFonts w:hint="eastAsia"/>
          <w:spacing w:val="-2"/>
        </w:rPr>
        <w:t>也与联合国系统其他组织和南方思想库合作，启动了这一领域的工作，民间社会组织也正在作出努力</w:t>
      </w:r>
      <w:r w:rsidRPr="00F74F6E">
        <w:rPr>
          <w:rFonts w:hint="eastAsia"/>
          <w:spacing w:val="2"/>
        </w:rPr>
        <w:t>。</w:t>
      </w:r>
    </w:p>
    <w:p w:rsidR="00742699" w:rsidRDefault="00742699" w:rsidP="00F74F6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三.</w:t>
      </w:r>
      <w:r>
        <w:rPr>
          <w:rFonts w:hint="eastAsia"/>
        </w:rPr>
        <w:tab/>
        <w:t>确保发展合作更好地支持《2030年议程》</w:t>
      </w:r>
    </w:p>
    <w:p w:rsidR="00742699" w:rsidRPr="00F74F6E" w:rsidRDefault="00742699" w:rsidP="00F74F6E">
      <w:pPr>
        <w:pStyle w:val="SingleTxt"/>
        <w:spacing w:after="0" w:line="120" w:lineRule="exact"/>
        <w:rPr>
          <w:sz w:val="10"/>
        </w:rPr>
      </w:pPr>
    </w:p>
    <w:p w:rsidR="00742699" w:rsidRPr="00F74F6E" w:rsidRDefault="00742699" w:rsidP="00F74F6E">
      <w:pPr>
        <w:pStyle w:val="SingleTxt"/>
        <w:spacing w:after="0" w:line="120" w:lineRule="exact"/>
        <w:rPr>
          <w:sz w:val="10"/>
        </w:rPr>
      </w:pPr>
    </w:p>
    <w:p w:rsidR="00742699" w:rsidRDefault="00742699" w:rsidP="00844909">
      <w:pPr>
        <w:pStyle w:val="SingleTxt"/>
        <w:spacing w:after="120"/>
      </w:pPr>
      <w:r>
        <w:rPr>
          <w:rFonts w:hint="eastAsia"/>
        </w:rPr>
        <w:t>31.</w:t>
      </w:r>
      <w:r>
        <w:rPr>
          <w:rFonts w:hint="eastAsia"/>
        </w:rPr>
        <w:tab/>
      </w:r>
      <w:r>
        <w:rPr>
          <w:rFonts w:hint="eastAsia"/>
        </w:rPr>
        <w:t>《</w:t>
      </w:r>
      <w:r>
        <w:rPr>
          <w:rFonts w:hint="eastAsia"/>
        </w:rPr>
        <w:t>2030</w:t>
      </w:r>
      <w:r>
        <w:rPr>
          <w:rFonts w:hint="eastAsia"/>
        </w:rPr>
        <w:t>年议程》及其不让任何一个人掉队的基本承诺要求在恢复活力的可持续发展全球伙伴关系内加强协调一致和新形式的发展合作。重点应放在最脆弱的国家和社会群体以及建设其复原力方面。实现可持续发展目标依靠所有利益攸关方的贡献和适应。必须以更有成效和更高效率的方式使用资源，重点是国家和地方自主权，同时采用政治上明智的、较长期和注重成果的办法。还需要改善风险管理和问责制，使国际支助机制之间更好地协调一致。</w:t>
      </w:r>
    </w:p>
    <w:p w:rsidR="00742699" w:rsidRDefault="00742699" w:rsidP="00F74F6E">
      <w:pPr>
        <w:pStyle w:val="SingleTxt"/>
      </w:pPr>
      <w:r>
        <w:rPr>
          <w:rFonts w:hint="eastAsia"/>
        </w:rPr>
        <w:t>32.</w:t>
      </w:r>
      <w:r>
        <w:rPr>
          <w:rFonts w:hint="eastAsia"/>
        </w:rPr>
        <w:tab/>
      </w:r>
      <w:r>
        <w:rPr>
          <w:rFonts w:hint="eastAsia"/>
        </w:rPr>
        <w:t>发展合作论坛为各国政府和其他利益攸关方公开交流发展合作中的挑战和机遇提供了机会，论坛的审议和结论能够提供关于已实现进展的资料。</w:t>
      </w:r>
      <w:r w:rsidRPr="008C632F">
        <w:rPr>
          <w:rStyle w:val="a3"/>
        </w:rPr>
        <w:footnoteReference w:id="43"/>
      </w:r>
      <w:r>
        <w:rPr>
          <w:rFonts w:hint="eastAsia"/>
        </w:rPr>
        <w:t xml:space="preserve"> </w:t>
      </w:r>
      <w:r>
        <w:rPr>
          <w:rFonts w:hint="eastAsia"/>
        </w:rPr>
        <w:t>《亚的斯亚贝巴行动议程》确认了发展合作论坛发挥的一个具体作用，即该论坛是讨论发展合作成效问题的主要全球平台。本节审查的内容包括，为最大限度地扩大发展合作对成功落实《</w:t>
      </w:r>
      <w:r>
        <w:rPr>
          <w:rFonts w:hint="eastAsia"/>
        </w:rPr>
        <w:t>2030</w:t>
      </w:r>
      <w:r>
        <w:rPr>
          <w:rFonts w:hint="eastAsia"/>
        </w:rPr>
        <w:t>年议程》的贡献，需要哪些重要调整，以及有效发展合作的某些原则如何日益具有现实意义。</w:t>
      </w:r>
    </w:p>
    <w:p w:rsidR="00742699" w:rsidRDefault="00742699" w:rsidP="00F74F6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调整发展合作，以实现《2030年议程》</w:t>
      </w:r>
    </w:p>
    <w:p w:rsidR="00742699" w:rsidRPr="00F74F6E" w:rsidRDefault="00742699" w:rsidP="00F74F6E">
      <w:pPr>
        <w:pStyle w:val="SingleTxt"/>
        <w:spacing w:after="0" w:line="120" w:lineRule="exact"/>
        <w:rPr>
          <w:sz w:val="10"/>
        </w:rPr>
      </w:pPr>
    </w:p>
    <w:p w:rsidR="00742699" w:rsidRDefault="00742699" w:rsidP="00F74F6E">
      <w:pPr>
        <w:pStyle w:val="SingleTxt"/>
      </w:pPr>
      <w:r>
        <w:rPr>
          <w:rFonts w:hint="eastAsia"/>
        </w:rPr>
        <w:t>33.</w:t>
      </w:r>
      <w:r>
        <w:rPr>
          <w:rFonts w:hint="eastAsia"/>
        </w:rPr>
        <w:tab/>
      </w:r>
      <w:r>
        <w:rPr>
          <w:rFonts w:hint="eastAsia"/>
        </w:rPr>
        <w:t>在可持续发展目标范畴内，人们期望发展合作在支持所有发展中国家的过程中发挥更突出和更具战略性的作用，其中包括下文概述的五个领域。每个领域对所有国家的发展合作机构调整都产生影响。</w:t>
      </w:r>
    </w:p>
    <w:p w:rsidR="00844909" w:rsidRPr="00C45E89" w:rsidRDefault="00844909" w:rsidP="0084490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C45E89">
        <w:rPr>
          <w:rFonts w:hint="eastAsia"/>
        </w:rPr>
        <w:t>1.</w:t>
      </w:r>
      <w:r w:rsidRPr="00C45E89">
        <w:tab/>
      </w:r>
      <w:r w:rsidRPr="00C45E89">
        <w:rPr>
          <w:rFonts w:hint="eastAsia"/>
        </w:rPr>
        <w:t>使合作以可持续发展目标和发展中国家的优先事项为导向</w:t>
      </w:r>
    </w:p>
    <w:p w:rsidR="00844909" w:rsidRPr="00844909" w:rsidRDefault="00844909" w:rsidP="00844909">
      <w:pPr>
        <w:pStyle w:val="SingleTxt"/>
        <w:spacing w:after="0" w:line="120" w:lineRule="exact"/>
        <w:ind w:right="0"/>
        <w:rPr>
          <w:sz w:val="10"/>
        </w:rPr>
      </w:pPr>
    </w:p>
    <w:p w:rsidR="00844909" w:rsidRDefault="00844909" w:rsidP="0084490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34.</w:t>
      </w:r>
      <w:r>
        <w:tab/>
      </w:r>
      <w:r>
        <w:rPr>
          <w:rFonts w:hint="eastAsia"/>
        </w:rPr>
        <w:t>预计所有国家都将根据《</w:t>
      </w:r>
      <w:r>
        <w:rPr>
          <w:rFonts w:hint="eastAsia"/>
        </w:rPr>
        <w:t>2030</w:t>
      </w:r>
      <w:r>
        <w:rPr>
          <w:rFonts w:hint="eastAsia"/>
        </w:rPr>
        <w:t>年议程》调整其国家发展合作战略，包括通过政策和体制改革这样做，并将相应地重新调整发展合作资金流向。一些国家已经启动这样的进程</w:t>
      </w:r>
      <w:r>
        <w:rPr>
          <w:rFonts w:hint="eastAsia"/>
        </w:rPr>
        <w:t>(</w:t>
      </w:r>
      <w:r>
        <w:rPr>
          <w:rFonts w:hint="eastAsia"/>
        </w:rPr>
        <w:t>见方框</w:t>
      </w:r>
      <w:r>
        <w:rPr>
          <w:rFonts w:hint="eastAsia"/>
        </w:rPr>
        <w:t>3</w:t>
      </w:r>
      <w:r>
        <w:rPr>
          <w:rFonts w:hint="eastAsia"/>
        </w:rPr>
        <w:t>和</w:t>
      </w:r>
      <w:r>
        <w:rPr>
          <w:rFonts w:hint="eastAsia"/>
        </w:rPr>
        <w:t>4)</w:t>
      </w:r>
      <w:r>
        <w:rPr>
          <w:rFonts w:hint="eastAsia"/>
        </w:rPr>
        <w:t>。随着发展中国家进行调整，发展伙伴也应作出努力，根据发展中国家的优先事项调整其发展合作，并作出必要的相应体制调整，以提高它们的系统与发展中国家的系统之间的互通性。</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844909">
        <w:tc>
          <w:tcPr>
            <w:tcW w:w="7321" w:type="dxa"/>
            <w:shd w:val="clear" w:color="auto" w:fill="auto"/>
          </w:tcPr>
          <w:p w:rsidR="00844909" w:rsidRPr="00E966FE" w:rsidRDefault="00844909" w:rsidP="00EE74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844909" w:rsidRPr="00204A36" w:rsidRDefault="00844909" w:rsidP="00844909">
            <w:pPr>
              <w:pStyle w:val="SingleTxt"/>
              <w:tabs>
                <w:tab w:val="left" w:pos="544"/>
                <w:tab w:val="left" w:pos="965"/>
                <w:tab w:val="left" w:pos="1440"/>
                <w:tab w:val="left" w:pos="1915"/>
                <w:tab w:val="left" w:pos="2405"/>
                <w:tab w:val="left" w:pos="2880"/>
                <w:tab w:val="left" w:pos="3355"/>
              </w:tabs>
              <w:spacing w:after="120" w:line="316" w:lineRule="exact"/>
              <w:ind w:left="113" w:right="113"/>
              <w:rPr>
                <w:rFonts w:ascii="黑体" w:eastAsia="黑体" w:hAnsi="黑体"/>
              </w:rPr>
            </w:pPr>
            <w:r w:rsidRPr="00204A36">
              <w:rPr>
                <w:rFonts w:ascii="黑体" w:eastAsia="黑体" w:hAnsi="黑体" w:hint="eastAsia"/>
              </w:rPr>
              <w:t>方框3：乌干达采取整体政府办法</w:t>
            </w:r>
          </w:p>
          <w:p w:rsidR="00844909" w:rsidRDefault="00844909" w:rsidP="00844909">
            <w:pPr>
              <w:pStyle w:val="SingleTxt"/>
              <w:tabs>
                <w:tab w:val="left" w:pos="544"/>
                <w:tab w:val="left" w:pos="965"/>
                <w:tab w:val="left" w:pos="1440"/>
                <w:tab w:val="left" w:pos="1915"/>
                <w:tab w:val="left" w:pos="2405"/>
                <w:tab w:val="left" w:pos="2880"/>
                <w:tab w:val="left" w:pos="3355"/>
              </w:tabs>
              <w:spacing w:after="120" w:line="316" w:lineRule="exact"/>
              <w:ind w:left="113" w:right="113"/>
            </w:pPr>
            <w:r>
              <w:tab/>
            </w:r>
            <w:r>
              <w:rPr>
                <w:rFonts w:hint="eastAsia"/>
              </w:rPr>
              <w:t>在《</w:t>
            </w:r>
            <w:r>
              <w:rPr>
                <w:rFonts w:hint="eastAsia"/>
              </w:rPr>
              <w:t>2030</w:t>
            </w:r>
            <w:r>
              <w:rPr>
                <w:rFonts w:hint="eastAsia"/>
              </w:rPr>
              <w:t>年议程》通过后，乌干达统计局和国家规划局已设法通过一个两阶段进程整合国家发展规划和监测：</w:t>
            </w:r>
          </w:p>
          <w:p w:rsidR="00844909" w:rsidRDefault="00844909" w:rsidP="00844909">
            <w:pPr>
              <w:pStyle w:val="SingleTxt"/>
              <w:tabs>
                <w:tab w:val="left" w:pos="544"/>
                <w:tab w:val="left" w:pos="965"/>
                <w:tab w:val="left" w:pos="1440"/>
                <w:tab w:val="left" w:pos="1915"/>
                <w:tab w:val="left" w:pos="2405"/>
                <w:tab w:val="left" w:pos="2880"/>
                <w:tab w:val="left" w:pos="3355"/>
              </w:tabs>
              <w:spacing w:after="120" w:line="316" w:lineRule="exact"/>
              <w:ind w:left="113" w:right="113"/>
            </w:pPr>
            <w:r>
              <w:tab/>
            </w:r>
            <w:r>
              <w:rPr>
                <w:rFonts w:hint="eastAsia"/>
              </w:rPr>
              <w:t>(a)</w:t>
            </w:r>
            <w:r>
              <w:rPr>
                <w:rFonts w:hint="eastAsia"/>
              </w:rPr>
              <w:tab/>
            </w:r>
            <w:r w:rsidRPr="00E01721">
              <w:rPr>
                <w:rFonts w:ascii="黑体" w:eastAsia="黑体" w:hAnsi="黑体" w:hint="eastAsia"/>
              </w:rPr>
              <w:t>与可持续发展目标一致</w:t>
            </w:r>
            <w:r>
              <w:rPr>
                <w:rFonts w:hint="eastAsia"/>
              </w:rPr>
              <w:t>——在</w:t>
            </w:r>
            <w:r>
              <w:rPr>
                <w:rFonts w:hint="eastAsia"/>
              </w:rPr>
              <w:t>2015</w:t>
            </w:r>
            <w:r>
              <w:rPr>
                <w:rFonts w:hint="eastAsia"/>
              </w:rPr>
              <w:t>年修订了今后五年的国家发展计划。</w:t>
            </w:r>
            <w:r w:rsidRPr="00204A36">
              <w:rPr>
                <w:rFonts w:hint="eastAsia"/>
                <w:vertAlign w:val="superscript"/>
              </w:rPr>
              <w:t>a</w:t>
            </w:r>
            <w:r>
              <w:rPr>
                <w:rFonts w:hint="eastAsia"/>
              </w:rPr>
              <w:t xml:space="preserve"> </w:t>
            </w:r>
            <w:r>
              <w:rPr>
                <w:rFonts w:hint="eastAsia"/>
              </w:rPr>
              <w:t>该计划提到和纳入了可持续发展目标，包括可持续发展政策的一致性。</w:t>
            </w:r>
          </w:p>
          <w:p w:rsidR="00844909" w:rsidRDefault="00844909" w:rsidP="00844909">
            <w:pPr>
              <w:pStyle w:val="SingleTxt"/>
              <w:tabs>
                <w:tab w:val="left" w:pos="544"/>
                <w:tab w:val="left" w:pos="965"/>
                <w:tab w:val="left" w:pos="1440"/>
                <w:tab w:val="left" w:pos="1915"/>
                <w:tab w:val="left" w:pos="2405"/>
                <w:tab w:val="left" w:pos="2880"/>
                <w:tab w:val="left" w:pos="3355"/>
              </w:tabs>
              <w:spacing w:after="120" w:line="316" w:lineRule="exact"/>
              <w:ind w:left="113" w:right="113"/>
            </w:pPr>
            <w:r>
              <w:tab/>
            </w:r>
            <w:r>
              <w:rPr>
                <w:rFonts w:hint="eastAsia"/>
              </w:rPr>
              <w:t>(b)</w:t>
            </w:r>
            <w:r>
              <w:rPr>
                <w:rFonts w:hint="eastAsia"/>
              </w:rPr>
              <w:tab/>
            </w:r>
            <w:r w:rsidRPr="00844909">
              <w:rPr>
                <w:rFonts w:ascii="黑体" w:eastAsia="黑体" w:hAnsi="黑体" w:hint="eastAsia"/>
                <w:spacing w:val="-4"/>
              </w:rPr>
              <w:t>使各部委和地方政府遵守可持续发展目标</w:t>
            </w:r>
            <w:r w:rsidRPr="00844909">
              <w:rPr>
                <w:rFonts w:hint="eastAsia"/>
                <w:spacing w:val="-4"/>
              </w:rPr>
              <w:t>——规划局正在努力确保各部委的部门政策和预算与该计划和可持续发展目标相一致，由总统办公室和总理办公室主导监测和评价进程。规划局认为遵守目标的部委将获得一份遵守证书</w:t>
            </w:r>
            <w:r>
              <w:rPr>
                <w:rFonts w:hint="eastAsia"/>
              </w:rPr>
              <w:t>。</w:t>
            </w:r>
          </w:p>
          <w:p w:rsidR="00844909" w:rsidRPr="0013118B" w:rsidRDefault="00844909" w:rsidP="0084490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316" w:lineRule="exact"/>
              <w:ind w:left="113" w:right="113"/>
            </w:pPr>
            <w:r w:rsidRPr="00E01721">
              <w:rPr>
                <w:rFonts w:hint="eastAsia"/>
                <w:spacing w:val="-4"/>
              </w:rPr>
              <w:t>规划局将在两年时间里进行中期审查，反映在实现可持续发展目标方面的进展</w:t>
            </w:r>
            <w:r>
              <w:rPr>
                <w:rFonts w:hint="eastAsia"/>
              </w:rPr>
              <w:t>。</w:t>
            </w:r>
          </w:p>
        </w:tc>
      </w:tr>
      <w:tr w:rsidR="00844909">
        <w:tc>
          <w:tcPr>
            <w:tcW w:w="7321" w:type="dxa"/>
            <w:shd w:val="clear" w:color="auto" w:fill="auto"/>
          </w:tcPr>
          <w:p w:rsidR="00844909" w:rsidRDefault="00844909" w:rsidP="00204A3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spacing w:after="0" w:line="40" w:lineRule="exact"/>
              <w:ind w:left="113" w:right="113"/>
            </w:pPr>
          </w:p>
        </w:tc>
      </w:tr>
      <w:tr w:rsidR="00844909">
        <w:tc>
          <w:tcPr>
            <w:tcW w:w="7321" w:type="dxa"/>
            <w:shd w:val="clear" w:color="auto" w:fill="auto"/>
          </w:tcPr>
          <w:p w:rsidR="00844909" w:rsidRPr="00E966FE" w:rsidRDefault="00CB2B7E" w:rsidP="00EE74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5" w:right="475"/>
              <w:rPr>
                <w:sz w:val="10"/>
              </w:rPr>
            </w:pPr>
            <w:r>
              <w:rPr>
                <w:noProof/>
                <w:sz w:val="10"/>
              </w:rPr>
              <w:pict>
                <v:line id="_x0000_s1028" style="position:absolute;left:0;text-align:left;z-index:251672576;mso-position-horizontal-relative:text;mso-position-vertical-relative:text" from="5.25pt,0" to="77.25pt,0" strokeweight=".25pt"/>
              </w:pict>
            </w:r>
          </w:p>
          <w:p w:rsidR="00844909" w:rsidRPr="004B00B8" w:rsidRDefault="00844909" w:rsidP="004B00B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pos="289"/>
                <w:tab w:val="left" w:pos="357"/>
              </w:tabs>
              <w:spacing w:after="120" w:line="220" w:lineRule="exact"/>
              <w:ind w:left="113" w:right="113"/>
              <w:rPr>
                <w:rFonts w:ascii="楷体_GB2312" w:eastAsia="楷体_GB2312"/>
                <w:sz w:val="18"/>
                <w:szCs w:val="18"/>
              </w:rPr>
            </w:pPr>
            <w:r>
              <w:rPr>
                <w:rFonts w:ascii="楷体_GB2312" w:eastAsia="楷体_GB2312"/>
                <w:sz w:val="18"/>
                <w:szCs w:val="18"/>
              </w:rPr>
              <w:tab/>
            </w:r>
            <w:r w:rsidRPr="00E16616">
              <w:rPr>
                <w:rFonts w:ascii="楷体_GB2312" w:eastAsia="楷体_GB2312"/>
                <w:sz w:val="18"/>
                <w:szCs w:val="18"/>
                <w:vertAlign w:val="superscript"/>
              </w:rPr>
              <w:t>a</w:t>
            </w:r>
            <w:r>
              <w:rPr>
                <w:rFonts w:ascii="楷体_GB2312" w:eastAsia="楷体_GB2312"/>
                <w:sz w:val="18"/>
                <w:szCs w:val="18"/>
              </w:rPr>
              <w:tab/>
            </w:r>
            <w:r w:rsidRPr="00E16616">
              <w:rPr>
                <w:rFonts w:hint="eastAsia"/>
                <w:sz w:val="17"/>
              </w:rPr>
              <w:t>见</w:t>
            </w:r>
            <w:r w:rsidRPr="00E16616">
              <w:rPr>
                <w:rFonts w:hint="eastAsia"/>
                <w:sz w:val="17"/>
              </w:rPr>
              <w:t>http://npa.ug/wp-content/uploads/NDPII-Final.pdf</w:t>
            </w:r>
            <w:r w:rsidRPr="00E16616">
              <w:rPr>
                <w:rFonts w:hint="eastAsia"/>
                <w:sz w:val="17"/>
              </w:rPr>
              <w:t>。</w:t>
            </w:r>
          </w:p>
        </w:tc>
      </w:tr>
      <w:tr w:rsidR="00844909">
        <w:tc>
          <w:tcPr>
            <w:tcW w:w="7321" w:type="dxa"/>
            <w:shd w:val="clear" w:color="auto" w:fill="auto"/>
          </w:tcPr>
          <w:p w:rsidR="00844909" w:rsidRDefault="00844909" w:rsidP="00226C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44909" w:rsidRPr="00844909" w:rsidRDefault="00844909" w:rsidP="00844909">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844909">
        <w:tc>
          <w:tcPr>
            <w:tcW w:w="7321" w:type="dxa"/>
            <w:shd w:val="clear" w:color="auto" w:fill="auto"/>
          </w:tcPr>
          <w:p w:rsidR="00844909" w:rsidRPr="00554AAC" w:rsidRDefault="00844909" w:rsidP="00554AA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spacing w:before="60"/>
              <w:ind w:left="113" w:right="113"/>
              <w:rPr>
                <w:rFonts w:ascii="黑体" w:eastAsia="黑体" w:hAnsi="黑体"/>
              </w:rPr>
            </w:pPr>
            <w:r w:rsidRPr="00554AAC">
              <w:rPr>
                <w:rFonts w:ascii="黑体" w:eastAsia="黑体" w:hAnsi="黑体" w:hint="eastAsia"/>
              </w:rPr>
              <w:t>方框4：使发展合作机构适应《2030年议程》</w:t>
            </w:r>
          </w:p>
        </w:tc>
      </w:tr>
      <w:tr w:rsidR="00844909">
        <w:tc>
          <w:tcPr>
            <w:tcW w:w="7321" w:type="dxa"/>
            <w:shd w:val="clear" w:color="auto" w:fill="auto"/>
          </w:tcPr>
          <w:p w:rsidR="00844909" w:rsidRDefault="00844909" w:rsidP="00554AAC">
            <w:pPr>
              <w:pStyle w:val="SingleTxt"/>
              <w:tabs>
                <w:tab w:val="left" w:pos="551"/>
                <w:tab w:val="left" w:pos="941"/>
                <w:tab w:val="left" w:pos="1440"/>
                <w:tab w:val="left" w:pos="1915"/>
                <w:tab w:val="left" w:pos="2405"/>
                <w:tab w:val="left" w:pos="2880"/>
                <w:tab w:val="left" w:pos="3355"/>
              </w:tabs>
              <w:ind w:left="113" w:right="113"/>
            </w:pPr>
            <w:r>
              <w:rPr>
                <w:rFonts w:hint="eastAsia"/>
              </w:rPr>
              <w:tab/>
            </w:r>
            <w:r>
              <w:rPr>
                <w:rFonts w:hint="eastAsia"/>
              </w:rPr>
              <w:t>可持续发展目标背景下的关键机遇和挑战之一是实现不仅更加一致、而且更加综合的政策，确保不同的政策部门共同致力于可持续发展，不让任何人掉队。可确定有些组织结构特点能够使发展合作机构更为有效：</w:t>
            </w:r>
          </w:p>
          <w:p w:rsidR="00844909" w:rsidRDefault="00844909" w:rsidP="00554AAC">
            <w:pPr>
              <w:pStyle w:val="SingleTxt"/>
              <w:tabs>
                <w:tab w:val="left" w:pos="551"/>
                <w:tab w:val="left" w:pos="941"/>
                <w:tab w:val="left" w:pos="1440"/>
                <w:tab w:val="left" w:pos="1915"/>
                <w:tab w:val="left" w:pos="2405"/>
                <w:tab w:val="left" w:pos="2880"/>
                <w:tab w:val="left" w:pos="3355"/>
              </w:tabs>
              <w:ind w:left="113" w:right="113"/>
            </w:pPr>
            <w:r>
              <w:rPr>
                <w:rFonts w:hint="eastAsia"/>
              </w:rPr>
              <w:tab/>
              <w:t>(a)</w:t>
            </w:r>
            <w:r>
              <w:rPr>
                <w:rFonts w:hint="eastAsia"/>
              </w:rPr>
              <w:tab/>
            </w:r>
            <w:r>
              <w:rPr>
                <w:rFonts w:hint="eastAsia"/>
              </w:rPr>
              <w:t>强有力的任务规定，例如在瑞典，所有部委都有责任落实</w:t>
            </w:r>
            <w:r>
              <w:rPr>
                <w:rFonts w:hint="eastAsia"/>
              </w:rPr>
              <w:t>2003</w:t>
            </w:r>
            <w:r>
              <w:rPr>
                <w:rFonts w:hint="eastAsia"/>
              </w:rPr>
              <w:t>年通过的全球发展政策；</w:t>
            </w:r>
          </w:p>
          <w:p w:rsidR="00844909" w:rsidRDefault="00844909" w:rsidP="00554AAC">
            <w:pPr>
              <w:pStyle w:val="SingleTxt"/>
              <w:tabs>
                <w:tab w:val="left" w:pos="551"/>
                <w:tab w:val="left" w:pos="941"/>
                <w:tab w:val="left" w:pos="1440"/>
                <w:tab w:val="left" w:pos="1915"/>
                <w:tab w:val="left" w:pos="2405"/>
                <w:tab w:val="left" w:pos="2880"/>
                <w:tab w:val="left" w:pos="3355"/>
              </w:tabs>
              <w:ind w:left="113" w:right="113"/>
            </w:pPr>
            <w:r>
              <w:rPr>
                <w:rFonts w:hint="eastAsia"/>
              </w:rPr>
              <w:tab/>
              <w:t>(b)</w:t>
            </w:r>
            <w:r>
              <w:rPr>
                <w:rFonts w:hint="eastAsia"/>
              </w:rPr>
              <w:tab/>
            </w:r>
            <w:r>
              <w:rPr>
                <w:rFonts w:hint="eastAsia"/>
              </w:rPr>
              <w:t>由内阁部长倡导发展合作能够以积极方式影响发展议程，在大不列颠及北爱尔兰联合王国就是这样；</w:t>
            </w:r>
          </w:p>
          <w:p w:rsidR="00844909" w:rsidRDefault="00844909" w:rsidP="00554AAC">
            <w:pPr>
              <w:pStyle w:val="SingleTxt"/>
              <w:tabs>
                <w:tab w:val="left" w:pos="551"/>
                <w:tab w:val="left" w:pos="941"/>
                <w:tab w:val="left" w:pos="1440"/>
                <w:tab w:val="left" w:pos="1915"/>
                <w:tab w:val="left" w:pos="2405"/>
                <w:tab w:val="left" w:pos="2880"/>
                <w:tab w:val="left" w:pos="3355"/>
              </w:tabs>
              <w:ind w:left="113" w:right="113"/>
            </w:pPr>
            <w:r>
              <w:rPr>
                <w:rFonts w:hint="eastAsia"/>
              </w:rPr>
              <w:tab/>
              <w:t>(c)</w:t>
            </w:r>
            <w:r>
              <w:rPr>
                <w:rFonts w:hint="eastAsia"/>
              </w:rPr>
              <w:tab/>
            </w:r>
            <w:r>
              <w:rPr>
                <w:rFonts w:hint="eastAsia"/>
              </w:rPr>
              <w:t>支持合作管理的“整体社会”办法；</w:t>
            </w:r>
          </w:p>
          <w:p w:rsidR="00844909" w:rsidRDefault="00844909" w:rsidP="00554AA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ind w:left="113" w:right="113"/>
            </w:pPr>
            <w:r>
              <w:rPr>
                <w:rFonts w:hint="eastAsia"/>
              </w:rPr>
              <w:tab/>
              <w:t>(d)</w:t>
            </w:r>
            <w:r>
              <w:rPr>
                <w:rFonts w:hint="eastAsia"/>
              </w:rPr>
              <w:tab/>
            </w:r>
            <w:r>
              <w:rPr>
                <w:rFonts w:hint="eastAsia"/>
              </w:rPr>
              <w:t>培养发展机构管理新伙伴关系的技巧和能力。</w:t>
            </w:r>
          </w:p>
          <w:p w:rsidR="00844909" w:rsidRPr="00F56A15" w:rsidRDefault="00844909" w:rsidP="00554AA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ind w:left="113" w:right="113"/>
            </w:pPr>
            <w:r>
              <w:tab/>
            </w:r>
            <w:r w:rsidRPr="00C45E89">
              <w:rPr>
                <w:rFonts w:hint="eastAsia"/>
              </w:rPr>
              <w:t>许多国家已经开始为落实可持续发展目标进行必要的调整，包括在发展合作中采取新的办法。在德国，已经设立了一些机构来促进可持续发展合作。瑞士设立了一个内部协调小组，负责审查《</w:t>
            </w:r>
            <w:r w:rsidRPr="00C45E89">
              <w:rPr>
                <w:rFonts w:hint="eastAsia"/>
              </w:rPr>
              <w:t>2030</w:t>
            </w:r>
            <w:r w:rsidRPr="00C45E89">
              <w:rPr>
                <w:rFonts w:hint="eastAsia"/>
              </w:rPr>
              <w:t>年议程》的挑战以及对该国组织结构和各项进程的影响。</w:t>
            </w:r>
          </w:p>
        </w:tc>
      </w:tr>
      <w:tr w:rsidR="00844909">
        <w:tc>
          <w:tcPr>
            <w:tcW w:w="7321" w:type="dxa"/>
            <w:shd w:val="clear" w:color="auto" w:fill="auto"/>
          </w:tcPr>
          <w:p w:rsidR="00844909" w:rsidRDefault="00844909" w:rsidP="00F56A1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spacing w:after="0" w:line="40" w:lineRule="exact"/>
              <w:ind w:left="113" w:right="113"/>
            </w:pPr>
          </w:p>
        </w:tc>
      </w:tr>
      <w:tr w:rsidR="00844909">
        <w:tc>
          <w:tcPr>
            <w:tcW w:w="7321" w:type="dxa"/>
            <w:shd w:val="clear" w:color="auto" w:fill="auto"/>
          </w:tcPr>
          <w:p w:rsidR="00844909" w:rsidRPr="00E966FE" w:rsidRDefault="00CB2B7E" w:rsidP="00EE74D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5" w:right="475"/>
              <w:rPr>
                <w:sz w:val="10"/>
              </w:rPr>
            </w:pPr>
            <w:r>
              <w:rPr>
                <w:noProof/>
                <w:sz w:val="10"/>
              </w:rPr>
              <w:pict>
                <v:line id="_x0000_s1027" style="position:absolute;left:0;text-align:left;z-index:251671552;mso-position-horizontal-relative:text;mso-position-vertical-relative:text" from="5.25pt,0" to="77.25pt,0" strokeweight=".25pt"/>
              </w:pict>
            </w:r>
          </w:p>
          <w:p w:rsidR="00844909" w:rsidRPr="00554AAC" w:rsidRDefault="00844909" w:rsidP="00F56A1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exact"/>
              <w:ind w:left="113" w:right="113"/>
              <w:rPr>
                <w:rFonts w:eastAsiaTheme="minorEastAsia"/>
                <w:sz w:val="18"/>
                <w:szCs w:val="18"/>
              </w:rPr>
            </w:pPr>
            <w:r w:rsidRPr="00554AAC">
              <w:rPr>
                <w:rFonts w:ascii="楷体_GB2312" w:eastAsia="楷体_GB2312" w:hAnsi="楷体_GB2312"/>
                <w:sz w:val="18"/>
                <w:szCs w:val="18"/>
              </w:rPr>
              <w:t>资料来源</w:t>
            </w:r>
            <w:r w:rsidRPr="00554AAC">
              <w:rPr>
                <w:rFonts w:eastAsiaTheme="minorEastAsia"/>
                <w:sz w:val="18"/>
                <w:szCs w:val="18"/>
              </w:rPr>
              <w:t>：</w:t>
            </w:r>
            <w:r w:rsidRPr="00554AAC">
              <w:rPr>
                <w:rFonts w:eastAsiaTheme="minorEastAsia"/>
                <w:sz w:val="18"/>
                <w:szCs w:val="18"/>
              </w:rPr>
              <w:t>Gavas</w:t>
            </w:r>
            <w:r w:rsidRPr="00554AAC">
              <w:rPr>
                <w:rFonts w:eastAsiaTheme="minorEastAsia"/>
                <w:sz w:val="18"/>
                <w:szCs w:val="18"/>
              </w:rPr>
              <w:t>，</w:t>
            </w:r>
            <w:r w:rsidRPr="00554AAC">
              <w:rPr>
                <w:rFonts w:eastAsiaTheme="minorEastAsia"/>
                <w:sz w:val="18"/>
                <w:szCs w:val="18"/>
              </w:rPr>
              <w:t>M.</w:t>
            </w:r>
            <w:r w:rsidRPr="00554AAC">
              <w:rPr>
                <w:rFonts w:eastAsiaTheme="minorEastAsia"/>
                <w:sz w:val="18"/>
                <w:szCs w:val="18"/>
              </w:rPr>
              <w:t>，</w:t>
            </w:r>
            <w:r w:rsidRPr="00554AAC">
              <w:rPr>
                <w:rFonts w:eastAsiaTheme="minorEastAsia"/>
                <w:sz w:val="18"/>
                <w:szCs w:val="18"/>
              </w:rPr>
              <w:t>Gulrajani</w:t>
            </w:r>
            <w:r w:rsidRPr="00554AAC">
              <w:rPr>
                <w:rFonts w:eastAsiaTheme="minorEastAsia"/>
                <w:sz w:val="18"/>
                <w:szCs w:val="18"/>
              </w:rPr>
              <w:t>，</w:t>
            </w:r>
            <w:r w:rsidRPr="00554AAC">
              <w:rPr>
                <w:rFonts w:eastAsiaTheme="minorEastAsia"/>
                <w:sz w:val="18"/>
                <w:szCs w:val="18"/>
              </w:rPr>
              <w:t>N.</w:t>
            </w:r>
            <w:r w:rsidRPr="00554AAC">
              <w:rPr>
                <w:rFonts w:eastAsiaTheme="minorEastAsia"/>
                <w:sz w:val="18"/>
                <w:szCs w:val="18"/>
              </w:rPr>
              <w:t>，</w:t>
            </w:r>
            <w:r w:rsidRPr="00554AAC">
              <w:rPr>
                <w:rFonts w:eastAsiaTheme="minorEastAsia"/>
                <w:sz w:val="18"/>
                <w:szCs w:val="18"/>
              </w:rPr>
              <w:t>and Hart</w:t>
            </w:r>
            <w:r w:rsidRPr="00554AAC">
              <w:rPr>
                <w:rFonts w:eastAsiaTheme="minorEastAsia"/>
                <w:sz w:val="18"/>
                <w:szCs w:val="18"/>
              </w:rPr>
              <w:t>，</w:t>
            </w:r>
            <w:r w:rsidRPr="00554AAC">
              <w:rPr>
                <w:rFonts w:eastAsiaTheme="minorEastAsia"/>
                <w:sz w:val="18"/>
                <w:szCs w:val="18"/>
              </w:rPr>
              <w:t>T.</w:t>
            </w:r>
            <w:r w:rsidRPr="00554AAC">
              <w:rPr>
                <w:rFonts w:eastAsiaTheme="minorEastAsia"/>
                <w:sz w:val="18"/>
                <w:szCs w:val="18"/>
              </w:rPr>
              <w:t>，</w:t>
            </w:r>
            <w:r>
              <w:rPr>
                <w:rFonts w:eastAsiaTheme="minorEastAsia" w:hint="eastAsia"/>
                <w:sz w:val="18"/>
                <w:szCs w:val="18"/>
              </w:rPr>
              <w:t>“</w:t>
            </w:r>
            <w:r w:rsidRPr="00554AAC">
              <w:rPr>
                <w:rFonts w:eastAsiaTheme="minorEastAsia"/>
                <w:sz w:val="18"/>
                <w:szCs w:val="18"/>
              </w:rPr>
              <w:t>Designing the development agency of the future</w:t>
            </w:r>
            <w:r>
              <w:rPr>
                <w:rFonts w:eastAsiaTheme="minorEastAsia" w:hint="eastAsia"/>
                <w:sz w:val="18"/>
                <w:szCs w:val="18"/>
              </w:rPr>
              <w:t>”</w:t>
            </w:r>
            <w:r w:rsidRPr="00554AAC">
              <w:rPr>
                <w:rFonts w:eastAsiaTheme="minorEastAsia"/>
                <w:sz w:val="18"/>
                <w:szCs w:val="18"/>
              </w:rPr>
              <w:t>(Overseas Development Institute</w:t>
            </w:r>
            <w:r w:rsidRPr="00554AAC">
              <w:rPr>
                <w:rFonts w:eastAsiaTheme="minorEastAsia"/>
                <w:sz w:val="18"/>
                <w:szCs w:val="18"/>
              </w:rPr>
              <w:t>，</w:t>
            </w:r>
            <w:r w:rsidRPr="00554AAC">
              <w:rPr>
                <w:rFonts w:eastAsiaTheme="minorEastAsia"/>
                <w:sz w:val="18"/>
                <w:szCs w:val="18"/>
              </w:rPr>
              <w:t>London</w:t>
            </w:r>
            <w:r w:rsidRPr="00554AAC">
              <w:rPr>
                <w:rFonts w:eastAsiaTheme="minorEastAsia"/>
                <w:sz w:val="18"/>
                <w:szCs w:val="18"/>
              </w:rPr>
              <w:t>，</w:t>
            </w:r>
            <w:r w:rsidRPr="00554AAC">
              <w:rPr>
                <w:rFonts w:eastAsiaTheme="minorEastAsia"/>
                <w:sz w:val="18"/>
                <w:szCs w:val="18"/>
              </w:rPr>
              <w:t>2015)</w:t>
            </w:r>
            <w:r w:rsidRPr="00554AAC">
              <w:rPr>
                <w:rFonts w:eastAsiaTheme="minorEastAsia"/>
                <w:sz w:val="18"/>
                <w:szCs w:val="18"/>
              </w:rPr>
              <w:t>；</w:t>
            </w:r>
            <w:r w:rsidRPr="00554AAC">
              <w:rPr>
                <w:rFonts w:eastAsiaTheme="minorEastAsia"/>
                <w:sz w:val="18"/>
                <w:szCs w:val="18"/>
              </w:rPr>
              <w:t>Swiss Federal Council</w:t>
            </w:r>
            <w:r w:rsidRPr="00554AAC">
              <w:rPr>
                <w:rFonts w:eastAsiaTheme="minorEastAsia"/>
                <w:sz w:val="18"/>
                <w:szCs w:val="18"/>
              </w:rPr>
              <w:t>，</w:t>
            </w:r>
            <w:r w:rsidRPr="00554AAC">
              <w:rPr>
                <w:rFonts w:eastAsiaTheme="minorEastAsia"/>
                <w:sz w:val="18"/>
                <w:szCs w:val="18"/>
              </w:rPr>
              <w:t>Sustainable Development Strategy 2016-2019</w:t>
            </w:r>
            <w:r w:rsidRPr="00554AAC">
              <w:rPr>
                <w:rFonts w:eastAsiaTheme="minorEastAsia"/>
                <w:sz w:val="18"/>
                <w:szCs w:val="18"/>
              </w:rPr>
              <w:t>。</w:t>
            </w:r>
          </w:p>
        </w:tc>
      </w:tr>
      <w:tr w:rsidR="00844909">
        <w:tc>
          <w:tcPr>
            <w:tcW w:w="7321" w:type="dxa"/>
            <w:shd w:val="clear" w:color="auto" w:fill="auto"/>
          </w:tcPr>
          <w:p w:rsidR="00844909" w:rsidRDefault="00844909" w:rsidP="00226CB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rsidR="00844909" w:rsidRPr="00844909" w:rsidRDefault="00844909" w:rsidP="00844909">
      <w:pPr>
        <w:pStyle w:val="SingleTxt"/>
        <w:spacing w:after="0" w:line="120" w:lineRule="exact"/>
        <w:rPr>
          <w:sz w:val="10"/>
        </w:rPr>
      </w:pPr>
    </w:p>
    <w:p w:rsidR="00844909" w:rsidRPr="003B79E5" w:rsidRDefault="00844909" w:rsidP="003B79E5">
      <w:pPr>
        <w:pStyle w:val="SingleTxt"/>
        <w:spacing w:after="0" w:line="120" w:lineRule="exact"/>
        <w:rPr>
          <w:sz w:val="10"/>
        </w:rPr>
      </w:pPr>
    </w:p>
    <w:p w:rsidR="00844909" w:rsidRPr="003B79E5" w:rsidRDefault="00844909" w:rsidP="003B79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2.</w:t>
      </w:r>
      <w:r w:rsidRPr="003B79E5">
        <w:tab/>
      </w:r>
      <w:r w:rsidRPr="003B79E5">
        <w:rPr>
          <w:rFonts w:hint="eastAsia"/>
        </w:rPr>
        <w:t>可持续发展政策的一致性</w:t>
      </w:r>
    </w:p>
    <w:p w:rsidR="00844909" w:rsidRPr="003B79E5" w:rsidRDefault="00844909" w:rsidP="003B79E5">
      <w:pPr>
        <w:pStyle w:val="SingleTxt"/>
        <w:spacing w:after="0" w:line="120" w:lineRule="exact"/>
        <w:rPr>
          <w:sz w:val="10"/>
        </w:rPr>
      </w:pPr>
    </w:p>
    <w:p w:rsidR="00844909" w:rsidRDefault="00844909" w:rsidP="007B4996">
      <w:pPr>
        <w:pStyle w:val="SingleTxt"/>
      </w:pPr>
      <w:r>
        <w:rPr>
          <w:rFonts w:hint="eastAsia"/>
        </w:rPr>
        <w:t>35.</w:t>
      </w:r>
      <w:r>
        <w:tab/>
      </w:r>
      <w:r>
        <w:rPr>
          <w:rFonts w:hint="eastAsia"/>
        </w:rPr>
        <w:t>可持续发展政策的一致性</w:t>
      </w:r>
      <w:r>
        <w:rPr>
          <w:rStyle w:val="a3"/>
        </w:rPr>
        <w:footnoteReference w:id="44"/>
      </w:r>
      <w:r>
        <w:t xml:space="preserve"> </w:t>
      </w:r>
      <w:r>
        <w:rPr>
          <w:rFonts w:hint="eastAsia"/>
        </w:rPr>
        <w:t>应作为所需的政策和体制改革的一项总体原则被纳入。这要求发达国家和发展中国家的政府更好地整合政策，以促进政策空间、国家自主权和协同增效作用。发展政策的一致性旨在防止各国与发展无关的合作政策对发展中国家产生意外的的影响。将新的重点放在可持续发展政策的一致性和政策整合上能够进一步推动部门间合作和发展合作机构以外的多利益攸关方伙伴关系</w:t>
      </w:r>
      <w:r>
        <w:rPr>
          <w:rFonts w:hint="eastAsia"/>
        </w:rPr>
        <w:t>(</w:t>
      </w:r>
      <w:r>
        <w:rPr>
          <w:rFonts w:hint="eastAsia"/>
        </w:rPr>
        <w:t>如促贸援助倡议，通过其多层面两年期全球审查</w:t>
      </w:r>
      <w:r>
        <w:rPr>
          <w:rFonts w:hint="eastAsia"/>
        </w:rPr>
        <w:t>)</w:t>
      </w:r>
      <w:r>
        <w:rPr>
          <w:rFonts w:hint="eastAsia"/>
        </w:rPr>
        <w:t>。</w:t>
      </w:r>
    </w:p>
    <w:p w:rsidR="00844909" w:rsidRPr="003B79E5" w:rsidRDefault="00844909" w:rsidP="003B79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3.</w:t>
      </w:r>
      <w:r w:rsidRPr="003B79E5">
        <w:tab/>
      </w:r>
      <w:r w:rsidRPr="003B79E5">
        <w:rPr>
          <w:rFonts w:hint="eastAsia"/>
        </w:rPr>
        <w:t>支持调整和加强能力</w:t>
      </w:r>
    </w:p>
    <w:p w:rsidR="00844909" w:rsidRPr="003B79E5" w:rsidRDefault="00844909" w:rsidP="003B79E5">
      <w:pPr>
        <w:pStyle w:val="SingleTxt"/>
        <w:spacing w:after="0" w:line="120" w:lineRule="exact"/>
        <w:rPr>
          <w:sz w:val="10"/>
        </w:rPr>
      </w:pPr>
    </w:p>
    <w:p w:rsidR="00844909" w:rsidRDefault="00844909" w:rsidP="007B4996">
      <w:pPr>
        <w:pStyle w:val="SingleTxt"/>
      </w:pPr>
      <w:r>
        <w:rPr>
          <w:rFonts w:hint="eastAsia"/>
        </w:rPr>
        <w:t>36.</w:t>
      </w:r>
      <w:r>
        <w:tab/>
      </w:r>
      <w:r>
        <w:rPr>
          <w:rFonts w:hint="eastAsia"/>
        </w:rPr>
        <w:t>发展合作可以在加强发展中国家各个领域的政策、体制和技术能力方面发挥催化作用。</w:t>
      </w:r>
      <w:r>
        <w:rPr>
          <w:rStyle w:val="a3"/>
        </w:rPr>
        <w:footnoteReference w:id="45"/>
      </w:r>
      <w:r>
        <w:rPr>
          <w:rFonts w:hint="eastAsia"/>
        </w:rPr>
        <w:t xml:space="preserve"> </w:t>
      </w:r>
      <w:r>
        <w:rPr>
          <w:rFonts w:hint="eastAsia"/>
        </w:rPr>
        <w:t>其中包括开发和转让科学、技术和创新，包括信息和通信技术；</w:t>
      </w:r>
      <w:r>
        <w:rPr>
          <w:rStyle w:val="a3"/>
        </w:rPr>
        <w:footnoteReference w:id="46"/>
      </w:r>
      <w:r>
        <w:rPr>
          <w:rFonts w:hint="eastAsia"/>
        </w:rPr>
        <w:t xml:space="preserve"> </w:t>
      </w:r>
      <w:r>
        <w:rPr>
          <w:rFonts w:hint="eastAsia"/>
        </w:rPr>
        <w:t>收集和管理发展合作数据；</w:t>
      </w:r>
      <w:r>
        <w:rPr>
          <w:rStyle w:val="a3"/>
        </w:rPr>
        <w:footnoteReference w:id="47"/>
      </w:r>
      <w:r>
        <w:rPr>
          <w:rFonts w:hint="eastAsia"/>
        </w:rPr>
        <w:t xml:space="preserve"> </w:t>
      </w:r>
      <w:r>
        <w:rPr>
          <w:rFonts w:hint="eastAsia"/>
        </w:rPr>
        <w:t>税务管理；私营部门的发展和参与；问责制框架制度化。</w:t>
      </w:r>
    </w:p>
    <w:p w:rsidR="00844909" w:rsidRPr="003B79E5" w:rsidRDefault="00844909" w:rsidP="003B79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4.</w:t>
      </w:r>
      <w:r w:rsidRPr="003B79E5">
        <w:tab/>
      </w:r>
      <w:r w:rsidRPr="003B79E5">
        <w:rPr>
          <w:rFonts w:hint="eastAsia"/>
        </w:rPr>
        <w:t>以整体社会办法支持多方利益攸关方进程</w:t>
      </w:r>
    </w:p>
    <w:p w:rsidR="00844909" w:rsidRPr="003B79E5" w:rsidRDefault="00844909" w:rsidP="003B79E5">
      <w:pPr>
        <w:pStyle w:val="SingleTxt"/>
        <w:spacing w:after="0" w:line="120" w:lineRule="exact"/>
        <w:rPr>
          <w:sz w:val="10"/>
        </w:rPr>
      </w:pPr>
    </w:p>
    <w:p w:rsidR="00844909" w:rsidRDefault="00844909" w:rsidP="00844909">
      <w:pPr>
        <w:pStyle w:val="SingleTxt"/>
        <w:spacing w:line="328" w:lineRule="exact"/>
      </w:pPr>
      <w:r>
        <w:rPr>
          <w:rFonts w:hint="eastAsia"/>
        </w:rPr>
        <w:t>37.</w:t>
      </w:r>
      <w:r>
        <w:rPr>
          <w:rFonts w:hint="eastAsia"/>
        </w:rPr>
        <w:tab/>
      </w:r>
      <w:r w:rsidRPr="00844909">
        <w:rPr>
          <w:rFonts w:hint="eastAsia"/>
          <w:spacing w:val="2"/>
        </w:rPr>
        <w:t>可持续发展目标背景下的发展合作意味着需要有效管理包容各方的多利益攸关方伙伴关系，不仅更加重视成果，而且更加重视联合发展进程。</w:t>
      </w:r>
      <w:r w:rsidRPr="00844909">
        <w:rPr>
          <w:rStyle w:val="a3"/>
          <w:spacing w:val="2"/>
        </w:rPr>
        <w:footnoteReference w:id="48"/>
      </w:r>
      <w:r w:rsidRPr="00844909">
        <w:rPr>
          <w:rFonts w:hint="eastAsia"/>
          <w:spacing w:val="2"/>
        </w:rPr>
        <w:t xml:space="preserve"> </w:t>
      </w:r>
      <w:r w:rsidRPr="00844909">
        <w:rPr>
          <w:rFonts w:hint="eastAsia"/>
          <w:spacing w:val="2"/>
        </w:rPr>
        <w:t>这需要加强公共机构的机构能力，以分享权力，让所有利益攸关方参与其中，努力创造基于人权、包容、透明和问责的新参与文化。发展合作能够很好地促进利益攸关方的交流，推动参与性进程，审查证据，分享知识和在合作伙伴之间建立信任</w:t>
      </w:r>
      <w:r>
        <w:rPr>
          <w:rFonts w:hint="eastAsia"/>
        </w:rPr>
        <w:t>。</w:t>
      </w:r>
    </w:p>
    <w:p w:rsidR="00844909" w:rsidRPr="003B79E5" w:rsidRDefault="00844909" w:rsidP="003B79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5.</w:t>
      </w:r>
      <w:r w:rsidRPr="003B79E5">
        <w:tab/>
      </w:r>
      <w:r w:rsidRPr="003B79E5">
        <w:rPr>
          <w:rFonts w:hint="eastAsia"/>
        </w:rPr>
        <w:t>加强发展合作中的多边主义</w:t>
      </w:r>
    </w:p>
    <w:p w:rsidR="00844909" w:rsidRPr="003B79E5" w:rsidRDefault="00844909" w:rsidP="003B79E5">
      <w:pPr>
        <w:pStyle w:val="SingleTxt"/>
        <w:spacing w:after="0" w:line="120" w:lineRule="exact"/>
        <w:rPr>
          <w:sz w:val="10"/>
        </w:rPr>
      </w:pPr>
    </w:p>
    <w:p w:rsidR="00844909" w:rsidRDefault="00844909" w:rsidP="00844909">
      <w:pPr>
        <w:pStyle w:val="SingleTxt"/>
        <w:spacing w:line="328" w:lineRule="exact"/>
      </w:pPr>
      <w:r>
        <w:rPr>
          <w:rFonts w:hint="eastAsia"/>
        </w:rPr>
        <w:t>38.</w:t>
      </w:r>
      <w:r>
        <w:tab/>
      </w:r>
      <w:r>
        <w:rPr>
          <w:rFonts w:hint="eastAsia"/>
        </w:rPr>
        <w:t>有充</w:t>
      </w:r>
      <w:r w:rsidRPr="003B79E5">
        <w:rPr>
          <w:rFonts w:hint="eastAsia"/>
          <w:spacing w:val="-4"/>
        </w:rPr>
        <w:t>分的理由支持发展合作中的新多边主义，新多边主义有能力承担和分散风险，侧重于长期成果和视角，不那么政治化，更具选择力、负责任和</w:t>
      </w:r>
      <w:r>
        <w:rPr>
          <w:rFonts w:hint="eastAsia"/>
        </w:rPr>
        <w:t>可预测。</w:t>
      </w:r>
      <w:r>
        <w:rPr>
          <w:rStyle w:val="a3"/>
        </w:rPr>
        <w:footnoteReference w:id="49"/>
      </w:r>
      <w:r>
        <w:rPr>
          <w:rFonts w:hint="eastAsia"/>
        </w:rPr>
        <w:t xml:space="preserve"> </w:t>
      </w:r>
      <w:r>
        <w:rPr>
          <w:rFonts w:hint="eastAsia"/>
        </w:rPr>
        <w:t>鉴于《</w:t>
      </w:r>
      <w:r>
        <w:rPr>
          <w:rFonts w:hint="eastAsia"/>
        </w:rPr>
        <w:t>2030</w:t>
      </w:r>
      <w:r>
        <w:rPr>
          <w:rFonts w:hint="eastAsia"/>
        </w:rPr>
        <w:t>年议程》及其对发展合作的影响，经济及社会理事会发起了透明和包容各方的对话，讨论联合国发展系统的长期定位。</w:t>
      </w:r>
      <w:r>
        <w:rPr>
          <w:rStyle w:val="a3"/>
        </w:rPr>
        <w:footnoteReference w:id="50"/>
      </w:r>
      <w:r>
        <w:rPr>
          <w:rFonts w:hint="eastAsia"/>
        </w:rPr>
        <w:t xml:space="preserve"> </w:t>
      </w:r>
      <w:r>
        <w:rPr>
          <w:rFonts w:hint="eastAsia"/>
        </w:rPr>
        <w:t>对话产生的一个主要信息是，要想在可持续发展目标背景下更有效地支持会员国，将需要联合国系统致力于在联合分析、规划、执行、监测和审查的基础上，对日益多样化的国家优先事项和需求采取真正综合性的对策。</w:t>
      </w:r>
      <w:r>
        <w:rPr>
          <w:rStyle w:val="a3"/>
        </w:rPr>
        <w:footnoteReference w:id="51"/>
      </w:r>
    </w:p>
    <w:p w:rsidR="00844909" w:rsidRPr="003B79E5" w:rsidRDefault="00844909" w:rsidP="003B79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B.</w:t>
      </w:r>
      <w:r w:rsidRPr="003B79E5">
        <w:tab/>
      </w:r>
      <w:r w:rsidRPr="003B79E5">
        <w:rPr>
          <w:rFonts w:hint="eastAsia"/>
        </w:rPr>
        <w:t>为实现《2030 年议程》进行有效发展合作</w:t>
      </w:r>
    </w:p>
    <w:p w:rsidR="00844909" w:rsidRPr="003B79E5" w:rsidRDefault="00844909" w:rsidP="003B79E5">
      <w:pPr>
        <w:pStyle w:val="SingleTxt"/>
        <w:spacing w:after="0" w:line="120" w:lineRule="exact"/>
        <w:rPr>
          <w:sz w:val="10"/>
        </w:rPr>
      </w:pPr>
    </w:p>
    <w:p w:rsidR="00844909" w:rsidRDefault="00844909" w:rsidP="00844909">
      <w:pPr>
        <w:pStyle w:val="SingleTxt"/>
        <w:spacing w:line="328" w:lineRule="exact"/>
      </w:pPr>
      <w:r>
        <w:rPr>
          <w:rFonts w:hint="eastAsia"/>
        </w:rPr>
        <w:t>39.</w:t>
      </w:r>
      <w:r>
        <w:rPr>
          <w:rFonts w:hint="eastAsia"/>
        </w:rPr>
        <w:tab/>
      </w:r>
      <w:r>
        <w:rPr>
          <w:rFonts w:hint="eastAsia"/>
        </w:rPr>
        <w:t>有效发展合作原则已经变得越来越重要，但其执行进度却没有跟上。</w:t>
      </w:r>
      <w:r>
        <w:rPr>
          <w:rStyle w:val="a3"/>
        </w:rPr>
        <w:footnoteReference w:id="52"/>
      </w:r>
      <w:r>
        <w:rPr>
          <w:rFonts w:hint="eastAsia"/>
        </w:rPr>
        <w:t xml:space="preserve"> </w:t>
      </w:r>
      <w:r>
        <w:rPr>
          <w:rFonts w:hint="eastAsia"/>
        </w:rPr>
        <w:t>本节强调在这些原则中国家自主权和协调一致原则的中心作用，说明它们如何能针对不断变化的环境得到切实实施。</w:t>
      </w:r>
    </w:p>
    <w:p w:rsidR="00844909" w:rsidRDefault="00844909" w:rsidP="007B4996">
      <w:pPr>
        <w:pStyle w:val="SingleTxt"/>
      </w:pPr>
      <w:r>
        <w:rPr>
          <w:rFonts w:hint="eastAsia"/>
        </w:rPr>
        <w:t>40.</w:t>
      </w:r>
      <w:r>
        <w:rPr>
          <w:rFonts w:hint="eastAsia"/>
        </w:rPr>
        <w:tab/>
      </w:r>
      <w:r>
        <w:rPr>
          <w:rFonts w:hint="eastAsia"/>
        </w:rPr>
        <w:t>国家自主权要求通过涉及包括议会在内的多利益攸关方伙伴的制度化参与性发展进程，制定、执行和监督全社会主导的国家发展计划。促进有效发展合作全球伙伴关系在其</w:t>
      </w:r>
      <w:r>
        <w:rPr>
          <w:rFonts w:hint="eastAsia"/>
        </w:rPr>
        <w:t>2014</w:t>
      </w:r>
      <w:r>
        <w:rPr>
          <w:rFonts w:hint="eastAsia"/>
        </w:rPr>
        <w:t>年进展报告中指出，</w:t>
      </w:r>
      <w:r>
        <w:rPr>
          <w:rFonts w:hint="eastAsia"/>
        </w:rPr>
        <w:t>2010</w:t>
      </w:r>
      <w:r>
        <w:rPr>
          <w:rFonts w:hint="eastAsia"/>
        </w:rPr>
        <w:t>年之前在加强和利用国家系统方面所取得的进展大部分得到了持续，但仍未达到既定目标。该报告强调需要加强相关行为体之间的对话。</w:t>
      </w:r>
      <w:r>
        <w:rPr>
          <w:rStyle w:val="a3"/>
        </w:rPr>
        <w:footnoteReference w:id="53"/>
      </w:r>
    </w:p>
    <w:p w:rsidR="00844909" w:rsidRDefault="00844909" w:rsidP="007B4996">
      <w:pPr>
        <w:pStyle w:val="SingleTxt"/>
      </w:pPr>
      <w:r>
        <w:rPr>
          <w:rFonts w:hint="eastAsia"/>
        </w:rPr>
        <w:t>41.</w:t>
      </w:r>
      <w:r>
        <w:rPr>
          <w:rFonts w:hint="eastAsia"/>
        </w:rPr>
        <w:tab/>
      </w:r>
      <w:r>
        <w:rPr>
          <w:rFonts w:hint="eastAsia"/>
        </w:rPr>
        <w:t>外部伙伴在发展合作活动中的协调一致往往表明各国在何种程度上主导自己的发展进程。根据《</w:t>
      </w:r>
      <w:r>
        <w:rPr>
          <w:rFonts w:hint="eastAsia"/>
        </w:rPr>
        <w:t>2030</w:t>
      </w:r>
      <w:r>
        <w:rPr>
          <w:rFonts w:hint="eastAsia"/>
        </w:rPr>
        <w:t>年议程》，协调一致意味着双边和多边发展伙伴在总部和国家一级使其支助与可持续发展目标以及发展中国家政府的优先事项和系统协调一致。</w:t>
      </w:r>
    </w:p>
    <w:p w:rsidR="00844909" w:rsidRDefault="00844909" w:rsidP="007B4996">
      <w:pPr>
        <w:pStyle w:val="SingleTxt"/>
      </w:pPr>
      <w:r>
        <w:rPr>
          <w:rFonts w:hint="eastAsia"/>
        </w:rPr>
        <w:t>42.</w:t>
      </w:r>
      <w:r>
        <w:rPr>
          <w:rFonts w:hint="eastAsia"/>
        </w:rPr>
        <w:tab/>
      </w:r>
      <w:r>
        <w:rPr>
          <w:rFonts w:hint="eastAsia"/>
        </w:rPr>
        <w:t>为了加强国家自主权和协调一致，全球伙伴关系在报告中提出了关于三套政策和</w:t>
      </w:r>
      <w:r>
        <w:rPr>
          <w:rFonts w:hint="eastAsia"/>
        </w:rPr>
        <w:t>(</w:t>
      </w:r>
      <w:r>
        <w:rPr>
          <w:rFonts w:hint="eastAsia"/>
        </w:rPr>
        <w:t>或</w:t>
      </w:r>
      <w:r>
        <w:rPr>
          <w:rFonts w:hint="eastAsia"/>
        </w:rPr>
        <w:t>)</w:t>
      </w:r>
      <w:r>
        <w:rPr>
          <w:rFonts w:hint="eastAsia"/>
        </w:rPr>
        <w:t>体制改革的建议：</w:t>
      </w:r>
    </w:p>
    <w:p w:rsidR="00844909" w:rsidRDefault="00844909" w:rsidP="007B4996">
      <w:pPr>
        <w:pStyle w:val="SingleTxt"/>
      </w:pPr>
      <w:r>
        <w:tab/>
      </w:r>
      <w:r>
        <w:rPr>
          <w:rFonts w:hint="eastAsia"/>
        </w:rPr>
        <w:t>(a)</w:t>
      </w:r>
      <w:r>
        <w:tab/>
      </w:r>
      <w:r w:rsidRPr="003B79E5">
        <w:rPr>
          <w:rFonts w:ascii="黑体" w:eastAsia="黑体" w:hAnsi="黑体" w:hint="eastAsia"/>
        </w:rPr>
        <w:t>发展中国家的国家发展合作政策应向具体发展伙伴阐明首选方式、分工和业绩评估框架</w:t>
      </w:r>
      <w:r>
        <w:rPr>
          <w:rFonts w:hint="eastAsia"/>
        </w:rPr>
        <w:t>。</w:t>
      </w:r>
      <w:r>
        <w:rPr>
          <w:rStyle w:val="a3"/>
        </w:rPr>
        <w:footnoteReference w:id="54"/>
      </w:r>
      <w:r>
        <w:rPr>
          <w:rFonts w:hint="eastAsia"/>
        </w:rPr>
        <w:t xml:space="preserve"> </w:t>
      </w:r>
      <w:r>
        <w:rPr>
          <w:rFonts w:hint="eastAsia"/>
        </w:rPr>
        <w:t>明确的国家发展合作政策能够有效地鼓励行为变化，更好地协调资源和减少各自为政现象。关于相互问责进展情况的最新发展合作论坛调查结果也表明，对指标的监测通常能够促进伙伴国家更好地协调一致。</w:t>
      </w:r>
      <w:r>
        <w:rPr>
          <w:rStyle w:val="a3"/>
        </w:rPr>
        <w:footnoteReference w:id="55"/>
      </w:r>
      <w:r>
        <w:rPr>
          <w:rFonts w:hint="eastAsia"/>
        </w:rPr>
        <w:t xml:space="preserve"> </w:t>
      </w:r>
      <w:r>
        <w:rPr>
          <w:rFonts w:hint="eastAsia"/>
        </w:rPr>
        <w:t>这类政策应与国家主导的可持续发展计划、包括国内资源调动战略协调一致，这些计划和战略又得到《亚的斯亚贝巴行动议程》中提到的综合性国家筹资框架</w:t>
      </w:r>
      <w:r>
        <w:rPr>
          <w:rFonts w:hint="eastAsia"/>
        </w:rPr>
        <w:t>(</w:t>
      </w:r>
      <w:r>
        <w:rPr>
          <w:rFonts w:hint="eastAsia"/>
        </w:rPr>
        <w:t>见大会第</w:t>
      </w:r>
      <w:hyperlink r:id="rId22" w:history="1">
        <w:r w:rsidRPr="00486591">
          <w:rPr>
            <w:rStyle w:val="ad"/>
            <w:rFonts w:hint="eastAsia"/>
          </w:rPr>
          <w:t>69/313</w:t>
        </w:r>
      </w:hyperlink>
      <w:r>
        <w:rPr>
          <w:rFonts w:hint="eastAsia"/>
        </w:rPr>
        <w:t>号决议，第</w:t>
      </w:r>
      <w:r>
        <w:rPr>
          <w:rFonts w:hint="eastAsia"/>
        </w:rPr>
        <w:t>9</w:t>
      </w:r>
      <w:r>
        <w:rPr>
          <w:rFonts w:hint="eastAsia"/>
        </w:rPr>
        <w:t>段</w:t>
      </w:r>
      <w:r>
        <w:rPr>
          <w:rFonts w:hint="eastAsia"/>
        </w:rPr>
        <w:t>)</w:t>
      </w:r>
      <w:r>
        <w:rPr>
          <w:rFonts w:hint="eastAsia"/>
        </w:rPr>
        <w:t>支持。</w:t>
      </w:r>
    </w:p>
    <w:p w:rsidR="00844909" w:rsidRDefault="00844909" w:rsidP="00844909">
      <w:pPr>
        <w:pStyle w:val="SingleTxt"/>
        <w:ind w:left="2126" w:hanging="431"/>
      </w:pPr>
      <w:r>
        <w:rPr>
          <w:rFonts w:hint="eastAsia"/>
        </w:rPr>
        <w:sym w:font="Symbol" w:char="F0B7"/>
      </w:r>
      <w:r>
        <w:tab/>
      </w:r>
      <w:r w:rsidRPr="00BE52D2">
        <w:rPr>
          <w:rFonts w:ascii="黑体" w:eastAsia="黑体" w:hAnsi="黑体" w:hint="eastAsia"/>
          <w:spacing w:val="-2"/>
        </w:rPr>
        <w:t>基于方案的办法</w:t>
      </w:r>
      <w:r w:rsidRPr="00BE52D2">
        <w:rPr>
          <w:rFonts w:hint="eastAsia"/>
          <w:spacing w:val="-2"/>
        </w:rPr>
        <w:t>，包括一般预算援助、指定用途的预算援助和一篮子</w:t>
      </w:r>
      <w:r w:rsidRPr="00BE52D2">
        <w:rPr>
          <w:rFonts w:hint="eastAsia"/>
          <w:spacing w:val="-2"/>
        </w:rPr>
        <w:t>/</w:t>
      </w:r>
      <w:r w:rsidRPr="00BE52D2">
        <w:rPr>
          <w:rFonts w:hint="eastAsia"/>
          <w:spacing w:val="-2"/>
        </w:rPr>
        <w:t>集合供资，是根据国家优先事项协调和统一发展合作以及减少交易费用的有效工具。</w:t>
      </w:r>
      <w:r w:rsidRPr="00BE52D2">
        <w:rPr>
          <w:rStyle w:val="a3"/>
          <w:spacing w:val="-2"/>
        </w:rPr>
        <w:footnoteReference w:id="56"/>
      </w:r>
      <w:r w:rsidRPr="00BE52D2">
        <w:rPr>
          <w:rFonts w:hint="eastAsia"/>
          <w:spacing w:val="-2"/>
        </w:rPr>
        <w:t xml:space="preserve"> </w:t>
      </w:r>
      <w:r w:rsidRPr="00BE52D2">
        <w:rPr>
          <w:rFonts w:hint="eastAsia"/>
          <w:spacing w:val="-2"/>
        </w:rPr>
        <w:t>自</w:t>
      </w:r>
      <w:r w:rsidRPr="00BE52D2">
        <w:rPr>
          <w:rFonts w:hint="eastAsia"/>
          <w:spacing w:val="-2"/>
        </w:rPr>
        <w:t>2008</w:t>
      </w:r>
      <w:r w:rsidRPr="00BE52D2">
        <w:rPr>
          <w:rFonts w:hint="eastAsia"/>
          <w:spacing w:val="-2"/>
        </w:rPr>
        <w:t>年以来</w:t>
      </w:r>
      <w:r w:rsidRPr="00BE52D2">
        <w:rPr>
          <w:rFonts w:hint="eastAsia"/>
          <w:spacing w:val="-2"/>
        </w:rPr>
        <w:t>(2013</w:t>
      </w:r>
      <w:r w:rsidRPr="00BE52D2">
        <w:rPr>
          <w:rFonts w:hint="eastAsia"/>
          <w:spacing w:val="-2"/>
        </w:rPr>
        <w:t>年除外</w:t>
      </w:r>
      <w:r w:rsidRPr="00BE52D2">
        <w:rPr>
          <w:rFonts w:hint="eastAsia"/>
          <w:spacing w:val="-2"/>
        </w:rPr>
        <w:t>)</w:t>
      </w:r>
      <w:r w:rsidRPr="00BE52D2">
        <w:rPr>
          <w:rFonts w:hint="eastAsia"/>
          <w:spacing w:val="-2"/>
        </w:rPr>
        <w:t>一般预算援助减少的趋势</w:t>
      </w:r>
      <w:r w:rsidRPr="00BE52D2">
        <w:rPr>
          <w:rStyle w:val="a3"/>
          <w:spacing w:val="-2"/>
        </w:rPr>
        <w:footnoteReference w:id="57"/>
      </w:r>
      <w:r w:rsidRPr="00BE52D2">
        <w:rPr>
          <w:rFonts w:hint="eastAsia"/>
          <w:spacing w:val="-2"/>
        </w:rPr>
        <w:t xml:space="preserve"> </w:t>
      </w:r>
      <w:r>
        <w:rPr>
          <w:rFonts w:hint="eastAsia"/>
        </w:rPr>
        <w:t>加剧了各自为政现象，需要密切监测。</w:t>
      </w:r>
    </w:p>
    <w:p w:rsidR="00844909" w:rsidRDefault="00844909" w:rsidP="00844909">
      <w:pPr>
        <w:pStyle w:val="SingleTxt"/>
        <w:ind w:left="2126" w:hanging="431"/>
      </w:pPr>
      <w:r>
        <w:rPr>
          <w:rFonts w:hint="eastAsia"/>
        </w:rPr>
        <w:sym w:font="Symbol" w:char="F0B7"/>
      </w:r>
      <w:r>
        <w:tab/>
      </w:r>
      <w:r w:rsidRPr="00BE52D2">
        <w:rPr>
          <w:rFonts w:ascii="黑体" w:eastAsia="黑体" w:hAnsi="黑体" w:hint="eastAsia"/>
        </w:rPr>
        <w:t>应根据可持续发展目标制定国家成果框架，作为新的激励机制</w:t>
      </w:r>
      <w:r>
        <w:rPr>
          <w:rFonts w:hint="eastAsia"/>
        </w:rPr>
        <w:t>。国家成果框架是一个重要工具，可阐明一个国家针对国家推动的目标监测和评估进展的方法。</w:t>
      </w:r>
      <w:r>
        <w:rPr>
          <w:rStyle w:val="a3"/>
        </w:rPr>
        <w:footnoteReference w:id="58"/>
      </w:r>
      <w:r>
        <w:rPr>
          <w:rFonts w:hint="eastAsia"/>
        </w:rPr>
        <w:t xml:space="preserve"> </w:t>
      </w:r>
      <w:r>
        <w:rPr>
          <w:rFonts w:hint="eastAsia"/>
        </w:rPr>
        <w:t>它不仅衡量成果，还衡量发展合作的长期影响，表明所有行为体应负的责任。国家成果框架应符合国家发展战略和可持续发展目标，与预算和公共财政管理进程联系在一起。发展合作应该支持发展中国家通过涉及多利益攸关方、包括地方政府</w:t>
      </w:r>
      <w:r>
        <w:rPr>
          <w:rStyle w:val="a3"/>
        </w:rPr>
        <w:footnoteReference w:id="59"/>
      </w:r>
      <w:r>
        <w:rPr>
          <w:rFonts w:hint="eastAsia"/>
        </w:rPr>
        <w:t xml:space="preserve"> </w:t>
      </w:r>
      <w:r>
        <w:rPr>
          <w:rFonts w:hint="eastAsia"/>
        </w:rPr>
        <w:t>和社会最弱势群体的参与性进程制定国家成果框架。</w:t>
      </w:r>
    </w:p>
    <w:p w:rsidR="00844909" w:rsidRDefault="00844909" w:rsidP="00BE52D2">
      <w:pPr>
        <w:pStyle w:val="SingleTxt"/>
        <w:spacing w:after="260"/>
      </w:pPr>
      <w:r>
        <w:rPr>
          <w:rFonts w:hint="eastAsia"/>
        </w:rPr>
        <w:t>43.</w:t>
      </w:r>
      <w:r>
        <w:tab/>
      </w:r>
      <w:r>
        <w:rPr>
          <w:rFonts w:hint="eastAsia"/>
        </w:rPr>
        <w:t>关于有效发展合作原则如何得到实际执行并在新的和不同的背景下在实地产生可持续发展影响仍然缺乏证据。因此，发展合作应促进多利益攸关方努力共同监测和记录地方和国家层面的调查结果，使其系统化，并向区域和全球层面的知识交流</w:t>
      </w:r>
      <w:r>
        <w:rPr>
          <w:rFonts w:hint="eastAsia"/>
        </w:rPr>
        <w:t>/</w:t>
      </w:r>
      <w:r>
        <w:rPr>
          <w:rFonts w:hint="eastAsia"/>
        </w:rPr>
        <w:t>政策对话论坛提供反馈。发展合作论坛调查以及论坛和其筹备讨论会能很好地促进各级决策和实践之间的衔接，同时考虑到补充性的努力。</w:t>
      </w:r>
    </w:p>
    <w:p w:rsidR="00844909" w:rsidRPr="003B79E5" w:rsidRDefault="00844909" w:rsidP="003B79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四.</w:t>
      </w:r>
      <w:r w:rsidRPr="003B79E5">
        <w:tab/>
      </w:r>
      <w:r w:rsidRPr="003B79E5">
        <w:rPr>
          <w:rFonts w:hint="eastAsia"/>
        </w:rPr>
        <w:t>通过发展合作的监测、审查和问责分享知识和相互学习</w:t>
      </w:r>
    </w:p>
    <w:p w:rsidR="00844909" w:rsidRPr="003B79E5" w:rsidRDefault="00844909" w:rsidP="003B79E5">
      <w:pPr>
        <w:pStyle w:val="SingleTxt"/>
        <w:spacing w:after="0" w:line="120" w:lineRule="exact"/>
        <w:rPr>
          <w:sz w:val="10"/>
        </w:rPr>
      </w:pPr>
    </w:p>
    <w:p w:rsidR="00844909" w:rsidRPr="003B79E5" w:rsidRDefault="00844909" w:rsidP="003B79E5">
      <w:pPr>
        <w:pStyle w:val="SingleTxt"/>
        <w:spacing w:after="0" w:line="120" w:lineRule="exact"/>
        <w:rPr>
          <w:sz w:val="10"/>
        </w:rPr>
      </w:pPr>
    </w:p>
    <w:p w:rsidR="00844909" w:rsidRDefault="00844909" w:rsidP="007B4996">
      <w:pPr>
        <w:pStyle w:val="SingleTxt"/>
      </w:pPr>
      <w:r>
        <w:rPr>
          <w:rFonts w:hint="eastAsia"/>
        </w:rPr>
        <w:t>44.</w:t>
      </w:r>
      <w:r>
        <w:tab/>
      </w:r>
      <w:r w:rsidR="00677365">
        <w:rPr>
          <w:rFonts w:hint="eastAsia"/>
        </w:rPr>
        <w:t>2014-2016</w:t>
      </w:r>
      <w:r>
        <w:rPr>
          <w:rFonts w:hint="eastAsia"/>
        </w:rPr>
        <w:t>年周期发展合作论坛关注的重点是为促进相互学习和改善发展成果而对发展合作进行的全面监测、审查和问责如何能够作为《</w:t>
      </w:r>
      <w:r>
        <w:rPr>
          <w:rFonts w:hint="eastAsia"/>
        </w:rPr>
        <w:t>2030</w:t>
      </w:r>
      <w:r>
        <w:rPr>
          <w:rFonts w:hint="eastAsia"/>
        </w:rPr>
        <w:t>年议程》及其在地方、国家、区域和全球各级执行工作的一部分发挥作用。</w:t>
      </w:r>
      <w:r>
        <w:rPr>
          <w:rStyle w:val="a3"/>
        </w:rPr>
        <w:footnoteReference w:id="60"/>
      </w:r>
      <w:r>
        <w:rPr>
          <w:rFonts w:hint="eastAsia"/>
        </w:rPr>
        <w:t xml:space="preserve"> </w:t>
      </w:r>
      <w:r>
        <w:rPr>
          <w:rFonts w:hint="eastAsia"/>
        </w:rPr>
        <w:t>该议程认识到必须不仅注重投入，而且应特别注重成果，让所有利益攸关方参与其中，包括私营部门行为体。各个层面上的努力应以相辅相成的方式一起运作，大力强调国家自主权和领导作用。广泛的可持续发展监测和审查系统以及具体的发展合作必须在所有层面有意义地联系在一起。</w:t>
      </w:r>
    </w:p>
    <w:p w:rsidR="00844909" w:rsidRPr="003B79E5" w:rsidRDefault="00844909" w:rsidP="003B79E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A.</w:t>
      </w:r>
      <w:r w:rsidRPr="003B79E5">
        <w:tab/>
      </w:r>
      <w:r w:rsidRPr="003B79E5">
        <w:rPr>
          <w:rFonts w:hint="eastAsia"/>
        </w:rPr>
        <w:t>公民主导的和国家以下各级发展合作监测</w:t>
      </w:r>
    </w:p>
    <w:p w:rsidR="00844909" w:rsidRPr="003B79E5" w:rsidRDefault="00844909" w:rsidP="003B79E5">
      <w:pPr>
        <w:pStyle w:val="SingleTxt"/>
        <w:spacing w:after="0" w:line="120" w:lineRule="exact"/>
        <w:rPr>
          <w:sz w:val="10"/>
        </w:rPr>
      </w:pPr>
    </w:p>
    <w:p w:rsidR="00844909" w:rsidRDefault="00844909" w:rsidP="007B4996">
      <w:pPr>
        <w:pStyle w:val="SingleTxt"/>
      </w:pPr>
      <w:r>
        <w:rPr>
          <w:rFonts w:hint="eastAsia"/>
        </w:rPr>
        <w:t>45.</w:t>
      </w:r>
      <w:r>
        <w:rPr>
          <w:rFonts w:hint="eastAsia"/>
        </w:rPr>
        <w:tab/>
      </w:r>
      <w:r>
        <w:rPr>
          <w:rFonts w:hint="eastAsia"/>
        </w:rPr>
        <w:t>《</w:t>
      </w:r>
      <w:r>
        <w:rPr>
          <w:rFonts w:hint="eastAsia"/>
        </w:rPr>
        <w:t>2030</w:t>
      </w:r>
      <w:r>
        <w:rPr>
          <w:rFonts w:hint="eastAsia"/>
        </w:rPr>
        <w:t>年议程》将人置于可持续发展的核心，强调必须将可持续发展目标本地化，不让任何人掉队。这需要让地方一级的行为者，如社区领导人、地方和区域政治家、妇女团体及其他民间社会组织以及民众作为议程执行伙伴和受益者参与其中。至关重要的是，要赋予他们参与所有决策步骤</w:t>
      </w:r>
      <w:r>
        <w:rPr>
          <w:rFonts w:hint="eastAsia"/>
        </w:rPr>
        <w:t>(</w:t>
      </w:r>
      <w:r>
        <w:rPr>
          <w:rFonts w:hint="eastAsia"/>
        </w:rPr>
        <w:t>即执行、监测和评价</w:t>
      </w:r>
      <w:r>
        <w:rPr>
          <w:rFonts w:hint="eastAsia"/>
        </w:rPr>
        <w:t>)</w:t>
      </w:r>
      <w:r>
        <w:rPr>
          <w:rFonts w:hint="eastAsia"/>
        </w:rPr>
        <w:t>的权能。</w:t>
      </w:r>
    </w:p>
    <w:p w:rsidR="00844909" w:rsidRPr="003B79E5" w:rsidRDefault="00844909" w:rsidP="003B79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B79E5">
        <w:rPr>
          <w:rFonts w:hint="eastAsia"/>
        </w:rPr>
        <w:t>1.</w:t>
      </w:r>
      <w:r w:rsidRPr="003B79E5">
        <w:tab/>
      </w:r>
      <w:r w:rsidRPr="003B79E5">
        <w:rPr>
          <w:rFonts w:hint="eastAsia"/>
        </w:rPr>
        <w:t>公民主导的发展合作监测</w:t>
      </w:r>
    </w:p>
    <w:p w:rsidR="00844909" w:rsidRPr="003B79E5" w:rsidRDefault="00844909" w:rsidP="003B79E5">
      <w:pPr>
        <w:pStyle w:val="SingleTxt"/>
        <w:spacing w:after="0" w:line="120" w:lineRule="exact"/>
        <w:rPr>
          <w:sz w:val="10"/>
        </w:rPr>
      </w:pPr>
    </w:p>
    <w:p w:rsidR="00844909" w:rsidRDefault="00844909" w:rsidP="007B4996">
      <w:pPr>
        <w:pStyle w:val="SingleTxt"/>
      </w:pPr>
      <w:r>
        <w:rPr>
          <w:rFonts w:hint="eastAsia"/>
        </w:rPr>
        <w:t>46.</w:t>
      </w:r>
      <w:r>
        <w:tab/>
      </w:r>
      <w:r>
        <w:rPr>
          <w:rFonts w:hint="eastAsia"/>
        </w:rPr>
        <w:t>发展合作在支持《</w:t>
      </w:r>
      <w:r>
        <w:rPr>
          <w:rFonts w:hint="eastAsia"/>
        </w:rPr>
        <w:t>2030</w:t>
      </w:r>
      <w:r>
        <w:rPr>
          <w:rFonts w:hint="eastAsia"/>
        </w:rPr>
        <w:t>年议程》方面的成就可以通过其对民众生活的影响来衡量。因此，个人的作用对于衡量成果和影响关于未来发展合作方向的决定来说至关重要。</w:t>
      </w:r>
    </w:p>
    <w:p w:rsidR="00844909" w:rsidRDefault="00844909" w:rsidP="00025CF2">
      <w:pPr>
        <w:pStyle w:val="SingleTxt"/>
        <w:tabs>
          <w:tab w:val="clear" w:pos="6435"/>
          <w:tab w:val="right" w:pos="1020"/>
        </w:tabs>
        <w:spacing w:after="120"/>
        <w:ind w:right="1259"/>
      </w:pPr>
      <w:r>
        <w:rPr>
          <w:rFonts w:hint="eastAsia"/>
        </w:rPr>
        <w:t>47.</w:t>
      </w:r>
      <w:r>
        <w:rPr>
          <w:rFonts w:hint="eastAsia"/>
        </w:rPr>
        <w:tab/>
      </w:r>
      <w:r>
        <w:rPr>
          <w:rFonts w:hint="eastAsia"/>
        </w:rPr>
        <w:t>有几个因素使以公民为基础的发展合作监测成为可能。其中包括有利的政策和立法环境，强有力的领导和随时变革的意愿，具有包容性和代表性的议会，有效的伙伴关系框架和平台，民众参与的能力，及时和易获取的信息以及</w:t>
      </w:r>
      <w:r w:rsidRPr="003B79E5">
        <w:rPr>
          <w:rFonts w:hint="eastAsia"/>
          <w:spacing w:val="-4"/>
        </w:rPr>
        <w:t>权力下放的发展合作。</w:t>
      </w:r>
      <w:r w:rsidRPr="003B79E5">
        <w:rPr>
          <w:rStyle w:val="a3"/>
          <w:spacing w:val="-4"/>
        </w:rPr>
        <w:footnoteReference w:id="61"/>
      </w:r>
      <w:r w:rsidRPr="003B79E5">
        <w:rPr>
          <w:rFonts w:hint="eastAsia"/>
          <w:spacing w:val="-4"/>
        </w:rPr>
        <w:t xml:space="preserve"> </w:t>
      </w:r>
      <w:r w:rsidRPr="003B79E5">
        <w:rPr>
          <w:rFonts w:hint="eastAsia"/>
          <w:spacing w:val="-4"/>
        </w:rPr>
        <w:t>通过用户反馈机制、公民行动数据收集和公民参与机制等模式，民众可以积极生成有价值的数据，和官方数据一起使用，以完善和补充官</w:t>
      </w:r>
      <w:r>
        <w:rPr>
          <w:rFonts w:hint="eastAsia"/>
        </w:rPr>
        <w:t>方数据。</w:t>
      </w:r>
      <w:r>
        <w:rPr>
          <w:rStyle w:val="a3"/>
        </w:rPr>
        <w:footnoteReference w:id="62"/>
      </w:r>
    </w:p>
    <w:p w:rsidR="00844909" w:rsidRPr="00047BB7" w:rsidRDefault="00844909" w:rsidP="00047BB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047BB7">
        <w:rPr>
          <w:rFonts w:hint="eastAsia"/>
        </w:rPr>
        <w:t>2.</w:t>
      </w:r>
      <w:r w:rsidRPr="00047BB7">
        <w:tab/>
      </w:r>
      <w:r w:rsidRPr="00047BB7">
        <w:rPr>
          <w:rFonts w:hint="eastAsia"/>
        </w:rPr>
        <w:t>国家以下各级发展合作监测</w:t>
      </w:r>
    </w:p>
    <w:p w:rsidR="00844909" w:rsidRPr="00047BB7" w:rsidRDefault="00844909" w:rsidP="00047BB7">
      <w:pPr>
        <w:pStyle w:val="SingleTxt"/>
        <w:spacing w:after="0" w:line="120" w:lineRule="exact"/>
        <w:rPr>
          <w:sz w:val="10"/>
        </w:rPr>
      </w:pPr>
    </w:p>
    <w:p w:rsidR="00844909" w:rsidRDefault="00844909" w:rsidP="00025CF2">
      <w:pPr>
        <w:pStyle w:val="SingleTxt"/>
        <w:tabs>
          <w:tab w:val="clear" w:pos="6435"/>
          <w:tab w:val="right" w:pos="1020"/>
        </w:tabs>
        <w:spacing w:after="120"/>
        <w:ind w:right="1259"/>
      </w:pPr>
      <w:r>
        <w:rPr>
          <w:rFonts w:hint="eastAsia"/>
        </w:rPr>
        <w:t>48.</w:t>
      </w:r>
      <w:r>
        <w:tab/>
      </w:r>
      <w:r>
        <w:rPr>
          <w:rFonts w:hint="eastAsia"/>
        </w:rPr>
        <w:t>地方和区域政府是引导地方和国家之间信息流通的主要中介机构。</w:t>
      </w:r>
      <w:r>
        <w:rPr>
          <w:rFonts w:hint="eastAsia"/>
        </w:rPr>
        <w:t xml:space="preserve"> </w:t>
      </w:r>
      <w:r>
        <w:rPr>
          <w:rFonts w:hint="eastAsia"/>
        </w:rPr>
        <w:t>它们在监测和审查发展合作方面的作用在很大程度上取决于其在国家结构中所处的位置、能力和被赋予的权力以及中央政府分派的责任。经验表明，如果获得足够的自主权、能力和资源，地方和区域政府就能够更有效地参与监测和审查工作。</w:t>
      </w:r>
      <w:r>
        <w:rPr>
          <w:rStyle w:val="a3"/>
        </w:rPr>
        <w:footnoteReference w:id="63"/>
      </w:r>
    </w:p>
    <w:p w:rsidR="00844909" w:rsidRPr="00477477" w:rsidRDefault="00844909" w:rsidP="000479A3">
      <w:pPr>
        <w:pStyle w:val="SingleTxt"/>
      </w:pPr>
      <w:r>
        <w:rPr>
          <w:rFonts w:hint="eastAsia"/>
        </w:rPr>
        <w:t>49.</w:t>
      </w:r>
      <w:r>
        <w:rPr>
          <w:rFonts w:hint="eastAsia"/>
        </w:rPr>
        <w:tab/>
      </w:r>
      <w:r>
        <w:rPr>
          <w:rFonts w:hint="eastAsia"/>
        </w:rPr>
        <w:t>在国家一级对发展合作进行的正式监测往往涉及各国政府及其合作伙伴，地方政府的代表性较低。</w:t>
      </w:r>
      <w:r>
        <w:rPr>
          <w:rStyle w:val="a3"/>
        </w:rPr>
        <w:footnoteReference w:id="64"/>
      </w:r>
      <w:r>
        <w:rPr>
          <w:rFonts w:hint="eastAsia"/>
        </w:rPr>
        <w:t xml:space="preserve"> </w:t>
      </w:r>
      <w:r>
        <w:rPr>
          <w:rFonts w:hint="eastAsia"/>
        </w:rPr>
        <w:t>地方当局有效参与监测进程与其已充分参与这一进程的较早阶段</w:t>
      </w:r>
      <w:r>
        <w:rPr>
          <w:rFonts w:hint="eastAsia"/>
        </w:rPr>
        <w:t>(</w:t>
      </w:r>
      <w:r>
        <w:rPr>
          <w:rFonts w:hint="eastAsia"/>
        </w:rPr>
        <w:t>如规划和执行阶段</w:t>
      </w:r>
      <w:r>
        <w:rPr>
          <w:rFonts w:hint="eastAsia"/>
        </w:rPr>
        <w:t>)</w:t>
      </w:r>
      <w:r>
        <w:rPr>
          <w:rFonts w:hint="eastAsia"/>
        </w:rPr>
        <w:t>有很大关系，因而能够促进改进监测办法和积极的发展成果。</w:t>
      </w:r>
    </w:p>
    <w:p w:rsidR="00025CF2" w:rsidRDefault="00025CF2" w:rsidP="00025C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国家对发展合作的监测</w:t>
      </w:r>
    </w:p>
    <w:p w:rsidR="00025CF2" w:rsidRPr="00025CF2" w:rsidRDefault="00025CF2" w:rsidP="00025CF2">
      <w:pPr>
        <w:pStyle w:val="SingleTxt"/>
        <w:spacing w:after="0" w:line="120" w:lineRule="exact"/>
        <w:ind w:right="0"/>
        <w:rPr>
          <w:sz w:val="10"/>
        </w:rPr>
      </w:pP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50.</w:t>
      </w:r>
      <w:r>
        <w:rPr>
          <w:rFonts w:hint="eastAsia"/>
        </w:rPr>
        <w:tab/>
      </w:r>
      <w:r>
        <w:rPr>
          <w:rFonts w:hint="eastAsia"/>
        </w:rPr>
        <w:t>在国家一级对发展合作承诺进行有效监测、审查和问责，可揭示发展中国家面临的具体情况下的发展合作挑战以及可能的根源和解决办法。此类信息有助于帮助各国加强国家发展合作框架，并为与发展合作有关的全球政策和标准制订论坛以及更广泛的《</w:t>
      </w:r>
      <w:r>
        <w:rPr>
          <w:rFonts w:hint="eastAsia"/>
        </w:rPr>
        <w:t>2030</w:t>
      </w:r>
      <w:r>
        <w:rPr>
          <w:rFonts w:hint="eastAsia"/>
        </w:rPr>
        <w:t>年议程》相关后续行动和审查进程提供资料。</w:t>
      </w:r>
      <w:r>
        <w:rPr>
          <w:rStyle w:val="a3"/>
        </w:rPr>
        <w:footnoteReference w:id="65"/>
      </w:r>
    </w:p>
    <w:p w:rsidR="00025CF2" w:rsidRPr="00CB18C3"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51.</w:t>
      </w:r>
      <w:r>
        <w:rPr>
          <w:rFonts w:hint="eastAsia"/>
        </w:rPr>
        <w:tab/>
      </w:r>
      <w:r>
        <w:rPr>
          <w:rFonts w:hint="eastAsia"/>
        </w:rPr>
        <w:t>双年度发展合作论坛调查提供有关实地发展合作现状的证据。</w:t>
      </w:r>
      <w:r>
        <w:rPr>
          <w:rStyle w:val="a3"/>
        </w:rPr>
        <w:footnoteReference w:id="66"/>
      </w:r>
      <w:r>
        <w:rPr>
          <w:rFonts w:hint="eastAsia"/>
        </w:rPr>
        <w:t xml:space="preserve"> 2015</w:t>
      </w:r>
      <w:r>
        <w:rPr>
          <w:rFonts w:hint="eastAsia"/>
        </w:rPr>
        <w:t>年，经济和社会事务部开始通过多利益攸关方协商进程，更新调查的设计，目的是评估在可持续发展目标方面相关性日益增强的领域</w:t>
      </w:r>
      <w:r>
        <w:rPr>
          <w:rFonts w:hint="eastAsia"/>
        </w:rPr>
        <w:t>(</w:t>
      </w:r>
      <w:r>
        <w:rPr>
          <w:rFonts w:hint="eastAsia"/>
        </w:rPr>
        <w:t>如可持续发展目标融入国家发</w:t>
      </w:r>
      <w:r w:rsidRPr="00CB18C3">
        <w:rPr>
          <w:rFonts w:hint="eastAsia"/>
          <w:spacing w:val="2"/>
        </w:rPr>
        <w:t>展合作政策的程度，国内资源调动在此类政策中的作用，私营和混合式发展合作</w:t>
      </w:r>
      <w:r w:rsidRPr="00CB18C3">
        <w:rPr>
          <w:rFonts w:hint="eastAsia"/>
          <w:spacing w:val="2"/>
        </w:rPr>
        <w:t>)</w:t>
      </w:r>
      <w:r w:rsidRPr="00CB18C3">
        <w:rPr>
          <w:rFonts w:hint="eastAsia"/>
          <w:spacing w:val="2"/>
        </w:rPr>
        <w:t>。</w:t>
      </w:r>
      <w:r w:rsidRPr="00CB18C3">
        <w:rPr>
          <w:rStyle w:val="a3"/>
          <w:spacing w:val="2"/>
        </w:rPr>
        <w:footnoteReference w:id="67"/>
      </w:r>
      <w:r w:rsidRPr="00CB18C3">
        <w:rPr>
          <w:rFonts w:hint="eastAsia"/>
          <w:spacing w:val="2"/>
        </w:rPr>
        <w:t xml:space="preserve"> </w:t>
      </w:r>
      <w:r>
        <w:rPr>
          <w:rFonts w:hint="eastAsia"/>
        </w:rPr>
        <w:t>当前第四次调查有助于各国围绕数项有效发展合作使能因素确定评估结构，这些因素还可加强相互问责。</w:t>
      </w:r>
      <w:r>
        <w:rPr>
          <w:rStyle w:val="a3"/>
        </w:rPr>
        <w:footnoteReference w:id="68"/>
      </w:r>
      <w:r>
        <w:rPr>
          <w:rFonts w:hint="eastAsia"/>
        </w:rPr>
        <w:t xml:space="preserve"> </w:t>
      </w:r>
      <w:r>
        <w:rPr>
          <w:rFonts w:hint="eastAsia"/>
        </w:rPr>
        <w:t>它们包括：国家发展合作政策；监测框架；具有对话平台的发展合作体制架构；数据和信息；政治领导；能力建设。</w:t>
      </w:r>
      <w:r>
        <w:rPr>
          <w:rFonts w:hint="eastAsia"/>
        </w:rPr>
        <w:t xml:space="preserve"> </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52.</w:t>
      </w:r>
      <w:r>
        <w:rPr>
          <w:rFonts w:hint="eastAsia"/>
        </w:rPr>
        <w:tab/>
      </w:r>
      <w:r>
        <w:rPr>
          <w:rFonts w:hint="eastAsia"/>
        </w:rPr>
        <w:t>在第四次发展合作论坛调查结果中，为加强所有发展合作行为体的问责制，提出下列变动、挑战和提议。</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(a)</w:t>
      </w:r>
      <w:r>
        <w:rPr>
          <w:rFonts w:hint="eastAsia"/>
        </w:rPr>
        <w:tab/>
      </w:r>
      <w:r>
        <w:rPr>
          <w:rFonts w:hint="eastAsia"/>
        </w:rPr>
        <w:t>目前，</w:t>
      </w:r>
      <w:r>
        <w:rPr>
          <w:rFonts w:hint="eastAsia"/>
        </w:rPr>
        <w:t>72</w:t>
      </w:r>
      <w:r>
        <w:rPr>
          <w:rFonts w:hint="eastAsia"/>
        </w:rPr>
        <w:t>％参与调查的国家拟订了国家发展合作政策。与单个发展合作伙伴的政策</w:t>
      </w:r>
      <w:r>
        <w:rPr>
          <w:rFonts w:hint="eastAsia"/>
        </w:rPr>
        <w:t>(54</w:t>
      </w:r>
      <w:r>
        <w:rPr>
          <w:rFonts w:hint="eastAsia"/>
        </w:rPr>
        <w:t>％</w:t>
      </w:r>
      <w:r>
        <w:rPr>
          <w:rFonts w:hint="eastAsia"/>
        </w:rPr>
        <w:t>)</w:t>
      </w:r>
      <w:r>
        <w:rPr>
          <w:rFonts w:hint="eastAsia"/>
        </w:rPr>
        <w:t>相比，国家发展合作政策更有可能为发展中国家政府部门设定目标</w:t>
      </w:r>
      <w:r>
        <w:rPr>
          <w:rFonts w:hint="eastAsia"/>
        </w:rPr>
        <w:t>(92</w:t>
      </w:r>
      <w:r>
        <w:rPr>
          <w:rFonts w:hint="eastAsia"/>
        </w:rPr>
        <w:t>％</w:t>
      </w:r>
      <w:r>
        <w:rPr>
          <w:rFonts w:hint="eastAsia"/>
        </w:rPr>
        <w:t>)</w:t>
      </w:r>
      <w:r>
        <w:rPr>
          <w:rFonts w:hint="eastAsia"/>
        </w:rPr>
        <w:t>，其载列为主要提供非金融发展合作的伙伴设定的目标的可能性更小</w:t>
      </w:r>
      <w:r>
        <w:rPr>
          <w:rFonts w:hint="eastAsia"/>
        </w:rPr>
        <w:t>(27</w:t>
      </w:r>
      <w:r>
        <w:rPr>
          <w:rFonts w:hint="eastAsia"/>
        </w:rPr>
        <w:t>％</w:t>
      </w:r>
      <w:r>
        <w:rPr>
          <w:rFonts w:hint="eastAsia"/>
        </w:rPr>
        <w:t>)</w:t>
      </w:r>
      <w:r>
        <w:rPr>
          <w:rFonts w:hint="eastAsia"/>
        </w:rPr>
        <w:t>。超过半数的答复国不要求议会在通过国家发展合作政策前举行公开听证会。总体而言，此类政策应包括坚实的成果框架和具体分工，并由议会定期审查。这些修订措施将加强相互问责和国内问责。各国政府应确保议会和民间社会充分参与进程，对人民更加负责。</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(b)</w:t>
      </w:r>
      <w:r>
        <w:rPr>
          <w:rFonts w:hint="eastAsia"/>
        </w:rPr>
        <w:tab/>
        <w:t>81</w:t>
      </w:r>
      <w:r>
        <w:rPr>
          <w:rFonts w:hint="eastAsia"/>
        </w:rPr>
        <w:t>％的答复国建立了发展合作监测框架，但近一半的被调查国家仍有并行的伙伴成果框架。鼓励发展伙伴配合发展中国家的政策和体系的激励措施很少。所以本报告建议，发展合作应支持发展中国家采取变革性做法，制订国家成果框架，以这种机制激励更广泛的发展合作行为体实现更具包容性和可持续性的发展合作，产生更长期的影响</w:t>
      </w:r>
      <w:r>
        <w:rPr>
          <w:rFonts w:hint="eastAsia"/>
        </w:rPr>
        <w:t>(</w:t>
      </w:r>
      <w:r>
        <w:rPr>
          <w:rFonts w:hint="eastAsia"/>
        </w:rPr>
        <w:t>见第三节</w:t>
      </w:r>
      <w:r>
        <w:rPr>
          <w:rFonts w:hint="eastAsia"/>
        </w:rPr>
        <w:t>)</w:t>
      </w:r>
      <w:r>
        <w:rPr>
          <w:rFonts w:hint="eastAsia"/>
        </w:rPr>
        <w:t>。</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(c)</w:t>
      </w:r>
      <w:r>
        <w:rPr>
          <w:rFonts w:hint="eastAsia"/>
        </w:rPr>
        <w:tab/>
        <w:t>86</w:t>
      </w:r>
      <w:r>
        <w:rPr>
          <w:rFonts w:hint="eastAsia"/>
        </w:rPr>
        <w:t>％的国家建立了对话的体制架构，如国家发展合作论坛。这些架构被认为可以增添价值，建立利益攸关方之间的信任，推动发展合作谈判，使发展合作配合国家决策，促进共享知识和相互学习。与地方政府或私人基金会和慈善组</w:t>
      </w:r>
      <w:r w:rsidRPr="00172DE7">
        <w:rPr>
          <w:rFonts w:hint="eastAsia"/>
          <w:spacing w:val="-3"/>
        </w:rPr>
        <w:t>织的贡献相比，国家发展合作论坛往往对部委和双边伙伴的贡献进行更多审查。必须投资加强发展中国家的机构能力，使它们能够筹备和举办国家发展合作论坛，对论坛采取后续行动，并发现创造性办法，吸引相关多利益攸关方伙伴参加。除此之外，必须努力解决对发展合作行为体、特别是议员和民间社会组织能力支助不足的问题，这仍是阻碍在国家一级对发展合作开展综合监测、审查和问责的障碍。</w:t>
      </w:r>
      <w:r>
        <w:rPr>
          <w:rFonts w:hint="eastAsia"/>
        </w:rPr>
        <w:t xml:space="preserve"> </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(d)</w:t>
      </w:r>
      <w:r>
        <w:rPr>
          <w:rFonts w:hint="eastAsia"/>
        </w:rPr>
        <w:tab/>
      </w:r>
      <w:r>
        <w:rPr>
          <w:rFonts w:hint="eastAsia"/>
        </w:rPr>
        <w:t>发展中国家收集、分析和综合决策数据的能力有限，增加的报告负担加剧了这种情况。发展合作论坛调查显示，发展中国家的发展合作信息系统中只有</w:t>
      </w:r>
      <w:r>
        <w:rPr>
          <w:rFonts w:hint="eastAsia"/>
        </w:rPr>
        <w:t>47%</w:t>
      </w:r>
      <w:r>
        <w:rPr>
          <w:rFonts w:hint="eastAsia"/>
        </w:rPr>
        <w:t>使用国家预算编码，发展伙伴的预算编码中只有</w:t>
      </w:r>
      <w:r>
        <w:rPr>
          <w:rFonts w:hint="eastAsia"/>
        </w:rPr>
        <w:t>33</w:t>
      </w:r>
      <w:r>
        <w:rPr>
          <w:rFonts w:hint="eastAsia"/>
        </w:rPr>
        <w:t>％与发展中国家的发展合作信息系统相一致。必须确定办法，有效激励发展伙伴并使它们能够使用国家系统，并支持发展中国家政府改进发展合作信息系统，以期加强系统同发展中国家及其外部伙伴的预算流程的互通性。为提高发展合作数据的质量和可获性，正在开展国际援助透明化倡议、开放式政府伙伴关系、国际预算伙伴关系等工作。</w:t>
      </w:r>
      <w:r>
        <w:rPr>
          <w:rFonts w:hint="eastAsia"/>
        </w:rPr>
        <w:t xml:space="preserve"> </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53.</w:t>
      </w:r>
      <w:r>
        <w:rPr>
          <w:rFonts w:hint="eastAsia"/>
        </w:rPr>
        <w:tab/>
      </w:r>
      <w:r>
        <w:rPr>
          <w:rFonts w:hint="eastAsia"/>
        </w:rPr>
        <w:t>此外，应努力获取透明和有效的涉及私营实体的发展合作数据，更好地衡量</w:t>
      </w:r>
      <w:r w:rsidR="004B00B8">
        <w:rPr>
          <w:rFonts w:hint="eastAsia"/>
        </w:rPr>
        <w:t>此类合作</w:t>
      </w:r>
      <w:r>
        <w:rPr>
          <w:rFonts w:hint="eastAsia"/>
        </w:rPr>
        <w:t>的实效和影响。这将支持更好的决策和参与；鼓励最佳作法、相互学习和共享知识；并有助于推动持续提高可持续发展资源的数量、质量和针对性。应能采用更加全球化的多利益攸关方联合方法来评估涉及私营部门和混合发展合作的影响和实效。</w:t>
      </w:r>
    </w:p>
    <w:p w:rsidR="00025CF2" w:rsidRDefault="00025CF2" w:rsidP="00025C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t>区域和全球对发展合作的监测和审查</w:t>
      </w:r>
    </w:p>
    <w:p w:rsidR="00025CF2" w:rsidRPr="00025CF2" w:rsidRDefault="00025CF2" w:rsidP="00025CF2">
      <w:pPr>
        <w:pStyle w:val="SingleTxt"/>
        <w:spacing w:after="0" w:line="120" w:lineRule="exact"/>
        <w:ind w:right="0"/>
        <w:rPr>
          <w:sz w:val="10"/>
        </w:rPr>
      </w:pP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54.</w:t>
      </w:r>
      <w:r>
        <w:rPr>
          <w:rFonts w:hint="eastAsia"/>
        </w:rPr>
        <w:tab/>
      </w:r>
      <w:r>
        <w:rPr>
          <w:rFonts w:hint="eastAsia"/>
        </w:rPr>
        <w:t>虽然落实可持续发展目标在很大程度上取决于国家行动，但还需要加强国际合作，才能最终实现大部分目标和具体目标。区域和全球两级的后续行动和审查进程应相辅相成，必须补充并支持国家和地方的审查，最终目标是加快实现消除贫穷和饥饿以及其他目标的进展。</w:t>
      </w:r>
      <w:r>
        <w:rPr>
          <w:rStyle w:val="a3"/>
        </w:rPr>
        <w:footnoteReference w:id="69"/>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55.</w:t>
      </w:r>
      <w:r>
        <w:rPr>
          <w:rFonts w:hint="eastAsia"/>
        </w:rPr>
        <w:tab/>
      </w:r>
      <w:r>
        <w:rPr>
          <w:rFonts w:hint="eastAsia"/>
        </w:rPr>
        <w:t>国家监测和审查的结果应纳入区域监测和相互审查进程并从中受益，这些进程可提供平台，确定参与国的能力建设需求以及共享知识、相互学习和交流技术的机会。区域委员会可发挥重要作用，促进信息交流和相互审查。</w:t>
      </w:r>
      <w:r>
        <w:rPr>
          <w:rStyle w:val="a3"/>
        </w:rPr>
        <w:footnoteReference w:id="70"/>
      </w:r>
      <w:r>
        <w:rPr>
          <w:rFonts w:hint="eastAsia"/>
        </w:rPr>
        <w:t xml:space="preserve"> </w:t>
      </w:r>
      <w:r>
        <w:rPr>
          <w:rFonts w:hint="eastAsia"/>
        </w:rPr>
        <w:t>非洲联盟</w:t>
      </w:r>
      <w:r>
        <w:rPr>
          <w:rFonts w:hint="eastAsia"/>
        </w:rPr>
        <w:t>-</w:t>
      </w:r>
      <w:r>
        <w:rPr>
          <w:rFonts w:hint="eastAsia"/>
        </w:rPr>
        <w:t>非洲发展新伙伴关系的非洲同侪审议机制、关于加强太平洋地区发展协调的凯恩斯契约以及加勒比共同体也是区域监测和审查机制的知名例子。本次发展合作论坛调查及先前的调查</w:t>
      </w:r>
      <w:r>
        <w:rPr>
          <w:rFonts w:hint="eastAsia"/>
        </w:rPr>
        <w:t>(2013</w:t>
      </w:r>
      <w:r>
        <w:rPr>
          <w:rFonts w:hint="eastAsia"/>
        </w:rPr>
        <w:t>年度以及</w:t>
      </w:r>
      <w:r>
        <w:rPr>
          <w:rFonts w:hint="eastAsia"/>
        </w:rPr>
        <w:t>2015/2016</w:t>
      </w:r>
      <w:r>
        <w:rPr>
          <w:rFonts w:hint="eastAsia"/>
        </w:rPr>
        <w:t>年度调查</w:t>
      </w:r>
      <w:r>
        <w:rPr>
          <w:rFonts w:hint="eastAsia"/>
        </w:rPr>
        <w:t>)</w:t>
      </w:r>
      <w:r>
        <w:rPr>
          <w:rFonts w:hint="eastAsia"/>
        </w:rPr>
        <w:t>显示，</w:t>
      </w:r>
      <w:r>
        <w:rPr>
          <w:rFonts w:hint="eastAsia"/>
        </w:rPr>
        <w:t>95</w:t>
      </w:r>
      <w:r>
        <w:rPr>
          <w:rFonts w:hint="eastAsia"/>
        </w:rPr>
        <w:t>％的国家表示它们已经利用区域和全球监测机制的调查结果来审查发展合作趋势。</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56.</w:t>
      </w:r>
      <w:r>
        <w:rPr>
          <w:rFonts w:hint="eastAsia"/>
        </w:rPr>
        <w:tab/>
      </w:r>
      <w:r>
        <w:rPr>
          <w:rFonts w:hint="eastAsia"/>
        </w:rPr>
        <w:t>经济及社会理事会主持的</w:t>
      </w:r>
      <w:r>
        <w:rPr>
          <w:rFonts w:hint="eastAsia"/>
        </w:rPr>
        <w:t>2016</w:t>
      </w:r>
      <w:r>
        <w:rPr>
          <w:rFonts w:hint="eastAsia"/>
        </w:rPr>
        <w:t>年高级别政治论坛作为全球核心审查平台，预计将以全面方式审查执行情况。论坛评估进展、成就和所有国家面临的挑战，确保《</w:t>
      </w:r>
      <w:r>
        <w:rPr>
          <w:rFonts w:hint="eastAsia"/>
        </w:rPr>
        <w:t>2030</w:t>
      </w:r>
      <w:r>
        <w:rPr>
          <w:rFonts w:hint="eastAsia"/>
        </w:rPr>
        <w:t>年议程》继续具有相关性和宏伟目标。</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57.</w:t>
      </w:r>
      <w:r>
        <w:rPr>
          <w:rFonts w:hint="eastAsia"/>
        </w:rPr>
        <w:tab/>
      </w:r>
      <w:r w:rsidRPr="00025CF2">
        <w:rPr>
          <w:rFonts w:hint="eastAsia"/>
          <w:spacing w:val="-4"/>
        </w:rPr>
        <w:t>经济及社会理事会发展筹资论坛将审查《亚的斯亚贝巴行动议程》的执行情况以及《</w:t>
      </w:r>
      <w:r w:rsidRPr="00025CF2">
        <w:rPr>
          <w:rFonts w:hint="eastAsia"/>
          <w:spacing w:val="-4"/>
        </w:rPr>
        <w:t>2030</w:t>
      </w:r>
      <w:r w:rsidRPr="00025CF2">
        <w:rPr>
          <w:rFonts w:hint="eastAsia"/>
          <w:spacing w:val="-4"/>
        </w:rPr>
        <w:t>年议程》执行手段的提供情况。发展合作论坛侧重于发展合作作为落实《</w:t>
      </w:r>
      <w:r w:rsidRPr="00025CF2">
        <w:rPr>
          <w:rFonts w:hint="eastAsia"/>
          <w:spacing w:val="-4"/>
        </w:rPr>
        <w:t>2030</w:t>
      </w:r>
      <w:r w:rsidRPr="00025CF2">
        <w:rPr>
          <w:rFonts w:hint="eastAsia"/>
          <w:spacing w:val="-4"/>
        </w:rPr>
        <w:t>年议程》的整合力量发挥的关键作用。其工作为发展筹资后续行动进程提供资料，并促进执行《亚的斯亚贝巴行动议程》。高级别政治论坛在审查实现《</w:t>
      </w:r>
      <w:r w:rsidRPr="00025CF2">
        <w:rPr>
          <w:rFonts w:hint="eastAsia"/>
          <w:spacing w:val="-4"/>
        </w:rPr>
        <w:t>2030</w:t>
      </w:r>
      <w:r w:rsidRPr="00025CF2">
        <w:rPr>
          <w:rFonts w:hint="eastAsia"/>
          <w:spacing w:val="-4"/>
        </w:rPr>
        <w:t>年议程》的进展时，考虑到发展合作论坛的工作。发展合作论坛确定阻碍伙伴关系取得成功的差距，帮助设计并执行监测和审查机制，评估各种工具的有效性。发展合作论坛调查反映了各国在发展合作的质量、影响和实效方面取得的进展</w:t>
      </w:r>
      <w:r>
        <w:rPr>
          <w:rFonts w:hint="eastAsia"/>
        </w:rPr>
        <w:t>。</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58.</w:t>
      </w:r>
      <w:r>
        <w:rPr>
          <w:rFonts w:hint="eastAsia"/>
        </w:rPr>
        <w:tab/>
      </w:r>
      <w:r>
        <w:rPr>
          <w:rFonts w:hint="eastAsia"/>
        </w:rPr>
        <w:t>在全球层面，今后的联合国系统发展方面业务活动四年度全面政策审查也可审查在有效支助会员国落实《</w:t>
      </w:r>
      <w:r>
        <w:rPr>
          <w:rFonts w:hint="eastAsia"/>
        </w:rPr>
        <w:t>2030</w:t>
      </w:r>
      <w:r>
        <w:rPr>
          <w:rFonts w:hint="eastAsia"/>
        </w:rPr>
        <w:t>年议程》方面的全系统业绩。</w:t>
      </w:r>
    </w:p>
    <w:p w:rsidR="00025CF2" w:rsidRPr="00025CF2" w:rsidRDefault="00025CF2" w:rsidP="00025CF2">
      <w:pPr>
        <w:pStyle w:val="SingleTxt"/>
        <w:spacing w:after="0" w:line="120" w:lineRule="exact"/>
        <w:ind w:right="0"/>
        <w:rPr>
          <w:sz w:val="10"/>
        </w:rPr>
      </w:pPr>
    </w:p>
    <w:p w:rsidR="00025CF2" w:rsidRDefault="00025CF2" w:rsidP="00025CF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五.</w:t>
      </w:r>
      <w:r>
        <w:rPr>
          <w:rFonts w:hint="eastAsia"/>
        </w:rPr>
        <w:tab/>
        <w:t>主要建议和结论</w:t>
      </w:r>
    </w:p>
    <w:p w:rsidR="00025CF2" w:rsidRPr="00025CF2" w:rsidRDefault="00025CF2" w:rsidP="00025CF2">
      <w:pPr>
        <w:pStyle w:val="SingleTxt"/>
        <w:spacing w:after="0" w:line="120" w:lineRule="exact"/>
        <w:ind w:right="0"/>
        <w:rPr>
          <w:sz w:val="10"/>
        </w:rPr>
      </w:pPr>
    </w:p>
    <w:p w:rsidR="00025CF2" w:rsidRPr="00025CF2" w:rsidRDefault="00025CF2" w:rsidP="00025CF2">
      <w:pPr>
        <w:pStyle w:val="SingleTxt"/>
        <w:spacing w:after="0" w:line="120" w:lineRule="exact"/>
        <w:ind w:right="0"/>
        <w:rPr>
          <w:sz w:val="10"/>
        </w:rPr>
      </w:pP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59.</w:t>
      </w:r>
      <w:r>
        <w:rPr>
          <w:rFonts w:hint="eastAsia"/>
        </w:rPr>
        <w:tab/>
      </w:r>
      <w:r>
        <w:rPr>
          <w:rFonts w:hint="eastAsia"/>
        </w:rPr>
        <w:t>发展合作作为有效执行《</w:t>
      </w:r>
      <w:r>
        <w:rPr>
          <w:rFonts w:hint="eastAsia"/>
        </w:rPr>
        <w:t>2030</w:t>
      </w:r>
      <w:r>
        <w:rPr>
          <w:rFonts w:hint="eastAsia"/>
        </w:rPr>
        <w:t>年可持续发展议程》的手段，拥有巨大潜力。它包括广泛的国际行动，采用资金、能力建设、技术开发和转让、政策变化和多利益攸关方伙伴关系等各种方式。发展合作仍应紧密着眼于发展中国家执行可持续发展目标的努力，把“不让任何人掉队”作为基本关切，并特别关注最脆弱的国家和群体。有效的发展合作可帮助启动可持续发展目标需要的深刻政策和方案整合，促进包容性跨部门伙伴关系，为可持续发展的政策一致性提供能力支助。</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60.</w:t>
      </w:r>
      <w:r>
        <w:rPr>
          <w:rFonts w:hint="eastAsia"/>
        </w:rPr>
        <w:tab/>
      </w:r>
      <w:r>
        <w:rPr>
          <w:rFonts w:hint="eastAsia"/>
        </w:rPr>
        <w:t>《</w:t>
      </w:r>
      <w:r>
        <w:rPr>
          <w:rFonts w:hint="eastAsia"/>
        </w:rPr>
        <w:t>2030</w:t>
      </w:r>
      <w:r>
        <w:rPr>
          <w:rFonts w:hint="eastAsia"/>
        </w:rPr>
        <w:t>年议程》应进一步推动所有发展合作行为体改变心态。需要采取个别行动和联合行动，克服阻碍采取更加一致和综合性对策的“筒仓式”心态，调整各级的发展合作机构。全球机构应按照可持续发展目标，调整自己的轻重缓急、整体战略、业务工作方法、资金和能力。在可持续发展目标方面，发展合作应发挥更加突出的战略性作用，支助</w:t>
      </w:r>
      <w:r w:rsidR="008A69B4">
        <w:rPr>
          <w:rFonts w:hint="eastAsia"/>
        </w:rPr>
        <w:t>所有</w:t>
      </w:r>
      <w:r w:rsidR="004B00B8">
        <w:rPr>
          <w:rFonts w:hint="eastAsia"/>
        </w:rPr>
        <w:t>发展阶段</w:t>
      </w:r>
      <w:r>
        <w:rPr>
          <w:rFonts w:hint="eastAsia"/>
        </w:rPr>
        <w:t>的发展中国家，并更加注重实现可持续发展的影响。</w:t>
      </w:r>
      <w:r w:rsidR="004B00B8">
        <w:rPr>
          <w:rFonts w:hint="eastAsia"/>
        </w:rPr>
        <w:t>这将</w:t>
      </w:r>
      <w:r>
        <w:rPr>
          <w:rFonts w:hint="eastAsia"/>
        </w:rPr>
        <w:t>需要特别</w:t>
      </w:r>
      <w:r w:rsidR="004B00B8">
        <w:rPr>
          <w:rFonts w:hint="eastAsia"/>
        </w:rPr>
        <w:t>注意</w:t>
      </w:r>
      <w:r>
        <w:rPr>
          <w:rFonts w:hint="eastAsia"/>
        </w:rPr>
        <w:t>填补</w:t>
      </w:r>
      <w:r w:rsidR="004B00B8">
        <w:rPr>
          <w:rFonts w:hint="eastAsia"/>
        </w:rPr>
        <w:t>这一领域</w:t>
      </w:r>
      <w:r>
        <w:rPr>
          <w:rFonts w:hint="eastAsia"/>
        </w:rPr>
        <w:t>的巨大数据差距，提高发展合作分类数据的质量和可获性。</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61.</w:t>
      </w:r>
      <w:r>
        <w:rPr>
          <w:rFonts w:hint="eastAsia"/>
        </w:rPr>
        <w:tab/>
      </w:r>
      <w:r>
        <w:rPr>
          <w:rFonts w:hint="eastAsia"/>
        </w:rPr>
        <w:t>官方发展援助仍是发展合作独特而重要的驱动因素，现有的官方发展援助承诺必须兑现。应进一步把官方发展援助作为优先重点并加以更好利用，以主要针对赤贫人群和能力最弱的国家。官方发展援助可针对特定需求领域，并惠及最贫穷和最弱势的人群，它应被用来解决冲突的根源。</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62.</w:t>
      </w:r>
      <w:r>
        <w:rPr>
          <w:rFonts w:hint="eastAsia"/>
        </w:rPr>
        <w:tab/>
      </w:r>
      <w:r>
        <w:rPr>
          <w:rFonts w:hint="eastAsia"/>
        </w:rPr>
        <w:t>在调动国内资源、加强统计能力、在发展中国家动员公私合作等方面，官方发展援助也可成为一个重要的杠杆工具。然而，需要密切监测证据，了解使用官方发展援助促进调动其他资源的不同方式的实效。参与发展合作的私营实体应公布更多更好的信息，说明其合作的实效和影响以及评估方法。混合融资应调动更多私人资金流，支助国家可持续发展优先事项，增加可持续发展的影响。</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63.</w:t>
      </w:r>
      <w:r>
        <w:rPr>
          <w:rFonts w:hint="eastAsia"/>
        </w:rPr>
        <w:tab/>
      </w:r>
      <w:r>
        <w:rPr>
          <w:rFonts w:hint="eastAsia"/>
        </w:rPr>
        <w:t>应研究南南合作新举措及其后续行动和评价机制，为其他行为体总结管理发展合作途径的有益经验。应在联合国支持下，继续努力更好地了解如何从南南合作中实现更好的可持续发展成果。发展合作</w:t>
      </w:r>
      <w:r>
        <w:rPr>
          <w:rFonts w:hint="eastAsia"/>
        </w:rPr>
        <w:t>(</w:t>
      </w:r>
      <w:r>
        <w:rPr>
          <w:rFonts w:hint="eastAsia"/>
        </w:rPr>
        <w:t>包括通过南南合作</w:t>
      </w:r>
      <w:r>
        <w:rPr>
          <w:rFonts w:hint="eastAsia"/>
        </w:rPr>
        <w:t>)</w:t>
      </w:r>
      <w:r>
        <w:rPr>
          <w:rFonts w:hint="eastAsia"/>
        </w:rPr>
        <w:t>应发挥更突出的作用，释放包括信息和通信技术在内的科学、技术和创新的变革力量。</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64.</w:t>
      </w:r>
      <w:r>
        <w:rPr>
          <w:rFonts w:hint="eastAsia"/>
        </w:rPr>
        <w:tab/>
      </w:r>
      <w:r>
        <w:rPr>
          <w:rFonts w:hint="eastAsia"/>
        </w:rPr>
        <w:t>实现真正的国家自主权和一致性需要所有国家的合作框架和流程发生显著转变。发展合作应特别支持发展中国家拟订国家发展合作</w:t>
      </w:r>
      <w:r w:rsidR="004B00B8">
        <w:rPr>
          <w:rFonts w:hint="eastAsia"/>
        </w:rPr>
        <w:t>政策</w:t>
      </w:r>
      <w:r>
        <w:rPr>
          <w:rFonts w:hint="eastAsia"/>
        </w:rPr>
        <w:t>、基于</w:t>
      </w:r>
      <w:r w:rsidR="004B00B8">
        <w:rPr>
          <w:rFonts w:hint="eastAsia"/>
        </w:rPr>
        <w:t>方案</w:t>
      </w:r>
      <w:r>
        <w:rPr>
          <w:rFonts w:hint="eastAsia"/>
        </w:rPr>
        <w:t>的方法和基于可持续发展目标的国家成果框架，以使发展影响更具包容性和可持续性。</w:t>
      </w:r>
    </w:p>
    <w:p w:rsidR="00025CF2" w:rsidRDefault="00025CF2" w:rsidP="00025CF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65.</w:t>
      </w:r>
      <w:r>
        <w:rPr>
          <w:rFonts w:hint="eastAsia"/>
        </w:rPr>
        <w:tab/>
      </w:r>
      <w:r>
        <w:rPr>
          <w:rFonts w:hint="eastAsia"/>
        </w:rPr>
        <w:t>各国政府、地方政府、议会、民间社会组织和人民共同负责监测并审查实现发展合作承诺的进展，并特别关注共享知识和相互学习，以实现更好的发展成果。应进一步强化政府对人民的责任。鉴于《</w:t>
      </w:r>
      <w:r>
        <w:rPr>
          <w:rFonts w:hint="eastAsia"/>
        </w:rPr>
        <w:t>2030</w:t>
      </w:r>
      <w:r>
        <w:rPr>
          <w:rFonts w:hint="eastAsia"/>
        </w:rPr>
        <w:t>年议程》的广度和复杂性，必须逐步增加资源，以在有效的全球和区域后续行动和审查机制支持下，对发展合作承诺开展强有力的国家和地方的监测和审查。</w:t>
      </w:r>
      <w:r>
        <w:rPr>
          <w:rFonts w:hint="eastAsia"/>
        </w:rPr>
        <w:t xml:space="preserve"> </w:t>
      </w:r>
    </w:p>
    <w:p w:rsidR="00891236" w:rsidRPr="00025CF2" w:rsidRDefault="00025CF2" w:rsidP="00025CF2">
      <w:pPr>
        <w:pStyle w:val="SingleTxt"/>
        <w:spacing w:after="0" w:line="240" w:lineRule="auto"/>
        <w:rPr>
          <w:sz w:val="20"/>
        </w:rPr>
      </w:pPr>
      <w:r>
        <w:rPr>
          <w:noProof/>
          <w:sz w:val="20"/>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3600;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891236" w:rsidRPr="00025CF2" w:rsidSect="001617BD">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31T11:01:00Z" w:initials="Start">
    <w:p w:rsidR="00653906" w:rsidRDefault="00653906">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025CF2">
        <w:rPr>
          <w:rFonts w:hint="eastAsia"/>
          <w:noProof/>
        </w:rPr>
        <w:t>页</w:t>
      </w:r>
      <w:r w:rsidR="00025CF2">
        <w:rPr>
          <w:rFonts w:hint="eastAsia"/>
          <w:noProof/>
        </w:rPr>
        <w:t xml:space="preserve">: </w:t>
      </w:r>
      <w:r w:rsidR="00025CF2">
        <w:rPr>
          <w:noProof/>
        </w:rPr>
        <w:t>1</w:t>
      </w:r>
      <w:r w:rsidR="00025CF2">
        <w:rPr>
          <w:rFonts w:hint="eastAsia"/>
          <w:noProof/>
        </w:rPr>
        <w:br/>
      </w:r>
      <w:r>
        <w:fldChar w:fldCharType="end"/>
      </w:r>
      <w:r>
        <w:rPr>
          <w:rStyle w:val="a9"/>
        </w:rPr>
        <w:annotationRef/>
      </w:r>
      <w:r>
        <w:t>&lt;&lt;ODS JOB NO&gt;&gt;N1613204C&lt;&lt;ODS JOB NO&gt;&gt;</w:t>
      </w:r>
    </w:p>
    <w:p w:rsidR="00653906" w:rsidRDefault="00653906">
      <w:pPr>
        <w:pStyle w:val="a7"/>
      </w:pPr>
      <w:r>
        <w:t>&lt;&lt;ODS DOC SYMBOL1&gt;&gt;E/2016/65&lt;&lt;ODS DOC SYMBOL1&gt;&gt;</w:t>
      </w:r>
    </w:p>
    <w:p w:rsidR="00653906" w:rsidRDefault="00653906">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C4" w:rsidRDefault="005F05C4">
      <w:r>
        <w:separator/>
      </w:r>
    </w:p>
  </w:endnote>
  <w:endnote w:type="continuationSeparator" w:id="0">
    <w:p w:rsidR="005F05C4" w:rsidRDefault="005F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53906" w:rsidTr="00653906">
      <w:tc>
        <w:tcPr>
          <w:tcW w:w="5028" w:type="dxa"/>
          <w:shd w:val="clear" w:color="auto" w:fill="auto"/>
        </w:tcPr>
        <w:p w:rsidR="00653906" w:rsidRPr="00653906" w:rsidRDefault="00653906" w:rsidP="00653906">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6944">
            <w:rPr>
              <w:b w:val="0"/>
              <w:w w:val="103"/>
              <w:sz w:val="14"/>
            </w:rPr>
            <w:t>16-07561 (C)</w:t>
          </w:r>
          <w:r>
            <w:rPr>
              <w:b w:val="0"/>
              <w:w w:val="103"/>
              <w:sz w:val="14"/>
            </w:rPr>
            <w:fldChar w:fldCharType="end"/>
          </w:r>
        </w:p>
      </w:tc>
      <w:tc>
        <w:tcPr>
          <w:tcW w:w="5028" w:type="dxa"/>
          <w:shd w:val="clear" w:color="auto" w:fill="auto"/>
        </w:tcPr>
        <w:p w:rsidR="00653906" w:rsidRPr="00653906" w:rsidRDefault="00653906" w:rsidP="00653906">
          <w:pPr>
            <w:pStyle w:val="ac"/>
            <w:jc w:val="left"/>
            <w:rPr>
              <w:w w:val="103"/>
            </w:rPr>
          </w:pPr>
          <w:r>
            <w:rPr>
              <w:w w:val="103"/>
            </w:rPr>
            <w:fldChar w:fldCharType="begin"/>
          </w:r>
          <w:r>
            <w:rPr>
              <w:w w:val="103"/>
            </w:rPr>
            <w:instrText xml:space="preserve"> PAGE  \* Arabic  \* MERGEFORMAT </w:instrText>
          </w:r>
          <w:r>
            <w:rPr>
              <w:w w:val="103"/>
            </w:rPr>
            <w:fldChar w:fldCharType="separate"/>
          </w:r>
          <w:r w:rsidR="00D00DB2">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00DB2">
            <w:rPr>
              <w:w w:val="103"/>
            </w:rPr>
            <w:t>20</w:t>
          </w:r>
          <w:r>
            <w:rPr>
              <w:w w:val="103"/>
            </w:rPr>
            <w:fldChar w:fldCharType="end"/>
          </w:r>
        </w:p>
      </w:tc>
    </w:tr>
  </w:tbl>
  <w:p w:rsidR="00653906" w:rsidRPr="00653906" w:rsidRDefault="00653906" w:rsidP="006539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53906" w:rsidTr="00653906">
      <w:tc>
        <w:tcPr>
          <w:tcW w:w="5028" w:type="dxa"/>
          <w:shd w:val="clear" w:color="auto" w:fill="auto"/>
        </w:tcPr>
        <w:p w:rsidR="00653906" w:rsidRPr="00653906" w:rsidRDefault="00653906" w:rsidP="00653906">
          <w:pPr>
            <w:pStyle w:val="ac"/>
            <w:jc w:val="right"/>
          </w:pPr>
          <w:r>
            <w:fldChar w:fldCharType="begin"/>
          </w:r>
          <w:r>
            <w:instrText xml:space="preserve"> PAGE  \* Arabic  \* MERGEFORMAT </w:instrText>
          </w:r>
          <w:r>
            <w:fldChar w:fldCharType="separate"/>
          </w:r>
          <w:r w:rsidR="00D00DB2">
            <w:t>19</w:t>
          </w:r>
          <w:r>
            <w:fldChar w:fldCharType="end"/>
          </w:r>
          <w:r>
            <w:t>/</w:t>
          </w:r>
          <w:fldSimple w:instr=" NUMPAGES  \* Arabic  \* MERGEFORMAT ">
            <w:r w:rsidR="00D00DB2">
              <w:t>19</w:t>
            </w:r>
          </w:fldSimple>
        </w:p>
      </w:tc>
      <w:tc>
        <w:tcPr>
          <w:tcW w:w="5028" w:type="dxa"/>
          <w:shd w:val="clear" w:color="auto" w:fill="auto"/>
        </w:tcPr>
        <w:p w:rsidR="00653906" w:rsidRPr="00653906" w:rsidRDefault="00653906" w:rsidP="00653906">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6944">
            <w:rPr>
              <w:b w:val="0"/>
              <w:w w:val="103"/>
              <w:sz w:val="14"/>
            </w:rPr>
            <w:t>16-07561 (C)</w:t>
          </w:r>
          <w:r>
            <w:rPr>
              <w:b w:val="0"/>
              <w:w w:val="103"/>
              <w:sz w:val="14"/>
            </w:rPr>
            <w:fldChar w:fldCharType="end"/>
          </w:r>
        </w:p>
      </w:tc>
    </w:tr>
  </w:tbl>
  <w:p w:rsidR="00653906" w:rsidRPr="00653906" w:rsidRDefault="00653906" w:rsidP="0065390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653906" w:rsidTr="00653906">
      <w:tc>
        <w:tcPr>
          <w:tcW w:w="3744" w:type="dxa"/>
        </w:tcPr>
        <w:p w:rsidR="00653906" w:rsidRDefault="00653906" w:rsidP="00653906">
          <w:pPr>
            <w:pStyle w:val="Release"/>
          </w:pPr>
          <w:r>
            <w:rPr>
              <w:noProof/>
            </w:rPr>
            <w:drawing>
              <wp:anchor distT="0" distB="0" distL="114300" distR="114300" simplePos="0" relativeHeight="251658240" behindDoc="0" locked="0" layoutInCell="1" allowOverlap="1" wp14:anchorId="4D830C07" wp14:editId="37714681">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E/2016/6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6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EE6944">
              <w:t>16-07561 (C)</w:t>
            </w:r>
          </w:fldSimple>
          <w:r>
            <w:t xml:space="preserve">    </w:t>
          </w:r>
          <w:r w:rsidR="00025CF2">
            <w:t>26</w:t>
          </w:r>
          <w:r w:rsidR="00667E27">
            <w:t xml:space="preserve">0516    </w:t>
          </w:r>
          <w:r w:rsidR="00667E27">
            <w:rPr>
              <w:rFonts w:hint="eastAsia"/>
            </w:rPr>
            <w:t>01</w:t>
          </w:r>
          <w:r w:rsidR="00667E27">
            <w:t>0</w:t>
          </w:r>
          <w:r w:rsidR="00667E27">
            <w:rPr>
              <w:rFonts w:hint="eastAsia"/>
            </w:rPr>
            <w:t>6</w:t>
          </w:r>
          <w:r>
            <w:t>16</w:t>
          </w:r>
        </w:p>
        <w:p w:rsidR="00653906" w:rsidRPr="00653906" w:rsidRDefault="00653906" w:rsidP="00653906">
          <w:pPr>
            <w:spacing w:before="80" w:line="210" w:lineRule="exact"/>
            <w:rPr>
              <w:rFonts w:ascii="Barcode 3 of 9 by request" w:hAnsi="Barcode 3 of 9 by request"/>
              <w:sz w:val="24"/>
            </w:rPr>
          </w:pPr>
          <w:r>
            <w:rPr>
              <w:rFonts w:ascii="Barcode 3 of 9 by request" w:hAnsi="Barcode 3 of 9 by request"/>
              <w:sz w:val="24"/>
            </w:rPr>
            <w:t>*1607561*</w:t>
          </w:r>
        </w:p>
      </w:tc>
      <w:tc>
        <w:tcPr>
          <w:tcW w:w="5028" w:type="dxa"/>
        </w:tcPr>
        <w:p w:rsidR="00653906" w:rsidRDefault="00653906" w:rsidP="00653906">
          <w:pPr>
            <w:pStyle w:val="ac"/>
            <w:jc w:val="right"/>
            <w:rPr>
              <w:b w:val="0"/>
              <w:sz w:val="21"/>
            </w:rPr>
          </w:pPr>
          <w:r>
            <w:rPr>
              <w:b w:val="0"/>
              <w:sz w:val="21"/>
            </w:rPr>
            <w:drawing>
              <wp:inline distT="0" distB="0" distL="0" distR="0" wp14:anchorId="0FAA942A" wp14:editId="1E02C5C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653906" w:rsidRPr="00653906" w:rsidRDefault="00653906" w:rsidP="00653906">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C4" w:rsidRPr="008C632F" w:rsidRDefault="008C632F" w:rsidP="008C632F">
      <w:pPr>
        <w:pStyle w:val="ac"/>
        <w:spacing w:after="80"/>
        <w:ind w:left="792"/>
        <w:rPr>
          <w:sz w:val="16"/>
        </w:rPr>
      </w:pPr>
      <w:r w:rsidRPr="008C632F">
        <w:rPr>
          <w:sz w:val="16"/>
        </w:rPr>
        <w:t>__________________</w:t>
      </w:r>
    </w:p>
  </w:footnote>
  <w:footnote w:type="continuationSeparator" w:id="0">
    <w:p w:rsidR="005F05C4" w:rsidRPr="008C632F" w:rsidRDefault="008C632F" w:rsidP="008C632F">
      <w:pPr>
        <w:pStyle w:val="ac"/>
        <w:spacing w:after="80"/>
        <w:ind w:left="792"/>
        <w:rPr>
          <w:sz w:val="16"/>
        </w:rPr>
      </w:pPr>
      <w:r w:rsidRPr="008C632F">
        <w:rPr>
          <w:sz w:val="16"/>
        </w:rPr>
        <w:t>__________________</w:t>
      </w:r>
    </w:p>
  </w:footnote>
  <w:footnote w:id="1">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大会第</w:t>
      </w:r>
      <w:r>
        <w:rPr>
          <w:rFonts w:hint="eastAsia"/>
        </w:rPr>
        <w:t>61/16</w:t>
      </w:r>
      <w:r>
        <w:rPr>
          <w:rFonts w:hint="eastAsia"/>
        </w:rPr>
        <w:t>号决议决定设立发展合作论坛。</w:t>
      </w:r>
    </w:p>
  </w:footnote>
  <w:footnote w:id="2">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大会第</w:t>
      </w:r>
      <w:r>
        <w:rPr>
          <w:rFonts w:hint="eastAsia"/>
        </w:rPr>
        <w:t>70/1</w:t>
      </w:r>
      <w:r>
        <w:rPr>
          <w:rFonts w:hint="eastAsia"/>
        </w:rPr>
        <w:t>号决议。</w:t>
      </w:r>
    </w:p>
  </w:footnote>
  <w:footnote w:id="3">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大会第</w:t>
      </w:r>
      <w:r>
        <w:rPr>
          <w:rFonts w:hint="eastAsia"/>
        </w:rPr>
        <w:t>69/313</w:t>
      </w:r>
      <w:r>
        <w:rPr>
          <w:rFonts w:hint="eastAsia"/>
        </w:rPr>
        <w:t>号决议。</w:t>
      </w:r>
    </w:p>
  </w:footnote>
  <w:footnote w:id="4">
    <w:p w:rsidR="00742699" w:rsidRPr="008C632F" w:rsidRDefault="00742699" w:rsidP="008C632F">
      <w:pPr>
        <w:pStyle w:val="a5"/>
        <w:tabs>
          <w:tab w:val="clear" w:pos="418"/>
          <w:tab w:val="right" w:pos="1195"/>
          <w:tab w:val="left" w:pos="1264"/>
          <w:tab w:val="left" w:pos="1695"/>
          <w:tab w:val="left" w:pos="2126"/>
          <w:tab w:val="left" w:pos="2557"/>
        </w:tabs>
        <w:ind w:left="1264" w:right="1264" w:hanging="432"/>
        <w:rPr>
          <w:spacing w:val="-2"/>
        </w:rPr>
      </w:pPr>
      <w:r>
        <w:tab/>
      </w:r>
      <w:r>
        <w:rPr>
          <w:rStyle w:val="a3"/>
        </w:rPr>
        <w:footnoteRef/>
      </w:r>
      <w:r>
        <w:tab/>
      </w:r>
      <w:r w:rsidRPr="008C632F">
        <w:rPr>
          <w:rFonts w:hint="eastAsia"/>
          <w:spacing w:val="-2"/>
        </w:rPr>
        <w:t>针对本报告开展的研究工作是通过</w:t>
      </w:r>
      <w:r w:rsidRPr="008C632F">
        <w:rPr>
          <w:rFonts w:hint="eastAsia"/>
          <w:spacing w:val="-2"/>
        </w:rPr>
        <w:t>2016</w:t>
      </w:r>
      <w:r w:rsidRPr="008C632F">
        <w:rPr>
          <w:rFonts w:hint="eastAsia"/>
          <w:spacing w:val="-2"/>
        </w:rPr>
        <w:t>年发展合作论坛的一系列政策简报进行的，这些简报</w:t>
      </w:r>
      <w:r>
        <w:rPr>
          <w:rFonts w:hint="eastAsia"/>
        </w:rPr>
        <w:t>可查阅</w:t>
      </w:r>
      <w:r>
        <w:rPr>
          <w:rFonts w:hint="eastAsia"/>
        </w:rPr>
        <w:t>www.un.org/ecosoc/sites/www.un.org.ecosoc/files/files/en/dcf/policy-brief-dcf-2016.pdf</w:t>
      </w:r>
      <w:r>
        <w:rPr>
          <w:rFonts w:hint="eastAsia"/>
        </w:rPr>
        <w:t>。本报告还参考了各发展倡议开展的独立研究和分析</w:t>
      </w:r>
      <w:r>
        <w:rPr>
          <w:rFonts w:hint="eastAsia"/>
        </w:rPr>
        <w:t>(</w:t>
      </w:r>
      <w:r>
        <w:rPr>
          <w:rFonts w:hint="eastAsia"/>
        </w:rPr>
        <w:t>见第</w:t>
      </w:r>
      <w:r>
        <w:rPr>
          <w:rFonts w:hint="eastAsia"/>
        </w:rPr>
        <w:t>2</w:t>
      </w:r>
      <w:r>
        <w:rPr>
          <w:rFonts w:hint="eastAsia"/>
        </w:rPr>
        <w:t>、</w:t>
      </w:r>
      <w:r>
        <w:rPr>
          <w:rFonts w:hint="eastAsia"/>
        </w:rPr>
        <w:t>13</w:t>
      </w:r>
      <w:r>
        <w:rPr>
          <w:rFonts w:hint="eastAsia"/>
        </w:rPr>
        <w:t>和</w:t>
      </w:r>
      <w:r>
        <w:rPr>
          <w:rFonts w:hint="eastAsia"/>
        </w:rPr>
        <w:t>15</w:t>
      </w:r>
      <w:r>
        <w:rPr>
          <w:rFonts w:hint="eastAsia"/>
        </w:rPr>
        <w:t>号简报</w:t>
      </w:r>
      <w:r>
        <w:rPr>
          <w:rFonts w:hint="eastAsia"/>
        </w:rPr>
        <w:t>)</w:t>
      </w:r>
      <w:r>
        <w:rPr>
          <w:rFonts w:hint="eastAsia"/>
        </w:rPr>
        <w:t>。专题讨论会摘要可查阅以下网址：大韩民国：</w:t>
      </w:r>
      <w:r>
        <w:rPr>
          <w:rFonts w:hint="eastAsia"/>
        </w:rPr>
        <w:t>www.un.org/en/ecosoc/newfunct/pdf15/dcfrok_summary.pdf</w:t>
      </w:r>
      <w:r>
        <w:rPr>
          <w:rFonts w:hint="eastAsia"/>
        </w:rPr>
        <w:t>。乌干达：</w:t>
      </w:r>
      <w:r w:rsidRPr="008C632F">
        <w:rPr>
          <w:rFonts w:hint="eastAsia"/>
          <w:spacing w:val="-2"/>
        </w:rPr>
        <w:t>www.un.org/en/ecosoc/newfunct/pdf15/dcfuganda_official_summary.pdf</w:t>
      </w:r>
      <w:r w:rsidRPr="008C632F">
        <w:rPr>
          <w:rFonts w:hint="eastAsia"/>
          <w:spacing w:val="-2"/>
        </w:rPr>
        <w:t>。比利时：</w:t>
      </w:r>
      <w:hyperlink r:id="rId1" w:history="1">
        <w:r w:rsidR="008C632F" w:rsidRPr="008C632F">
          <w:rPr>
            <w:rStyle w:val="ad"/>
            <w:rFonts w:hint="eastAsia"/>
            <w:spacing w:val="-2"/>
          </w:rPr>
          <w:t>www.un.org/ecosoc/</w:t>
        </w:r>
        <w:r w:rsidR="008C632F" w:rsidRPr="008C632F">
          <w:rPr>
            <w:rStyle w:val="ad"/>
            <w:spacing w:val="-2"/>
          </w:rPr>
          <w:t xml:space="preserve"> </w:t>
        </w:r>
        <w:r w:rsidR="008C632F" w:rsidRPr="008C632F">
          <w:rPr>
            <w:rStyle w:val="ad"/>
            <w:rFonts w:hint="eastAsia"/>
            <w:spacing w:val="-2"/>
          </w:rPr>
          <w:t>sites/www.un.org.ecosoc/files/files/en/dcf/dcfbelgium-hls-summary.pdf</w:t>
        </w:r>
      </w:hyperlink>
      <w:r w:rsidRPr="008C632F">
        <w:rPr>
          <w:rFonts w:hint="eastAsia"/>
          <w:spacing w:val="-2"/>
        </w:rPr>
        <w:t>。</w:t>
      </w:r>
    </w:p>
  </w:footnote>
  <w:footnote w:id="5">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Pr>
          <w:rFonts w:hint="eastAsia"/>
        </w:rPr>
        <w:t>Jos</w:t>
      </w:r>
      <w:r>
        <w:rPr>
          <w:rFonts w:hint="eastAsia"/>
        </w:rPr>
        <w:t>é</w:t>
      </w:r>
      <w:r>
        <w:rPr>
          <w:rFonts w:hint="eastAsia"/>
        </w:rPr>
        <w:t>Antonio Alonso</w:t>
      </w:r>
      <w:r>
        <w:rPr>
          <w:rFonts w:hint="eastAsia"/>
        </w:rPr>
        <w:t>和</w:t>
      </w:r>
      <w:r>
        <w:rPr>
          <w:rFonts w:hint="eastAsia"/>
        </w:rPr>
        <w:t>Jonathan Glennie,2016</w:t>
      </w:r>
      <w:r>
        <w:rPr>
          <w:rFonts w:hint="eastAsia"/>
        </w:rPr>
        <w:t>年发展合作论坛第</w:t>
      </w:r>
      <w:r>
        <w:rPr>
          <w:rFonts w:hint="eastAsia"/>
        </w:rPr>
        <w:t>1</w:t>
      </w:r>
      <w:r>
        <w:rPr>
          <w:rFonts w:hint="eastAsia"/>
        </w:rPr>
        <w:t>号政策简报，“何为发展合作？”。在本报告中对这一定义作了修改，以便包括并非主要由利润驱动的活动。</w:t>
      </w:r>
    </w:p>
  </w:footnote>
  <w:footnote w:id="6">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Pr>
          <w:rFonts w:hint="eastAsia"/>
        </w:rPr>
        <w:t>见发展筹资问题机构间工作队的首份报告，“《亚的斯亚贝巴行动议程》：监测承诺和行动”</w:t>
      </w:r>
      <w:r>
        <w:rPr>
          <w:rFonts w:hint="eastAsia"/>
        </w:rPr>
        <w:t>(2016</w:t>
      </w:r>
      <w:r>
        <w:rPr>
          <w:rFonts w:hint="eastAsia"/>
        </w:rPr>
        <w:t>年</w:t>
      </w:r>
      <w:r>
        <w:rPr>
          <w:rFonts w:hint="eastAsia"/>
        </w:rPr>
        <w:t>)</w:t>
      </w:r>
      <w:r>
        <w:rPr>
          <w:rFonts w:hint="eastAsia"/>
        </w:rPr>
        <w:t>，第二章</w:t>
      </w:r>
      <w:r>
        <w:rPr>
          <w:rFonts w:hint="eastAsia"/>
        </w:rPr>
        <w:t>C</w:t>
      </w:r>
      <w:r>
        <w:rPr>
          <w:rFonts w:hint="eastAsia"/>
        </w:rPr>
        <w:t>节和第二章</w:t>
      </w:r>
      <w:r>
        <w:rPr>
          <w:rFonts w:hint="eastAsia"/>
        </w:rPr>
        <w:t>G</w:t>
      </w:r>
      <w:r>
        <w:rPr>
          <w:rFonts w:hint="eastAsia"/>
        </w:rPr>
        <w:t>节。</w:t>
      </w:r>
    </w:p>
  </w:footnote>
  <w:footnote w:id="7">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sidRPr="00456197">
        <w:rPr>
          <w:rFonts w:hint="eastAsia"/>
        </w:rPr>
        <w:t>见可持续发展筹资问题政府间专家委员会的报告，可查阅：</w:t>
      </w:r>
      <w:hyperlink r:id="rId2" w:history="1">
        <w:r w:rsidR="008C632F" w:rsidRPr="0065593E">
          <w:rPr>
            <w:rStyle w:val="ad"/>
            <w:rFonts w:hint="eastAsia"/>
          </w:rPr>
          <w:t>www.un.org/esa/ffd/documents/</w:t>
        </w:r>
      </w:hyperlink>
      <w:r w:rsidR="008C632F">
        <w:t xml:space="preserve"> </w:t>
      </w:r>
      <w:r w:rsidRPr="00456197">
        <w:rPr>
          <w:rFonts w:hint="eastAsia"/>
        </w:rPr>
        <w:t>ICESDF.pdf</w:t>
      </w:r>
      <w:r w:rsidRPr="00456197">
        <w:rPr>
          <w:rFonts w:hint="eastAsia"/>
        </w:rPr>
        <w:t>。</w:t>
      </w:r>
    </w:p>
  </w:footnote>
  <w:footnote w:id="8">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sidRPr="008C632F">
        <w:rPr>
          <w:rFonts w:hint="eastAsia"/>
          <w:spacing w:val="-4"/>
        </w:rPr>
        <w:t>官方发展援助的定义见</w:t>
      </w:r>
      <w:hyperlink r:id="rId3" w:history="1">
        <w:r w:rsidRPr="008C632F">
          <w:rPr>
            <w:rStyle w:val="ad"/>
            <w:rFonts w:hint="eastAsia"/>
            <w:spacing w:val="-4"/>
          </w:rPr>
          <w:t>www.oecd.org/dac/stats/officialdevelopmentassistancedefinitionandcover</w:t>
        </w:r>
      </w:hyperlink>
      <w:r w:rsidRPr="008C632F">
        <w:rPr>
          <w:rFonts w:hint="eastAsia"/>
          <w:spacing w:val="-4"/>
        </w:rPr>
        <w:t>age.</w:t>
      </w:r>
      <w:r w:rsidR="008C632F" w:rsidRPr="008C632F">
        <w:rPr>
          <w:spacing w:val="-4"/>
        </w:rPr>
        <w:t xml:space="preserve"> </w:t>
      </w:r>
      <w:r w:rsidRPr="008C632F">
        <w:rPr>
          <w:rFonts w:hint="eastAsia"/>
          <w:spacing w:val="-4"/>
        </w:rPr>
        <w:t>htm</w:t>
      </w:r>
      <w:r w:rsidRPr="008C632F">
        <w:rPr>
          <w:rFonts w:hint="eastAsia"/>
          <w:spacing w:val="-4"/>
        </w:rPr>
        <w:t>。</w:t>
      </w:r>
    </w:p>
  </w:footnote>
  <w:footnote w:id="9">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Pr>
          <w:rFonts w:hint="eastAsia"/>
        </w:rPr>
        <w:t>见</w:t>
      </w:r>
      <w:r>
        <w:rPr>
          <w:rFonts w:hint="eastAsia"/>
        </w:rPr>
        <w:t>Tim Strawson</w:t>
      </w:r>
      <w:r>
        <w:rPr>
          <w:rFonts w:hint="eastAsia"/>
        </w:rPr>
        <w:t>和其他作者，发展合作论坛第</w:t>
      </w:r>
      <w:r>
        <w:rPr>
          <w:rFonts w:hint="eastAsia"/>
        </w:rPr>
        <w:t>2</w:t>
      </w:r>
      <w:r>
        <w:rPr>
          <w:rFonts w:hint="eastAsia"/>
        </w:rPr>
        <w:t>号政策简报，“改善官方发展援助分配以造福</w:t>
      </w:r>
      <w:r>
        <w:rPr>
          <w:rFonts w:hint="eastAsia"/>
        </w:rPr>
        <w:t>2015</w:t>
      </w:r>
      <w:r>
        <w:rPr>
          <w:rFonts w:hint="eastAsia"/>
        </w:rPr>
        <w:t>年后世界”</w:t>
      </w:r>
      <w:r>
        <w:rPr>
          <w:rFonts w:hint="eastAsia"/>
        </w:rPr>
        <w:t>(2016</w:t>
      </w:r>
      <w:r>
        <w:rPr>
          <w:rFonts w:hint="eastAsia"/>
        </w:rPr>
        <w:t>年</w:t>
      </w:r>
      <w:r>
        <w:rPr>
          <w:rFonts w:hint="eastAsia"/>
        </w:rPr>
        <w:t>)</w:t>
      </w:r>
      <w:r>
        <w:rPr>
          <w:rFonts w:hint="eastAsia"/>
        </w:rPr>
        <w:t>。</w:t>
      </w:r>
    </w:p>
  </w:footnote>
  <w:footnote w:id="10">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Pr>
          <w:rFonts w:hint="eastAsia"/>
        </w:rPr>
        <w:t>大会第</w:t>
      </w:r>
      <w:r>
        <w:rPr>
          <w:rFonts w:hint="eastAsia"/>
        </w:rPr>
        <w:t>69/313</w:t>
      </w:r>
      <w:r>
        <w:rPr>
          <w:rFonts w:hint="eastAsia"/>
        </w:rPr>
        <w:t>号决议，第</w:t>
      </w:r>
      <w:r>
        <w:rPr>
          <w:rFonts w:hint="eastAsia"/>
        </w:rPr>
        <w:t>10</w:t>
      </w:r>
      <w:r>
        <w:rPr>
          <w:rFonts w:hint="eastAsia"/>
        </w:rPr>
        <w:t>、</w:t>
      </w:r>
      <w:r>
        <w:rPr>
          <w:rFonts w:hint="eastAsia"/>
        </w:rPr>
        <w:t>51</w:t>
      </w:r>
      <w:r>
        <w:rPr>
          <w:rFonts w:hint="eastAsia"/>
        </w:rPr>
        <w:t>和</w:t>
      </w:r>
      <w:r>
        <w:rPr>
          <w:rFonts w:hint="eastAsia"/>
        </w:rPr>
        <w:t>52</w:t>
      </w:r>
      <w:r>
        <w:rPr>
          <w:rFonts w:hint="eastAsia"/>
        </w:rPr>
        <w:t>段；第</w:t>
      </w:r>
      <w:r>
        <w:rPr>
          <w:rFonts w:hint="eastAsia"/>
        </w:rPr>
        <w:t>70/1</w:t>
      </w:r>
      <w:r>
        <w:rPr>
          <w:rFonts w:hint="eastAsia"/>
        </w:rPr>
        <w:t>号决议，第</w:t>
      </w:r>
      <w:r>
        <w:rPr>
          <w:rFonts w:hint="eastAsia"/>
        </w:rPr>
        <w:t>60-71</w:t>
      </w:r>
      <w:r>
        <w:rPr>
          <w:rFonts w:hint="eastAsia"/>
        </w:rPr>
        <w:t>段。</w:t>
      </w:r>
    </w:p>
  </w:footnote>
  <w:footnote w:id="11">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Pr>
          <w:rFonts w:hint="eastAsia"/>
        </w:rPr>
        <w:t>经济和社会事务部，</w:t>
      </w:r>
      <w:r>
        <w:rPr>
          <w:rFonts w:hint="eastAsia"/>
        </w:rPr>
        <w:t>2016</w:t>
      </w:r>
      <w:r>
        <w:rPr>
          <w:rFonts w:hint="eastAsia"/>
        </w:rPr>
        <w:t>年发展合作论坛第</w:t>
      </w:r>
      <w:r>
        <w:rPr>
          <w:rFonts w:hint="eastAsia"/>
        </w:rPr>
        <w:t>12</w:t>
      </w:r>
      <w:r>
        <w:rPr>
          <w:rFonts w:hint="eastAsia"/>
        </w:rPr>
        <w:t>号政策简报，“恢复全球可持续发展伙伴关系的活力，调整发展合作以实现可持续发展目标”。</w:t>
      </w:r>
    </w:p>
  </w:footnote>
  <w:footnote w:id="12">
    <w:p w:rsidR="00742699" w:rsidRDefault="00742699" w:rsidP="008C632F">
      <w:pPr>
        <w:pStyle w:val="a5"/>
        <w:tabs>
          <w:tab w:val="clear" w:pos="418"/>
          <w:tab w:val="right" w:pos="1195"/>
          <w:tab w:val="left" w:pos="1264"/>
          <w:tab w:val="left" w:pos="1695"/>
          <w:tab w:val="left" w:pos="2126"/>
          <w:tab w:val="left" w:pos="2557"/>
        </w:tabs>
        <w:spacing w:line="236" w:lineRule="exact"/>
        <w:ind w:left="1264" w:right="1264" w:hanging="431"/>
      </w:pPr>
      <w:r>
        <w:tab/>
      </w:r>
      <w:r>
        <w:rPr>
          <w:rStyle w:val="a3"/>
        </w:rPr>
        <w:footnoteRef/>
      </w:r>
      <w:r>
        <w:tab/>
      </w:r>
      <w:r w:rsidRPr="008C632F">
        <w:rPr>
          <w:rFonts w:hint="eastAsia"/>
          <w:spacing w:val="-2"/>
        </w:rPr>
        <w:t>例如，大不列颠及北爱尔兰联合王国为确保国家承诺实现官方发展援助目标而实行的立法改革</w:t>
      </w:r>
      <w:r>
        <w:rPr>
          <w:rFonts w:hint="eastAsia"/>
        </w:rPr>
        <w:t>。见</w:t>
      </w:r>
      <w:hyperlink r:id="rId4" w:history="1">
        <w:r w:rsidR="008C632F" w:rsidRPr="0065593E">
          <w:rPr>
            <w:rStyle w:val="ad"/>
            <w:rFonts w:hint="eastAsia"/>
          </w:rPr>
          <w:t>www.gov.uk/government/news/international-development-official-development-assistance-target-</w:t>
        </w:r>
      </w:hyperlink>
      <w:r w:rsidR="008C632F">
        <w:t xml:space="preserve"> </w:t>
      </w:r>
      <w:r>
        <w:rPr>
          <w:rFonts w:hint="eastAsia"/>
        </w:rPr>
        <w:t>bill-2015-receives-royal-assent</w:t>
      </w:r>
      <w:r>
        <w:rPr>
          <w:rFonts w:hint="eastAsia"/>
        </w:rPr>
        <w:t>。</w:t>
      </w:r>
    </w:p>
  </w:footnote>
  <w:footnote w:id="13">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w:t>
      </w:r>
      <w:r>
        <w:rPr>
          <w:rFonts w:hint="eastAsia"/>
        </w:rPr>
        <w:t>www.oecd.org/dac/stats/ODA-2015-detailed-summary.pdf</w:t>
      </w:r>
      <w:r>
        <w:rPr>
          <w:rFonts w:hint="eastAsia"/>
        </w:rPr>
        <w:t>。</w:t>
      </w:r>
    </w:p>
  </w:footnote>
  <w:footnote w:id="14">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下列发展伙伴不是发展援助委员会成员：保加利亚、克罗地亚、塞浦路斯、爱沙尼亚、匈牙利、以色列、哈萨克斯坦、科威特、拉脱维亚、列支敦士登、立陶宛、马耳他、罗马尼亚、俄罗斯联邦、沙特阿拉伯、中国台湾省、泰国、土耳其和阿拉伯联合酋长国。其中大部分国家在</w:t>
      </w:r>
      <w:r>
        <w:rPr>
          <w:rFonts w:hint="eastAsia"/>
        </w:rPr>
        <w:t>2000</w:t>
      </w:r>
      <w:r>
        <w:rPr>
          <w:rFonts w:hint="eastAsia"/>
        </w:rPr>
        <w:t>年开始提出报告。</w:t>
      </w:r>
    </w:p>
  </w:footnote>
  <w:footnote w:id="15">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见秘书长发言人关于拟削减发展援助的声明，</w:t>
      </w:r>
      <w:r>
        <w:rPr>
          <w:rFonts w:hint="eastAsia"/>
        </w:rPr>
        <w:t>2015</w:t>
      </w:r>
      <w:r>
        <w:rPr>
          <w:rFonts w:hint="eastAsia"/>
        </w:rPr>
        <w:t>年</w:t>
      </w:r>
      <w:r>
        <w:rPr>
          <w:rFonts w:hint="eastAsia"/>
        </w:rPr>
        <w:t>11</w:t>
      </w:r>
      <w:r>
        <w:rPr>
          <w:rFonts w:hint="eastAsia"/>
        </w:rPr>
        <w:t>月</w:t>
      </w:r>
      <w:r>
        <w:rPr>
          <w:rFonts w:hint="eastAsia"/>
        </w:rPr>
        <w:t>11</w:t>
      </w:r>
      <w:r>
        <w:rPr>
          <w:rFonts w:hint="eastAsia"/>
        </w:rPr>
        <w:t>日。</w:t>
      </w:r>
    </w:p>
  </w:footnote>
  <w:footnote w:id="16">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另见人道主义筹资问题高级别小组提交秘书长的报告，“十分重要，不能失败：处理人道主义资金缺口”</w:t>
      </w:r>
      <w:r>
        <w:rPr>
          <w:rFonts w:hint="eastAsia"/>
        </w:rPr>
        <w:t>(2016</w:t>
      </w:r>
      <w:r>
        <w:rPr>
          <w:rFonts w:hint="eastAsia"/>
        </w:rPr>
        <w:t>年</w:t>
      </w:r>
      <w:r>
        <w:rPr>
          <w:rFonts w:hint="eastAsia"/>
        </w:rPr>
        <w:t>1</w:t>
      </w:r>
      <w:r>
        <w:rPr>
          <w:rFonts w:hint="eastAsia"/>
        </w:rPr>
        <w:t>月</w:t>
      </w:r>
      <w:r>
        <w:rPr>
          <w:rFonts w:hint="eastAsia"/>
        </w:rPr>
        <w:t>)</w:t>
      </w:r>
      <w:r>
        <w:rPr>
          <w:rFonts w:hint="eastAsia"/>
        </w:rPr>
        <w:t>，于</w:t>
      </w:r>
      <w:r>
        <w:rPr>
          <w:rFonts w:hint="eastAsia"/>
        </w:rPr>
        <w:t>2016</w:t>
      </w:r>
      <w:r>
        <w:rPr>
          <w:rFonts w:hint="eastAsia"/>
        </w:rPr>
        <w:t>年</w:t>
      </w:r>
      <w:r>
        <w:rPr>
          <w:rFonts w:hint="eastAsia"/>
        </w:rPr>
        <w:t>5</w:t>
      </w:r>
      <w:r>
        <w:rPr>
          <w:rFonts w:hint="eastAsia"/>
        </w:rPr>
        <w:t>月</w:t>
      </w:r>
      <w:r>
        <w:rPr>
          <w:rFonts w:hint="eastAsia"/>
        </w:rPr>
        <w:t>23</w:t>
      </w:r>
      <w:r>
        <w:rPr>
          <w:rFonts w:hint="eastAsia"/>
        </w:rPr>
        <w:t>日和</w:t>
      </w:r>
      <w:r>
        <w:rPr>
          <w:rFonts w:hint="eastAsia"/>
        </w:rPr>
        <w:t>24</w:t>
      </w:r>
      <w:r>
        <w:rPr>
          <w:rFonts w:hint="eastAsia"/>
        </w:rPr>
        <w:t>日在土耳其伊斯坦布尔举行的世界人道主义峰会举行之前印发。</w:t>
      </w:r>
    </w:p>
  </w:footnote>
  <w:footnote w:id="17">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定义为发展中国家政府收到的非赠款收入总额。资料来源：发展倡议，报告，《</w:t>
      </w:r>
      <w:r>
        <w:rPr>
          <w:rFonts w:hint="eastAsia"/>
        </w:rPr>
        <w:t>2015</w:t>
      </w:r>
      <w:r>
        <w:rPr>
          <w:rFonts w:hint="eastAsia"/>
        </w:rPr>
        <w:t>年投资消除贫穷》。</w:t>
      </w:r>
    </w:p>
  </w:footnote>
  <w:footnote w:id="18">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基于发展援助委员会贷方报告制度的发展倡议。</w:t>
      </w:r>
    </w:p>
  </w:footnote>
  <w:footnote w:id="19">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w:t>
      </w:r>
      <w:r>
        <w:rPr>
          <w:rFonts w:hint="eastAsia"/>
        </w:rPr>
        <w:t>Matthew Martin</w:t>
      </w:r>
      <w:r>
        <w:rPr>
          <w:rFonts w:hint="eastAsia"/>
        </w:rPr>
        <w:t>，</w:t>
      </w:r>
      <w:r>
        <w:rPr>
          <w:rFonts w:hint="eastAsia"/>
        </w:rPr>
        <w:t>2016</w:t>
      </w:r>
      <w:r>
        <w:rPr>
          <w:rFonts w:hint="eastAsia"/>
        </w:rPr>
        <w:t>年发展合作论坛第</w:t>
      </w:r>
      <w:r>
        <w:rPr>
          <w:rFonts w:hint="eastAsia"/>
        </w:rPr>
        <w:t>7</w:t>
      </w:r>
      <w:r>
        <w:rPr>
          <w:rFonts w:hint="eastAsia"/>
        </w:rPr>
        <w:t>号政策简报，“私营和混合式发展合作：评估其效果和对实现可持续发展目标的影响”。关于《亚的斯亚贝巴行动议程》的相关规定，另见发展筹资问题机构间工作队的报告</w:t>
      </w:r>
      <w:r>
        <w:rPr>
          <w:rFonts w:hint="eastAsia"/>
        </w:rPr>
        <w:t>(</w:t>
      </w:r>
      <w:r>
        <w:rPr>
          <w:rFonts w:hint="eastAsia"/>
        </w:rPr>
        <w:t>见脚注</w:t>
      </w:r>
      <w:r w:rsidR="00D842D5">
        <w:rPr>
          <w:rFonts w:hint="eastAsia"/>
        </w:rPr>
        <w:t>7</w:t>
      </w:r>
      <w:r>
        <w:rPr>
          <w:rFonts w:hint="eastAsia"/>
        </w:rPr>
        <w:t>)</w:t>
      </w:r>
      <w:r>
        <w:rPr>
          <w:rFonts w:hint="eastAsia"/>
        </w:rPr>
        <w:t>，特别是第</w:t>
      </w:r>
      <w:r>
        <w:rPr>
          <w:rFonts w:hint="eastAsia"/>
        </w:rPr>
        <w:t>54</w:t>
      </w:r>
      <w:r>
        <w:rPr>
          <w:rFonts w:hint="eastAsia"/>
        </w:rPr>
        <w:t>、</w:t>
      </w:r>
      <w:r>
        <w:rPr>
          <w:rFonts w:hint="eastAsia"/>
        </w:rPr>
        <w:t>55</w:t>
      </w:r>
      <w:r>
        <w:rPr>
          <w:rFonts w:hint="eastAsia"/>
        </w:rPr>
        <w:t>、</w:t>
      </w:r>
      <w:r>
        <w:rPr>
          <w:rFonts w:hint="eastAsia"/>
        </w:rPr>
        <w:t>67</w:t>
      </w:r>
      <w:r>
        <w:rPr>
          <w:rFonts w:hint="eastAsia"/>
        </w:rPr>
        <w:t>和</w:t>
      </w:r>
      <w:r>
        <w:rPr>
          <w:rFonts w:hint="eastAsia"/>
        </w:rPr>
        <w:t>68</w:t>
      </w:r>
      <w:r>
        <w:rPr>
          <w:rFonts w:hint="eastAsia"/>
        </w:rPr>
        <w:t>页。</w:t>
      </w:r>
    </w:p>
  </w:footnote>
  <w:footnote w:id="20">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发展倡议，报告，《</w:t>
      </w:r>
      <w:r>
        <w:rPr>
          <w:rFonts w:hint="eastAsia"/>
        </w:rPr>
        <w:t>2015</w:t>
      </w:r>
      <w:r>
        <w:rPr>
          <w:rFonts w:hint="eastAsia"/>
        </w:rPr>
        <w:t>年投资消除贫穷》。</w:t>
      </w:r>
    </w:p>
  </w:footnote>
  <w:footnote w:id="21">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w:t>
      </w:r>
      <w:r>
        <w:rPr>
          <w:rFonts w:hint="eastAsia"/>
        </w:rPr>
        <w:t>Martin</w:t>
      </w:r>
      <w:r>
        <w:rPr>
          <w:rFonts w:hint="eastAsia"/>
        </w:rPr>
        <w:t>，</w:t>
      </w:r>
      <w:r>
        <w:rPr>
          <w:rFonts w:hint="eastAsia"/>
        </w:rPr>
        <w:t>2016</w:t>
      </w:r>
      <w:r>
        <w:rPr>
          <w:rFonts w:hint="eastAsia"/>
        </w:rPr>
        <w:t>年发展合作论坛第</w:t>
      </w:r>
      <w:r>
        <w:rPr>
          <w:rFonts w:hint="eastAsia"/>
        </w:rPr>
        <w:t>7</w:t>
      </w:r>
      <w:r>
        <w:rPr>
          <w:rFonts w:hint="eastAsia"/>
        </w:rPr>
        <w:t>号政策简报</w:t>
      </w:r>
      <w:r>
        <w:rPr>
          <w:rFonts w:hint="eastAsia"/>
        </w:rPr>
        <w:t>(</w:t>
      </w:r>
      <w:r>
        <w:rPr>
          <w:rFonts w:hint="eastAsia"/>
        </w:rPr>
        <w:t>见脚注</w:t>
      </w:r>
      <w:r>
        <w:rPr>
          <w:rFonts w:hint="eastAsia"/>
        </w:rPr>
        <w:t>20)</w:t>
      </w:r>
      <w:r>
        <w:rPr>
          <w:rFonts w:hint="eastAsia"/>
        </w:rPr>
        <w:t>。简要审议了混合式发展合作，《亚的斯亚贝巴行动议程》将这种合作界定为公共筹资同非优惠私人资金相结合的做法，这种结合可通过以下方式进行：赠款、贷款或股本投入与私人资本流动相结合；采用担保等方法，通过分担或减轻风险鼓励私人资本流动。简报还审议了公共和私人来源的“非营利性”发展合作资金流动相结合的办法。</w:t>
      </w:r>
    </w:p>
  </w:footnote>
  <w:footnote w:id="22">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例如，见</w:t>
      </w:r>
      <w:r>
        <w:rPr>
          <w:rFonts w:hint="eastAsia"/>
        </w:rPr>
        <w:t>Griffith</w:t>
      </w:r>
      <w:r>
        <w:rPr>
          <w:rFonts w:hint="eastAsia"/>
        </w:rPr>
        <w:t>等</w:t>
      </w:r>
      <w:r>
        <w:rPr>
          <w:rFonts w:hint="eastAsia"/>
        </w:rPr>
        <w:t>etal.,2014,Financing for Developmentpost-2015:Improving the Contributionof</w:t>
      </w:r>
      <w:r>
        <w:br/>
      </w:r>
      <w:r>
        <w:rPr>
          <w:rFonts w:hint="eastAsia"/>
        </w:rPr>
        <w:t>Private Finance,</w:t>
      </w:r>
      <w:r>
        <w:rPr>
          <w:rFonts w:hint="eastAsia"/>
        </w:rPr>
        <w:t>受欧洲议会委托编写。</w:t>
      </w:r>
    </w:p>
  </w:footnote>
  <w:footnote w:id="23">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w:t>
      </w:r>
      <w:r>
        <w:rPr>
          <w:rFonts w:hint="eastAsia"/>
        </w:rPr>
        <w:t>www.oecd.org/dac/stats/ODA-2015-detailed-summary.pdf</w:t>
      </w:r>
      <w:r>
        <w:rPr>
          <w:rFonts w:hint="eastAsia"/>
        </w:rPr>
        <w:t>。</w:t>
      </w:r>
    </w:p>
  </w:footnote>
  <w:footnote w:id="24">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发展援助委员会，贷方报告制度。</w:t>
      </w:r>
    </w:p>
  </w:footnote>
  <w:footnote w:id="25">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CA7C90">
        <w:rPr>
          <w:rFonts w:hint="eastAsia"/>
        </w:rPr>
        <w:t>同上。</w:t>
      </w:r>
    </w:p>
  </w:footnote>
  <w:footnote w:id="26">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CA7C90">
        <w:rPr>
          <w:rFonts w:hint="eastAsia"/>
        </w:rPr>
        <w:t>同上。</w:t>
      </w:r>
    </w:p>
  </w:footnote>
  <w:footnote w:id="27">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见大会第</w:t>
      </w:r>
      <w:r>
        <w:rPr>
          <w:rFonts w:hint="eastAsia"/>
        </w:rPr>
        <w:t>69/313</w:t>
      </w:r>
      <w:r>
        <w:rPr>
          <w:rFonts w:hint="eastAsia"/>
        </w:rPr>
        <w:t>号决议，第</w:t>
      </w:r>
      <w:r>
        <w:rPr>
          <w:rFonts w:hint="eastAsia"/>
        </w:rPr>
        <w:t>52</w:t>
      </w:r>
      <w:r>
        <w:rPr>
          <w:rFonts w:hint="eastAsia"/>
        </w:rPr>
        <w:t>段。</w:t>
      </w:r>
    </w:p>
  </w:footnote>
  <w:footnote w:id="28">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见</w:t>
      </w:r>
      <w:r>
        <w:rPr>
          <w:rFonts w:hint="eastAsia"/>
        </w:rPr>
        <w:t>Strawson,2016</w:t>
      </w:r>
      <w:r>
        <w:rPr>
          <w:rFonts w:hint="eastAsia"/>
        </w:rPr>
        <w:t>年发展合作论坛第</w:t>
      </w:r>
      <w:r>
        <w:rPr>
          <w:rFonts w:hint="eastAsia"/>
        </w:rPr>
        <w:t>2</w:t>
      </w:r>
      <w:r>
        <w:rPr>
          <w:rFonts w:hint="eastAsia"/>
        </w:rPr>
        <w:t>号政策简报</w:t>
      </w:r>
      <w:r>
        <w:rPr>
          <w:rFonts w:hint="eastAsia"/>
        </w:rPr>
        <w:t>(</w:t>
      </w:r>
      <w:r>
        <w:rPr>
          <w:rFonts w:hint="eastAsia"/>
        </w:rPr>
        <w:t>见脚注</w:t>
      </w:r>
      <w:r w:rsidR="00D842D5">
        <w:rPr>
          <w:rFonts w:hint="eastAsia"/>
        </w:rPr>
        <w:t>10</w:t>
      </w:r>
      <w:r>
        <w:rPr>
          <w:rFonts w:hint="eastAsia"/>
        </w:rPr>
        <w:t>)</w:t>
      </w:r>
      <w:r>
        <w:rPr>
          <w:rFonts w:hint="eastAsia"/>
        </w:rPr>
        <w:t>。</w:t>
      </w:r>
    </w:p>
  </w:footnote>
  <w:footnote w:id="29">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F940FD">
        <w:rPr>
          <w:rFonts w:hint="eastAsia"/>
        </w:rPr>
        <w:t>见大会第</w:t>
      </w:r>
      <w:r w:rsidRPr="00F940FD">
        <w:rPr>
          <w:rFonts w:hint="eastAsia"/>
        </w:rPr>
        <w:t>67/221</w:t>
      </w:r>
      <w:r w:rsidRPr="00F940FD">
        <w:rPr>
          <w:rFonts w:hint="eastAsia"/>
        </w:rPr>
        <w:t>号决议，其中邀请各发展伙伴考虑采用最不发达国家指标、人均国民总收入、人</w:t>
      </w:r>
      <w:r>
        <w:rPr>
          <w:rFonts w:hint="eastAsia"/>
        </w:rPr>
        <w:t>力资产指数和经济脆弱程度指数，作为其分配官方发展援助的部分标准</w:t>
      </w:r>
      <w:r>
        <w:rPr>
          <w:rFonts w:hint="eastAsia"/>
        </w:rPr>
        <w:t>(</w:t>
      </w:r>
      <w:r w:rsidRPr="00F940FD">
        <w:rPr>
          <w:rFonts w:hint="eastAsia"/>
        </w:rPr>
        <w:t>第</w:t>
      </w:r>
      <w:r w:rsidRPr="00F940FD">
        <w:rPr>
          <w:rFonts w:hint="eastAsia"/>
        </w:rPr>
        <w:t>23</w:t>
      </w:r>
      <w:r w:rsidRPr="00F940FD">
        <w:rPr>
          <w:rFonts w:hint="eastAsia"/>
        </w:rPr>
        <w:t>段</w:t>
      </w:r>
      <w:r>
        <w:rPr>
          <w:rFonts w:hint="eastAsia"/>
        </w:rPr>
        <w:t>)</w:t>
      </w:r>
      <w:r w:rsidRPr="00F940FD">
        <w:rPr>
          <w:rFonts w:hint="eastAsia"/>
        </w:rPr>
        <w:t>。</w:t>
      </w:r>
    </w:p>
  </w:footnote>
  <w:footnote w:id="30">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经济和社会事务部，</w:t>
      </w:r>
      <w:r w:rsidRPr="006A6497">
        <w:rPr>
          <w:rFonts w:hint="eastAsia"/>
        </w:rPr>
        <w:t>2016</w:t>
      </w:r>
      <w:r w:rsidRPr="006A6497">
        <w:rPr>
          <w:rFonts w:hint="eastAsia"/>
        </w:rPr>
        <w:t>年发展合作论坛第</w:t>
      </w:r>
      <w:r w:rsidRPr="006A6497">
        <w:rPr>
          <w:rFonts w:hint="eastAsia"/>
        </w:rPr>
        <w:t>13</w:t>
      </w:r>
      <w:r w:rsidRPr="006A6497">
        <w:rPr>
          <w:rFonts w:hint="eastAsia"/>
        </w:rPr>
        <w:t>号政策简报，“最不发达国家和脆弱情况下发展合作中的官方发展援助分配和其他趋势”。</w:t>
      </w:r>
    </w:p>
  </w:footnote>
  <w:footnote w:id="31">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大会第</w:t>
      </w:r>
      <w:r w:rsidRPr="006A6497">
        <w:rPr>
          <w:rFonts w:hint="eastAsia"/>
        </w:rPr>
        <w:t>69/313</w:t>
      </w:r>
      <w:r w:rsidRPr="006A6497">
        <w:rPr>
          <w:rFonts w:hint="eastAsia"/>
        </w:rPr>
        <w:t>号决议，第</w:t>
      </w:r>
      <w:r w:rsidRPr="006A6497">
        <w:rPr>
          <w:rFonts w:hint="eastAsia"/>
        </w:rPr>
        <w:t>54</w:t>
      </w:r>
      <w:r w:rsidRPr="006A6497">
        <w:rPr>
          <w:rFonts w:hint="eastAsia"/>
        </w:rPr>
        <w:t>段。</w:t>
      </w:r>
    </w:p>
  </w:footnote>
  <w:footnote w:id="32">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w:t>
      </w:r>
      <w:r>
        <w:rPr>
          <w:rFonts w:hint="eastAsia"/>
        </w:rPr>
        <w:t xml:space="preserve">Ambuj Sagar, </w:t>
      </w:r>
      <w:r w:rsidRPr="006A6497">
        <w:rPr>
          <w:rFonts w:hint="eastAsia"/>
        </w:rPr>
        <w:t>2016</w:t>
      </w:r>
      <w:r w:rsidRPr="006A6497">
        <w:rPr>
          <w:rFonts w:hint="eastAsia"/>
        </w:rPr>
        <w:t>年发展合作论坛第</w:t>
      </w:r>
      <w:r w:rsidRPr="006A6497">
        <w:rPr>
          <w:rFonts w:hint="eastAsia"/>
        </w:rPr>
        <w:t>5</w:t>
      </w:r>
      <w:r w:rsidRPr="006A6497">
        <w:rPr>
          <w:rFonts w:hint="eastAsia"/>
        </w:rPr>
        <w:t>号政策简报，“</w:t>
      </w:r>
      <w:r w:rsidRPr="006A6497">
        <w:rPr>
          <w:rFonts w:hint="eastAsia"/>
        </w:rPr>
        <w:t>2015</w:t>
      </w:r>
      <w:r w:rsidRPr="006A6497">
        <w:rPr>
          <w:rFonts w:hint="eastAsia"/>
        </w:rPr>
        <w:t>年后加强技术推动和能力建设：了解问题”，经济和社会事务部，</w:t>
      </w:r>
      <w:r w:rsidRPr="006A6497">
        <w:rPr>
          <w:rFonts w:hint="eastAsia"/>
        </w:rPr>
        <w:t>2016</w:t>
      </w:r>
      <w:r w:rsidRPr="006A6497">
        <w:rPr>
          <w:rFonts w:hint="eastAsia"/>
        </w:rPr>
        <w:t>年发展合作论坛第</w:t>
      </w:r>
      <w:r w:rsidRPr="006A6497">
        <w:rPr>
          <w:rFonts w:hint="eastAsia"/>
        </w:rPr>
        <w:t>8</w:t>
      </w:r>
      <w:r w:rsidRPr="006A6497">
        <w:rPr>
          <w:rFonts w:hint="eastAsia"/>
        </w:rPr>
        <w:t>号政策简报，“为落实《</w:t>
      </w:r>
      <w:r w:rsidRPr="006A6497">
        <w:rPr>
          <w:rFonts w:hint="eastAsia"/>
        </w:rPr>
        <w:t>2030</w:t>
      </w:r>
      <w:r w:rsidRPr="006A6497">
        <w:rPr>
          <w:rFonts w:hint="eastAsia"/>
        </w:rPr>
        <w:t>年议程》开展促进技术便利化和能力建设的国际发展合作”。</w:t>
      </w:r>
    </w:p>
  </w:footnote>
  <w:footnote w:id="33">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见大会第</w:t>
      </w:r>
      <w:r w:rsidRPr="006A6497">
        <w:rPr>
          <w:rFonts w:hint="eastAsia"/>
        </w:rPr>
        <w:t>69/313</w:t>
      </w:r>
      <w:r w:rsidRPr="006A6497">
        <w:rPr>
          <w:rFonts w:hint="eastAsia"/>
        </w:rPr>
        <w:t>号决议，第</w:t>
      </w:r>
      <w:r w:rsidRPr="006A6497">
        <w:rPr>
          <w:rFonts w:hint="eastAsia"/>
        </w:rPr>
        <w:t>22</w:t>
      </w:r>
      <w:r w:rsidRPr="006A6497">
        <w:rPr>
          <w:rFonts w:hint="eastAsia"/>
        </w:rPr>
        <w:t>段，及</w:t>
      </w:r>
      <w:r w:rsidRPr="006A6497">
        <w:rPr>
          <w:rFonts w:hint="eastAsia"/>
        </w:rPr>
        <w:t>A/70/320</w:t>
      </w:r>
      <w:r w:rsidRPr="006A6497">
        <w:rPr>
          <w:rFonts w:hint="eastAsia"/>
        </w:rPr>
        <w:t>，第</w:t>
      </w:r>
      <w:r w:rsidRPr="006A6497">
        <w:rPr>
          <w:rFonts w:hint="eastAsia"/>
        </w:rPr>
        <w:t>56</w:t>
      </w:r>
      <w:r w:rsidRPr="006A6497">
        <w:rPr>
          <w:rFonts w:hint="eastAsia"/>
        </w:rPr>
        <w:t>和</w:t>
      </w:r>
      <w:r w:rsidRPr="006A6497">
        <w:rPr>
          <w:rFonts w:hint="eastAsia"/>
        </w:rPr>
        <w:t>57</w:t>
      </w:r>
      <w:r w:rsidRPr="006A6497">
        <w:rPr>
          <w:rFonts w:hint="eastAsia"/>
        </w:rPr>
        <w:t>段。</w:t>
      </w:r>
    </w:p>
  </w:footnote>
  <w:footnote w:id="34">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例如，见大会第</w:t>
      </w:r>
      <w:r w:rsidRPr="006A6497">
        <w:rPr>
          <w:rFonts w:hint="eastAsia"/>
        </w:rPr>
        <w:t>69/313</w:t>
      </w:r>
      <w:r w:rsidRPr="006A6497">
        <w:rPr>
          <w:rFonts w:hint="eastAsia"/>
        </w:rPr>
        <w:t>号决议，第</w:t>
      </w:r>
      <w:r w:rsidRPr="006A6497">
        <w:rPr>
          <w:rFonts w:hint="eastAsia"/>
        </w:rPr>
        <w:t>125-129</w:t>
      </w:r>
      <w:r w:rsidRPr="006A6497">
        <w:rPr>
          <w:rFonts w:hint="eastAsia"/>
        </w:rPr>
        <w:t>段，及第</w:t>
      </w:r>
      <w:r w:rsidRPr="006A6497">
        <w:rPr>
          <w:rFonts w:hint="eastAsia"/>
        </w:rPr>
        <w:t>70/1</w:t>
      </w:r>
      <w:r w:rsidRPr="006A6497">
        <w:rPr>
          <w:rFonts w:hint="eastAsia"/>
        </w:rPr>
        <w:t>号决议，第</w:t>
      </w:r>
      <w:r w:rsidRPr="006A6497">
        <w:rPr>
          <w:rFonts w:hint="eastAsia"/>
        </w:rPr>
        <w:t>48</w:t>
      </w:r>
      <w:r w:rsidRPr="006A6497">
        <w:rPr>
          <w:rFonts w:hint="eastAsia"/>
        </w:rPr>
        <w:t>段。</w:t>
      </w:r>
    </w:p>
  </w:footnote>
  <w:footnote w:id="35">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本报告中的南南合作包括在南方国家之间为发展目的提供的官方优惠资源</w:t>
      </w:r>
      <w:r w:rsidRPr="006A6497">
        <w:rPr>
          <w:rFonts w:hint="eastAsia"/>
        </w:rPr>
        <w:t>(</w:t>
      </w:r>
      <w:r w:rsidRPr="006A6497">
        <w:rPr>
          <w:rFonts w:hint="eastAsia"/>
        </w:rPr>
        <w:t>优惠贷款、赠款以及债务减免和技术合作</w:t>
      </w:r>
      <w:r w:rsidRPr="006A6497">
        <w:rPr>
          <w:rFonts w:hint="eastAsia"/>
        </w:rPr>
        <w:t>)</w:t>
      </w:r>
      <w:r w:rsidRPr="006A6497">
        <w:rPr>
          <w:rFonts w:hint="eastAsia"/>
        </w:rPr>
        <w:t>，估计数由经济和社会事务部提供。见</w:t>
      </w:r>
      <w:r w:rsidRPr="006A6497">
        <w:rPr>
          <w:rFonts w:hint="eastAsia"/>
        </w:rPr>
        <w:t>E/2014/77</w:t>
      </w:r>
      <w:r w:rsidRPr="006A6497">
        <w:rPr>
          <w:rFonts w:hint="eastAsia"/>
        </w:rPr>
        <w:t>。</w:t>
      </w:r>
    </w:p>
  </w:footnote>
  <w:footnote w:id="36">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印度外交部和中国商务部。</w:t>
      </w:r>
    </w:p>
  </w:footnote>
  <w:footnote w:id="37">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见经济和社会事务部，</w:t>
      </w:r>
      <w:r w:rsidRPr="006A6497">
        <w:rPr>
          <w:rFonts w:hint="eastAsia"/>
        </w:rPr>
        <w:t>2016</w:t>
      </w:r>
      <w:r w:rsidRPr="006A6497">
        <w:rPr>
          <w:rFonts w:hint="eastAsia"/>
        </w:rPr>
        <w:t>年发展合作论坛第</w:t>
      </w:r>
      <w:r w:rsidRPr="006A6497">
        <w:rPr>
          <w:rFonts w:hint="eastAsia"/>
        </w:rPr>
        <w:t>12</w:t>
      </w:r>
      <w:r w:rsidRPr="006A6497">
        <w:rPr>
          <w:rFonts w:hint="eastAsia"/>
        </w:rPr>
        <w:t>号政策简报</w:t>
      </w:r>
      <w:r>
        <w:t>(</w:t>
      </w:r>
      <w:r w:rsidRPr="006A6497">
        <w:rPr>
          <w:rFonts w:hint="eastAsia"/>
        </w:rPr>
        <w:t>见脚注</w:t>
      </w:r>
      <w:r w:rsidRPr="006A6497">
        <w:rPr>
          <w:rFonts w:hint="eastAsia"/>
        </w:rPr>
        <w:t>1</w:t>
      </w:r>
      <w:r w:rsidR="00D842D5">
        <w:rPr>
          <w:rFonts w:hint="eastAsia"/>
        </w:rPr>
        <w:t>2</w:t>
      </w:r>
      <w:r>
        <w:t>)</w:t>
      </w:r>
      <w:r w:rsidRPr="006A6497">
        <w:rPr>
          <w:rFonts w:hint="eastAsia"/>
        </w:rPr>
        <w:t>。</w:t>
      </w:r>
    </w:p>
  </w:footnote>
  <w:footnote w:id="38">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人道主义事务协调厅财务支出核实处。</w:t>
      </w:r>
    </w:p>
  </w:footnote>
  <w:footnote w:id="39">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贸发会议：“金砖开发银行：梦想成真？”</w:t>
      </w:r>
      <w:r>
        <w:t>(</w:t>
      </w:r>
      <w:r w:rsidRPr="006A6497">
        <w:rPr>
          <w:rFonts w:hint="eastAsia"/>
        </w:rPr>
        <w:t>2014</w:t>
      </w:r>
      <w:r w:rsidRPr="006A6497">
        <w:rPr>
          <w:rFonts w:hint="eastAsia"/>
        </w:rPr>
        <w:t>年</w:t>
      </w:r>
      <w:r w:rsidRPr="006A6497">
        <w:rPr>
          <w:rFonts w:hint="eastAsia"/>
        </w:rPr>
        <w:t>3</w:t>
      </w:r>
      <w:r w:rsidRPr="006A6497">
        <w:rPr>
          <w:rFonts w:hint="eastAsia"/>
        </w:rPr>
        <w:t>月</w:t>
      </w:r>
      <w:r>
        <w:t>)</w:t>
      </w:r>
      <w:r w:rsidRPr="006A6497">
        <w:rPr>
          <w:rFonts w:hint="eastAsia"/>
        </w:rPr>
        <w:t>，可查阅：</w:t>
      </w:r>
      <w:hyperlink r:id="rId5" w:history="1">
        <w:r w:rsidRPr="00811292">
          <w:rPr>
            <w:rStyle w:val="ad"/>
            <w:rFonts w:hint="eastAsia"/>
          </w:rPr>
          <w:t>http://unctad.org/en/</w:t>
        </w:r>
      </w:hyperlink>
      <w:r>
        <w:t xml:space="preserve"> </w:t>
      </w:r>
      <w:r w:rsidRPr="006A6497">
        <w:rPr>
          <w:rFonts w:hint="eastAsia"/>
        </w:rPr>
        <w:t>PublicationsLibrary/osgdp20141_en.pdf</w:t>
      </w:r>
      <w:r w:rsidRPr="006A6497">
        <w:rPr>
          <w:rFonts w:hint="eastAsia"/>
        </w:rPr>
        <w:t>。</w:t>
      </w:r>
    </w:p>
  </w:footnote>
  <w:footnote w:id="40">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见经济和社会事务部，</w:t>
      </w:r>
      <w:r w:rsidRPr="006A6497">
        <w:rPr>
          <w:rFonts w:hint="eastAsia"/>
        </w:rPr>
        <w:t>2016</w:t>
      </w:r>
      <w:r w:rsidRPr="006A6497">
        <w:rPr>
          <w:rFonts w:hint="eastAsia"/>
        </w:rPr>
        <w:t>年发展合作论坛第</w:t>
      </w:r>
      <w:r w:rsidRPr="006A6497">
        <w:rPr>
          <w:rFonts w:hint="eastAsia"/>
        </w:rPr>
        <w:t>14</w:t>
      </w:r>
      <w:r w:rsidRPr="006A6497">
        <w:rPr>
          <w:rFonts w:hint="eastAsia"/>
        </w:rPr>
        <w:t>号政策简报，“让有关气候变化的发展合作响应最脆弱国家的需求”。</w:t>
      </w:r>
    </w:p>
  </w:footnote>
  <w:footnote w:id="41">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见经济和社会事务部，</w:t>
      </w:r>
      <w:r w:rsidRPr="006A6497">
        <w:rPr>
          <w:rFonts w:hint="eastAsia"/>
        </w:rPr>
        <w:t>2016</w:t>
      </w:r>
      <w:r w:rsidRPr="006A6497">
        <w:rPr>
          <w:rFonts w:hint="eastAsia"/>
        </w:rPr>
        <w:t>年发展合作论坛第</w:t>
      </w:r>
      <w:r w:rsidRPr="006A6497">
        <w:rPr>
          <w:rFonts w:hint="eastAsia"/>
        </w:rPr>
        <w:t>16</w:t>
      </w:r>
      <w:r w:rsidRPr="006A6497">
        <w:rPr>
          <w:rFonts w:hint="eastAsia"/>
        </w:rPr>
        <w:t>号政策简报，“重新设计发展合作机构，以便落实《</w:t>
      </w:r>
      <w:r w:rsidRPr="006A6497">
        <w:rPr>
          <w:rFonts w:hint="eastAsia"/>
        </w:rPr>
        <w:t>2030</w:t>
      </w:r>
      <w:r w:rsidRPr="006A6497">
        <w:rPr>
          <w:rFonts w:hint="eastAsia"/>
        </w:rPr>
        <w:t>年可持续发展议程》”。</w:t>
      </w:r>
    </w:p>
  </w:footnote>
  <w:footnote w:id="42">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见经济和社会事务部，</w:t>
      </w:r>
      <w:r w:rsidRPr="006A6497">
        <w:rPr>
          <w:rFonts w:hint="eastAsia"/>
        </w:rPr>
        <w:t>2016</w:t>
      </w:r>
      <w:r w:rsidRPr="006A6497">
        <w:rPr>
          <w:rFonts w:hint="eastAsia"/>
        </w:rPr>
        <w:t>年发展合作论坛第</w:t>
      </w:r>
      <w:r w:rsidRPr="006A6497">
        <w:rPr>
          <w:rFonts w:hint="eastAsia"/>
        </w:rPr>
        <w:t>15</w:t>
      </w:r>
      <w:r w:rsidRPr="006A6497">
        <w:rPr>
          <w:rFonts w:hint="eastAsia"/>
        </w:rPr>
        <w:t>号政策简报，“开展新形式合作，提高协调一致性，以落实可持续发展目标”。</w:t>
      </w:r>
    </w:p>
  </w:footnote>
  <w:footnote w:id="43">
    <w:p w:rsidR="00742699" w:rsidRDefault="00742699" w:rsidP="008C63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sidRPr="006A6497">
        <w:rPr>
          <w:rFonts w:hint="eastAsia"/>
        </w:rPr>
        <w:t>见发展合作论坛专题讨论会摘要</w:t>
      </w:r>
      <w:r>
        <w:t>(</w:t>
      </w:r>
      <w:r w:rsidRPr="006A6497">
        <w:rPr>
          <w:rFonts w:hint="eastAsia"/>
        </w:rPr>
        <w:t>见脚注</w:t>
      </w:r>
      <w:r w:rsidRPr="006A6497">
        <w:rPr>
          <w:rFonts w:hint="eastAsia"/>
        </w:rPr>
        <w:t>4</w:t>
      </w:r>
      <w:r>
        <w:t>)</w:t>
      </w:r>
      <w:r w:rsidRPr="006A6497">
        <w:rPr>
          <w:rFonts w:hint="eastAsia"/>
        </w:rPr>
        <w:t>和发展筹资问题机构间工作队的报告</w:t>
      </w:r>
      <w:r>
        <w:t>(</w:t>
      </w:r>
      <w:r w:rsidRPr="006A6497">
        <w:rPr>
          <w:rFonts w:hint="eastAsia"/>
        </w:rPr>
        <w:t>见脚注</w:t>
      </w:r>
      <w:r w:rsidR="00D842D5">
        <w:rPr>
          <w:rFonts w:hint="eastAsia"/>
        </w:rPr>
        <w:t>7</w:t>
      </w:r>
      <w:r>
        <w:t>)</w:t>
      </w:r>
      <w:r w:rsidRPr="006A6497">
        <w:rPr>
          <w:rFonts w:hint="eastAsia"/>
        </w:rPr>
        <w:t>，第</w:t>
      </w:r>
      <w:r w:rsidRPr="006A6497">
        <w:rPr>
          <w:rFonts w:hint="eastAsia"/>
        </w:rPr>
        <w:t>115</w:t>
      </w:r>
      <w:r w:rsidRPr="006A6497">
        <w:rPr>
          <w:rFonts w:hint="eastAsia"/>
        </w:rPr>
        <w:t>页。</w:t>
      </w:r>
    </w:p>
  </w:footnote>
  <w:footnote w:id="44">
    <w:p w:rsidR="00844909" w:rsidRDefault="00844909" w:rsidP="00417F8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417F88">
        <w:rPr>
          <w:rFonts w:hint="eastAsia"/>
        </w:rPr>
        <w:t>见经济和社会事务部，</w:t>
      </w:r>
      <w:r w:rsidRPr="00417F88">
        <w:rPr>
          <w:rFonts w:hint="eastAsia"/>
        </w:rPr>
        <w:t>2016</w:t>
      </w:r>
      <w:r w:rsidRPr="00417F88">
        <w:rPr>
          <w:rFonts w:hint="eastAsia"/>
        </w:rPr>
        <w:t>年发展合作论坛第</w:t>
      </w:r>
      <w:r w:rsidRPr="00417F88">
        <w:rPr>
          <w:rFonts w:hint="eastAsia"/>
        </w:rPr>
        <w:t>16</w:t>
      </w:r>
      <w:r w:rsidRPr="00417F88">
        <w:rPr>
          <w:rFonts w:hint="eastAsia"/>
        </w:rPr>
        <w:t>号政策简报</w:t>
      </w:r>
      <w:r>
        <w:t>(</w:t>
      </w:r>
      <w:r w:rsidRPr="00417F88">
        <w:rPr>
          <w:rFonts w:hint="eastAsia"/>
        </w:rPr>
        <w:t>见脚注</w:t>
      </w:r>
      <w:r w:rsidRPr="00417F88">
        <w:rPr>
          <w:rFonts w:hint="eastAsia"/>
        </w:rPr>
        <w:t>4</w:t>
      </w:r>
      <w:r w:rsidR="00D842D5">
        <w:rPr>
          <w:rFonts w:hint="eastAsia"/>
        </w:rPr>
        <w:t>2</w:t>
      </w:r>
      <w:r>
        <w:t>)</w:t>
      </w:r>
      <w:r w:rsidRPr="00417F88">
        <w:rPr>
          <w:rFonts w:hint="eastAsia"/>
        </w:rPr>
        <w:t>，及</w:t>
      </w:r>
      <w:r w:rsidRPr="00417F88">
        <w:rPr>
          <w:rFonts w:hint="eastAsia"/>
        </w:rPr>
        <w:t>2016</w:t>
      </w:r>
      <w:r w:rsidRPr="00417F88">
        <w:rPr>
          <w:rFonts w:hint="eastAsia"/>
        </w:rPr>
        <w:t>年发展合作论坛第</w:t>
      </w:r>
      <w:r w:rsidRPr="00417F88">
        <w:rPr>
          <w:rFonts w:hint="eastAsia"/>
        </w:rPr>
        <w:t>15</w:t>
      </w:r>
      <w:r w:rsidRPr="00417F88">
        <w:rPr>
          <w:rFonts w:hint="eastAsia"/>
        </w:rPr>
        <w:t>号政策简报</w:t>
      </w:r>
      <w:r>
        <w:t>(</w:t>
      </w:r>
      <w:r w:rsidRPr="00417F88">
        <w:rPr>
          <w:rFonts w:hint="eastAsia"/>
        </w:rPr>
        <w:t>见脚注</w:t>
      </w:r>
      <w:r w:rsidRPr="00417F88">
        <w:rPr>
          <w:rFonts w:hint="eastAsia"/>
        </w:rPr>
        <w:t>4</w:t>
      </w:r>
      <w:r w:rsidR="00D842D5">
        <w:rPr>
          <w:rFonts w:hint="eastAsia"/>
        </w:rPr>
        <w:t>3</w:t>
      </w:r>
      <w:r>
        <w:t>)</w:t>
      </w:r>
      <w:r w:rsidRPr="00417F88">
        <w:rPr>
          <w:rFonts w:hint="eastAsia"/>
        </w:rPr>
        <w:t>。</w:t>
      </w:r>
    </w:p>
  </w:footnote>
  <w:footnote w:id="45">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见发展筹资问题机构间工作队的报告，第</w:t>
      </w:r>
      <w:r w:rsidRPr="00A53449">
        <w:rPr>
          <w:rFonts w:hint="eastAsia"/>
        </w:rPr>
        <w:t>114-124</w:t>
      </w:r>
      <w:r w:rsidRPr="00A53449">
        <w:rPr>
          <w:rFonts w:hint="eastAsia"/>
        </w:rPr>
        <w:t>段。</w:t>
      </w:r>
    </w:p>
  </w:footnote>
  <w:footnote w:id="46">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经济和社会事务部，</w:t>
      </w:r>
      <w:r w:rsidRPr="00A53449">
        <w:rPr>
          <w:rFonts w:hint="eastAsia"/>
        </w:rPr>
        <w:t>2016</w:t>
      </w:r>
      <w:r w:rsidRPr="00A53449">
        <w:rPr>
          <w:rFonts w:hint="eastAsia"/>
        </w:rPr>
        <w:t>年经济及社会理事会发展合作论坛第</w:t>
      </w:r>
      <w:r w:rsidRPr="00A53449">
        <w:rPr>
          <w:rFonts w:hint="eastAsia"/>
        </w:rPr>
        <w:t>8</w:t>
      </w:r>
      <w:r w:rsidRPr="00A53449">
        <w:rPr>
          <w:rFonts w:hint="eastAsia"/>
        </w:rPr>
        <w:t>号政策简报</w:t>
      </w:r>
      <w:r>
        <w:rPr>
          <w:rFonts w:hint="eastAsia"/>
        </w:rPr>
        <w:t>(</w:t>
      </w:r>
      <w:r w:rsidR="00D842D5" w:rsidRPr="00417F88">
        <w:rPr>
          <w:rFonts w:hint="eastAsia"/>
        </w:rPr>
        <w:t>见脚注</w:t>
      </w:r>
      <w:r w:rsidR="00D842D5">
        <w:rPr>
          <w:rFonts w:hint="eastAsia"/>
        </w:rPr>
        <w:t>33</w:t>
      </w:r>
      <w:r>
        <w:rPr>
          <w:rFonts w:hint="eastAsia"/>
        </w:rPr>
        <w:t>)</w:t>
      </w:r>
      <w:r w:rsidRPr="00A53449">
        <w:rPr>
          <w:rFonts w:hint="eastAsia"/>
        </w:rPr>
        <w:t>。</w:t>
      </w:r>
    </w:p>
  </w:footnote>
  <w:footnote w:id="47">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联合国开发计划署</w:t>
      </w:r>
      <w:r>
        <w:rPr>
          <w:rFonts w:hint="eastAsia"/>
        </w:rPr>
        <w:t>(</w:t>
      </w:r>
      <w:r w:rsidRPr="00A53449">
        <w:rPr>
          <w:rFonts w:hint="eastAsia"/>
        </w:rPr>
        <w:t>开发署</w:t>
      </w:r>
      <w:r>
        <w:rPr>
          <w:rFonts w:hint="eastAsia"/>
        </w:rPr>
        <w:t>)</w:t>
      </w:r>
      <w:r w:rsidRPr="00A53449">
        <w:rPr>
          <w:rFonts w:hint="eastAsia"/>
        </w:rPr>
        <w:t>和亚洲太平洋发展实效机制制定的发展资金评估提供了一个工具，用来核查现有的发展合作资金流动情况，以及促进关于改革的对话，这种对话可能是在国家一级加强资源、优先事项和成果之间的联系所必需的。见开发署，“加强发展合作以支持《</w:t>
      </w:r>
      <w:r w:rsidRPr="00A53449">
        <w:rPr>
          <w:rFonts w:hint="eastAsia"/>
        </w:rPr>
        <w:t>2030</w:t>
      </w:r>
      <w:r w:rsidRPr="00A53449">
        <w:rPr>
          <w:rFonts w:hint="eastAsia"/>
        </w:rPr>
        <w:t>年可持续发展议程》”，开发署讨论文件</w:t>
      </w:r>
      <w:r>
        <w:rPr>
          <w:rFonts w:hint="eastAsia"/>
        </w:rPr>
        <w:t>(</w:t>
      </w:r>
      <w:r w:rsidRPr="00A53449">
        <w:rPr>
          <w:rFonts w:hint="eastAsia"/>
        </w:rPr>
        <w:t>2015</w:t>
      </w:r>
      <w:r w:rsidRPr="00A53449">
        <w:rPr>
          <w:rFonts w:hint="eastAsia"/>
        </w:rPr>
        <w:t>年</w:t>
      </w:r>
      <w:r w:rsidRPr="00A53449">
        <w:rPr>
          <w:rFonts w:hint="eastAsia"/>
        </w:rPr>
        <w:t>11</w:t>
      </w:r>
      <w:r w:rsidRPr="00A53449">
        <w:rPr>
          <w:rFonts w:hint="eastAsia"/>
        </w:rPr>
        <w:t>月</w:t>
      </w:r>
      <w:r>
        <w:rPr>
          <w:rFonts w:hint="eastAsia"/>
        </w:rPr>
        <w:t>)</w:t>
      </w:r>
      <w:r w:rsidRPr="00A53449">
        <w:rPr>
          <w:rFonts w:hint="eastAsia"/>
        </w:rPr>
        <w:t>。</w:t>
      </w:r>
    </w:p>
  </w:footnote>
  <w:footnote w:id="48">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见大会第</w:t>
      </w:r>
      <w:r w:rsidRPr="00A53449">
        <w:rPr>
          <w:rFonts w:hint="eastAsia"/>
        </w:rPr>
        <w:t>69/313</w:t>
      </w:r>
      <w:r w:rsidRPr="00A53449">
        <w:rPr>
          <w:rFonts w:hint="eastAsia"/>
        </w:rPr>
        <w:t>号决议，第</w:t>
      </w:r>
      <w:r w:rsidRPr="00A53449">
        <w:rPr>
          <w:rFonts w:hint="eastAsia"/>
        </w:rPr>
        <w:t>50</w:t>
      </w:r>
      <w:r w:rsidRPr="00A53449">
        <w:rPr>
          <w:rFonts w:hint="eastAsia"/>
        </w:rPr>
        <w:t>段。</w:t>
      </w:r>
    </w:p>
  </w:footnote>
  <w:footnote w:id="49">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w:t>
      </w:r>
      <w:r w:rsidRPr="00A53449">
        <w:rPr>
          <w:rFonts w:hint="eastAsia"/>
        </w:rPr>
        <w:t>Gulrajani</w:t>
      </w:r>
      <w:r>
        <w:rPr>
          <w:rFonts w:hint="eastAsia"/>
        </w:rPr>
        <w:t>，</w:t>
      </w:r>
      <w:r w:rsidRPr="00A53449">
        <w:rPr>
          <w:rFonts w:hint="eastAsia"/>
        </w:rPr>
        <w:t>“</w:t>
      </w:r>
      <w:r w:rsidRPr="00A53449">
        <w:rPr>
          <w:rFonts w:hint="eastAsia"/>
        </w:rPr>
        <w:t>Bilateral vs. multilateral aid channels</w:t>
      </w:r>
      <w:r>
        <w:rPr>
          <w:rFonts w:hint="eastAsia"/>
        </w:rPr>
        <w:t>：</w:t>
      </w:r>
      <w:r w:rsidRPr="00A53449">
        <w:rPr>
          <w:rFonts w:hint="eastAsia"/>
        </w:rPr>
        <w:t>strategic choices for donors</w:t>
      </w:r>
      <w:r>
        <w:rPr>
          <w:rFonts w:hint="eastAsia"/>
        </w:rPr>
        <w:t>，</w:t>
      </w:r>
      <w:r w:rsidRPr="00A53449">
        <w:rPr>
          <w:rFonts w:hint="eastAsia"/>
        </w:rPr>
        <w:t>”</w:t>
      </w:r>
      <w:r w:rsidRPr="00A53449">
        <w:rPr>
          <w:rFonts w:hint="eastAsia"/>
        </w:rPr>
        <w:t>Overseas Development Institute report</w:t>
      </w:r>
      <w:r w:rsidRPr="00A53449">
        <w:rPr>
          <w:rFonts w:hint="eastAsia"/>
        </w:rPr>
        <w:t>。</w:t>
      </w:r>
    </w:p>
  </w:footnote>
  <w:footnote w:id="50">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见经济及社会理事会第</w:t>
      </w:r>
      <w:r w:rsidRPr="00A53449">
        <w:rPr>
          <w:rFonts w:hint="eastAsia"/>
        </w:rPr>
        <w:t>2014/14</w:t>
      </w:r>
      <w:r w:rsidRPr="00A53449">
        <w:rPr>
          <w:rFonts w:hint="eastAsia"/>
        </w:rPr>
        <w:t>号决议。</w:t>
      </w:r>
    </w:p>
  </w:footnote>
  <w:footnote w:id="51">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w:t>
      </w:r>
      <w:r w:rsidRPr="00A53449">
        <w:rPr>
          <w:rFonts w:hint="eastAsia"/>
        </w:rPr>
        <w:t>A/71/63-E/2016/8</w:t>
      </w:r>
      <w:r w:rsidRPr="00A53449">
        <w:rPr>
          <w:rFonts w:hint="eastAsia"/>
        </w:rPr>
        <w:t>，第</w:t>
      </w:r>
      <w:r w:rsidRPr="00A53449">
        <w:rPr>
          <w:rFonts w:hint="eastAsia"/>
        </w:rPr>
        <w:t>304</w:t>
      </w:r>
      <w:r w:rsidRPr="00A53449">
        <w:rPr>
          <w:rFonts w:hint="eastAsia"/>
        </w:rPr>
        <w:t>段。</w:t>
      </w:r>
    </w:p>
  </w:footnote>
  <w:footnote w:id="52">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见大会第</w:t>
      </w:r>
      <w:r w:rsidRPr="00A53449">
        <w:rPr>
          <w:rFonts w:hint="eastAsia"/>
        </w:rPr>
        <w:t>69/313</w:t>
      </w:r>
      <w:r w:rsidRPr="00A53449">
        <w:rPr>
          <w:rFonts w:hint="eastAsia"/>
        </w:rPr>
        <w:t>号决议，第</w:t>
      </w:r>
      <w:r w:rsidRPr="00A53449">
        <w:rPr>
          <w:rFonts w:hint="eastAsia"/>
        </w:rPr>
        <w:t>58</w:t>
      </w:r>
      <w:r w:rsidRPr="00A53449">
        <w:rPr>
          <w:rFonts w:hint="eastAsia"/>
        </w:rPr>
        <w:t>段，以及</w:t>
      </w:r>
      <w:r w:rsidRPr="00A53449">
        <w:rPr>
          <w:rFonts w:hint="eastAsia"/>
        </w:rPr>
        <w:t>E/2014/77</w:t>
      </w:r>
      <w:r w:rsidRPr="00A53449">
        <w:rPr>
          <w:rFonts w:hint="eastAsia"/>
        </w:rPr>
        <w:t>。</w:t>
      </w:r>
    </w:p>
  </w:footnote>
  <w:footnote w:id="53">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3B79E5">
        <w:rPr>
          <w:rFonts w:hint="eastAsia"/>
        </w:rPr>
        <w:t>可查阅：</w:t>
      </w:r>
      <w:r w:rsidRPr="003B79E5">
        <w:rPr>
          <w:rFonts w:hint="eastAsia"/>
        </w:rPr>
        <w:t>www.keepeek.com/Digital-Asset-Management/oecd/development/making-development-co-</w:t>
      </w:r>
      <w:r>
        <w:br/>
      </w:r>
      <w:r w:rsidRPr="003B79E5">
        <w:rPr>
          <w:rFonts w:hint="eastAsia"/>
        </w:rPr>
        <w:t>operation-more-effective_9789264209305-en#page1</w:t>
      </w:r>
      <w:r w:rsidRPr="003B79E5">
        <w:rPr>
          <w:rFonts w:hint="eastAsia"/>
        </w:rPr>
        <w:t>。该伙伴关系第二轮监测结果的初步分析将于</w:t>
      </w:r>
      <w:r w:rsidRPr="003B79E5">
        <w:rPr>
          <w:rFonts w:hint="eastAsia"/>
        </w:rPr>
        <w:t>2016</w:t>
      </w:r>
      <w:r w:rsidRPr="003B79E5">
        <w:rPr>
          <w:rFonts w:hint="eastAsia"/>
        </w:rPr>
        <w:t>年</w:t>
      </w:r>
      <w:r w:rsidRPr="003B79E5">
        <w:rPr>
          <w:rFonts w:hint="eastAsia"/>
        </w:rPr>
        <w:t>7</w:t>
      </w:r>
      <w:r w:rsidRPr="003B79E5">
        <w:rPr>
          <w:rFonts w:hint="eastAsia"/>
        </w:rPr>
        <w:t>月提供，报告全文将于</w:t>
      </w:r>
      <w:r w:rsidRPr="003B79E5">
        <w:rPr>
          <w:rFonts w:hint="eastAsia"/>
        </w:rPr>
        <w:t>2016</w:t>
      </w:r>
      <w:r w:rsidRPr="003B79E5">
        <w:rPr>
          <w:rFonts w:hint="eastAsia"/>
        </w:rPr>
        <w:t>年</w:t>
      </w:r>
      <w:r w:rsidRPr="003B79E5">
        <w:rPr>
          <w:rFonts w:hint="eastAsia"/>
        </w:rPr>
        <w:t>10</w:t>
      </w:r>
      <w:r w:rsidRPr="003B79E5">
        <w:rPr>
          <w:rFonts w:hint="eastAsia"/>
        </w:rPr>
        <w:t>月其第二次高级别会议</w:t>
      </w:r>
      <w:r w:rsidRPr="003B79E5">
        <w:rPr>
          <w:rFonts w:hint="eastAsia"/>
        </w:rPr>
        <w:t>(2016</w:t>
      </w:r>
      <w:r w:rsidRPr="003B79E5">
        <w:rPr>
          <w:rFonts w:hint="eastAsia"/>
        </w:rPr>
        <w:t>年</w:t>
      </w:r>
      <w:r w:rsidRPr="003B79E5">
        <w:rPr>
          <w:rFonts w:hint="eastAsia"/>
        </w:rPr>
        <w:t>11</w:t>
      </w:r>
      <w:r w:rsidRPr="003B79E5">
        <w:rPr>
          <w:rFonts w:hint="eastAsia"/>
        </w:rPr>
        <w:t>月</w:t>
      </w:r>
      <w:r w:rsidRPr="003B79E5">
        <w:rPr>
          <w:rFonts w:hint="eastAsia"/>
        </w:rPr>
        <w:t>28</w:t>
      </w:r>
      <w:r w:rsidRPr="003B79E5">
        <w:rPr>
          <w:rFonts w:hint="eastAsia"/>
        </w:rPr>
        <w:t>日至</w:t>
      </w:r>
      <w:r w:rsidRPr="003B79E5">
        <w:rPr>
          <w:rFonts w:hint="eastAsia"/>
        </w:rPr>
        <w:t>12</w:t>
      </w:r>
      <w:r w:rsidRPr="003B79E5">
        <w:rPr>
          <w:rFonts w:hint="eastAsia"/>
        </w:rPr>
        <w:t>月</w:t>
      </w:r>
      <w:r w:rsidRPr="003B79E5">
        <w:rPr>
          <w:rFonts w:hint="eastAsia"/>
        </w:rPr>
        <w:t>1</w:t>
      </w:r>
      <w:r w:rsidRPr="003B79E5">
        <w:rPr>
          <w:rFonts w:hint="eastAsia"/>
        </w:rPr>
        <w:t>日</w:t>
      </w:r>
      <w:r w:rsidRPr="003B79E5">
        <w:rPr>
          <w:rFonts w:hint="eastAsia"/>
        </w:rPr>
        <w:t>)</w:t>
      </w:r>
      <w:r w:rsidRPr="003B79E5">
        <w:rPr>
          <w:rFonts w:hint="eastAsia"/>
        </w:rPr>
        <w:t>前提供</w:t>
      </w:r>
      <w:r w:rsidRPr="00A53449">
        <w:rPr>
          <w:rFonts w:hint="eastAsia"/>
        </w:rPr>
        <w:t>。</w:t>
      </w:r>
    </w:p>
  </w:footnote>
  <w:footnote w:id="54">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见经济和社会事务部，</w:t>
      </w:r>
      <w:r w:rsidRPr="00A53449">
        <w:rPr>
          <w:rFonts w:hint="eastAsia"/>
        </w:rPr>
        <w:t>2016</w:t>
      </w:r>
      <w:r w:rsidRPr="00A53449">
        <w:rPr>
          <w:rFonts w:hint="eastAsia"/>
        </w:rPr>
        <w:t>年发展合作论坛第</w:t>
      </w:r>
      <w:r w:rsidRPr="00A53449">
        <w:rPr>
          <w:rFonts w:hint="eastAsia"/>
        </w:rPr>
        <w:t>3</w:t>
      </w:r>
      <w:r w:rsidRPr="00A53449">
        <w:rPr>
          <w:rFonts w:hint="eastAsia"/>
        </w:rPr>
        <w:t>号政策简报，“处理在监测和审查国家一级发展合作方面的变化和挑战”。</w:t>
      </w:r>
    </w:p>
  </w:footnote>
  <w:footnote w:id="55">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201</w:t>
      </w:r>
      <w:r w:rsidRPr="003B79E5">
        <w:rPr>
          <w:rFonts w:hint="eastAsia"/>
          <w:spacing w:val="2"/>
        </w:rPr>
        <w:t>5/2016</w:t>
      </w:r>
      <w:r w:rsidRPr="003B79E5">
        <w:rPr>
          <w:rFonts w:hint="eastAsia"/>
          <w:spacing w:val="2"/>
        </w:rPr>
        <w:t>年调查的结果将在</w:t>
      </w:r>
      <w:r w:rsidRPr="003B79E5">
        <w:rPr>
          <w:rFonts w:hint="eastAsia"/>
          <w:spacing w:val="2"/>
        </w:rPr>
        <w:t>2016</w:t>
      </w:r>
      <w:r w:rsidRPr="003B79E5">
        <w:rPr>
          <w:rFonts w:hint="eastAsia"/>
          <w:spacing w:val="2"/>
        </w:rPr>
        <w:t>年</w:t>
      </w:r>
      <w:r w:rsidRPr="003B79E5">
        <w:rPr>
          <w:rFonts w:hint="eastAsia"/>
          <w:spacing w:val="2"/>
        </w:rPr>
        <w:t>7</w:t>
      </w:r>
      <w:r w:rsidRPr="003B79E5">
        <w:rPr>
          <w:rFonts w:hint="eastAsia"/>
          <w:spacing w:val="2"/>
        </w:rPr>
        <w:t>月前提供，可查阅：</w:t>
      </w:r>
      <w:r w:rsidRPr="003B79E5">
        <w:rPr>
          <w:rFonts w:hint="eastAsia"/>
          <w:spacing w:val="2"/>
        </w:rPr>
        <w:t>www.un.org/ecosoc/en/trac</w:t>
      </w:r>
      <w:r w:rsidRPr="00A53449">
        <w:rPr>
          <w:rFonts w:hint="eastAsia"/>
        </w:rPr>
        <w:t>king-</w:t>
      </w:r>
      <w:r>
        <w:br/>
      </w:r>
      <w:r w:rsidRPr="00A53449">
        <w:rPr>
          <w:rFonts w:hint="eastAsia"/>
        </w:rPr>
        <w:t>development-cooperation</w:t>
      </w:r>
      <w:r w:rsidRPr="00A53449">
        <w:rPr>
          <w:rFonts w:hint="eastAsia"/>
        </w:rPr>
        <w:t>，以往调查</w:t>
      </w:r>
      <w:r>
        <w:rPr>
          <w:rFonts w:hint="eastAsia"/>
        </w:rPr>
        <w:t>(</w:t>
      </w:r>
      <w:r w:rsidRPr="00A53449">
        <w:rPr>
          <w:rFonts w:hint="eastAsia"/>
        </w:rPr>
        <w:t>2009</w:t>
      </w:r>
      <w:r w:rsidRPr="00A53449">
        <w:rPr>
          <w:rFonts w:hint="eastAsia"/>
        </w:rPr>
        <w:t>、</w:t>
      </w:r>
      <w:r w:rsidRPr="00A53449">
        <w:rPr>
          <w:rFonts w:hint="eastAsia"/>
        </w:rPr>
        <w:t>2011</w:t>
      </w:r>
      <w:r w:rsidRPr="00A53449">
        <w:rPr>
          <w:rFonts w:hint="eastAsia"/>
        </w:rPr>
        <w:t>、</w:t>
      </w:r>
      <w:r w:rsidRPr="00A53449">
        <w:rPr>
          <w:rFonts w:hint="eastAsia"/>
        </w:rPr>
        <w:t>2013</w:t>
      </w:r>
      <w:r w:rsidRPr="00A53449">
        <w:rPr>
          <w:rFonts w:hint="eastAsia"/>
        </w:rPr>
        <w:t>年</w:t>
      </w:r>
      <w:r>
        <w:rPr>
          <w:rFonts w:hint="eastAsia"/>
        </w:rPr>
        <w:t>)</w:t>
      </w:r>
      <w:r w:rsidRPr="00A53449">
        <w:rPr>
          <w:rFonts w:hint="eastAsia"/>
        </w:rPr>
        <w:t>也可在该网址查阅。</w:t>
      </w:r>
    </w:p>
  </w:footnote>
  <w:footnote w:id="56">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见经济和社会事务部，</w:t>
      </w:r>
      <w:r w:rsidR="009D1EF7">
        <w:rPr>
          <w:rFonts w:hint="eastAsia"/>
        </w:rPr>
        <w:t>2016</w:t>
      </w:r>
      <w:r w:rsidR="009D1EF7">
        <w:rPr>
          <w:rFonts w:hint="eastAsia"/>
        </w:rPr>
        <w:t>年发展合作论坛第</w:t>
      </w:r>
      <w:r w:rsidR="009D1EF7">
        <w:rPr>
          <w:rFonts w:hint="eastAsia"/>
        </w:rPr>
        <w:t>6</w:t>
      </w:r>
      <w:r w:rsidR="009D1EF7">
        <w:rPr>
          <w:rFonts w:hint="eastAsia"/>
        </w:rPr>
        <w:t>号政策简报</w:t>
      </w:r>
      <w:r w:rsidRPr="00A53449">
        <w:rPr>
          <w:rFonts w:hint="eastAsia"/>
        </w:rPr>
        <w:t>“评估不同发展合作方式的合适程度以提高</w:t>
      </w:r>
      <w:r w:rsidRPr="00A53449">
        <w:rPr>
          <w:rFonts w:hint="eastAsia"/>
        </w:rPr>
        <w:t>2015</w:t>
      </w:r>
      <w:r w:rsidRPr="00A53449">
        <w:rPr>
          <w:rFonts w:hint="eastAsia"/>
        </w:rPr>
        <w:t>年后的成效和影响”。</w:t>
      </w:r>
    </w:p>
  </w:footnote>
  <w:footnote w:id="57">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发展援助委员会统计数据。</w:t>
      </w:r>
    </w:p>
  </w:footnote>
  <w:footnote w:id="58">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w:t>
      </w:r>
      <w:r w:rsidRPr="00A53449">
        <w:rPr>
          <w:rFonts w:hint="eastAsia"/>
        </w:rPr>
        <w:t>Elaine Venter</w:t>
      </w:r>
      <w:r>
        <w:rPr>
          <w:rFonts w:hint="eastAsia"/>
        </w:rPr>
        <w:t>，</w:t>
      </w:r>
      <w:r w:rsidR="00677365" w:rsidRPr="00A53449">
        <w:rPr>
          <w:rFonts w:hint="eastAsia"/>
        </w:rPr>
        <w:t>2016</w:t>
      </w:r>
      <w:r w:rsidR="00677365" w:rsidRPr="00A53449">
        <w:rPr>
          <w:rFonts w:hint="eastAsia"/>
        </w:rPr>
        <w:t>年发展合作论坛第</w:t>
      </w:r>
      <w:r w:rsidR="00677365">
        <w:rPr>
          <w:rFonts w:hint="eastAsia"/>
        </w:rPr>
        <w:t>11</w:t>
      </w:r>
      <w:r w:rsidR="00677365" w:rsidRPr="00A53449">
        <w:rPr>
          <w:rFonts w:hint="eastAsia"/>
        </w:rPr>
        <w:t>号政策简报</w:t>
      </w:r>
      <w:r w:rsidRPr="00A53449">
        <w:rPr>
          <w:rFonts w:hint="eastAsia"/>
        </w:rPr>
        <w:t>“推行综合、协调一致和国家驱动的成果框架以促进有效监测和审查”。</w:t>
      </w:r>
    </w:p>
  </w:footnote>
  <w:footnote w:id="59">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最新的发展合作论坛调查表明，</w:t>
      </w:r>
      <w:r w:rsidRPr="00A53449">
        <w:rPr>
          <w:rFonts w:hint="eastAsia"/>
        </w:rPr>
        <w:t>88</w:t>
      </w:r>
      <w:r>
        <w:rPr>
          <w:rFonts w:hint="eastAsia"/>
        </w:rPr>
        <w:t>%</w:t>
      </w:r>
      <w:r w:rsidRPr="00A53449">
        <w:rPr>
          <w:rFonts w:hint="eastAsia"/>
        </w:rPr>
        <w:t>的国家通过参与性进程制定了国家成果框架，同时注意到地方政府的覆盖面</w:t>
      </w:r>
      <w:r>
        <w:rPr>
          <w:rFonts w:hint="eastAsia"/>
        </w:rPr>
        <w:t>(</w:t>
      </w:r>
      <w:r w:rsidRPr="00A53449">
        <w:rPr>
          <w:rFonts w:hint="eastAsia"/>
        </w:rPr>
        <w:t>63</w:t>
      </w:r>
      <w:r>
        <w:rPr>
          <w:rFonts w:hint="eastAsia"/>
        </w:rPr>
        <w:t>%)</w:t>
      </w:r>
      <w:r w:rsidRPr="00A53449">
        <w:rPr>
          <w:rFonts w:hint="eastAsia"/>
        </w:rPr>
        <w:t>没有中央政府</w:t>
      </w:r>
      <w:r>
        <w:rPr>
          <w:rFonts w:hint="eastAsia"/>
        </w:rPr>
        <w:t>(</w:t>
      </w:r>
      <w:r w:rsidRPr="00A53449">
        <w:rPr>
          <w:rFonts w:hint="eastAsia"/>
        </w:rPr>
        <w:t>95</w:t>
      </w:r>
      <w:r>
        <w:rPr>
          <w:rFonts w:hint="eastAsia"/>
        </w:rPr>
        <w:t>%)</w:t>
      </w:r>
      <w:r w:rsidRPr="00A53449">
        <w:rPr>
          <w:rFonts w:hint="eastAsia"/>
        </w:rPr>
        <w:t>高。</w:t>
      </w:r>
    </w:p>
  </w:footnote>
  <w:footnote w:id="60">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w:t>
      </w:r>
      <w:r w:rsidRPr="00A53449">
        <w:rPr>
          <w:rFonts w:hint="eastAsia"/>
        </w:rPr>
        <w:t>Angela Bester</w:t>
      </w:r>
      <w:r>
        <w:rPr>
          <w:rFonts w:hint="eastAsia"/>
        </w:rPr>
        <w:t>，</w:t>
      </w:r>
      <w:r w:rsidRPr="00A53449">
        <w:rPr>
          <w:rFonts w:hint="eastAsia"/>
        </w:rPr>
        <w:t>“关于为支持落实</w:t>
      </w:r>
      <w:r w:rsidRPr="00A53449">
        <w:rPr>
          <w:rFonts w:hint="eastAsia"/>
        </w:rPr>
        <w:t>2015</w:t>
      </w:r>
      <w:r w:rsidRPr="00A53449">
        <w:rPr>
          <w:rFonts w:hint="eastAsia"/>
        </w:rPr>
        <w:t>年后议程而进行发展合作监测、审查和问责的范围界定研究”，</w:t>
      </w:r>
      <w:r>
        <w:rPr>
          <w:rFonts w:hint="eastAsia"/>
        </w:rPr>
        <w:t>(</w:t>
      </w:r>
      <w:r w:rsidRPr="00A53449">
        <w:rPr>
          <w:rFonts w:hint="eastAsia"/>
        </w:rPr>
        <w:t>经济和社会事务部，经济及社会理事会支助和协调办公室，发展合作政策处，</w:t>
      </w:r>
      <w:r w:rsidRPr="00A53449">
        <w:rPr>
          <w:rFonts w:hint="eastAsia"/>
        </w:rPr>
        <w:t>2015</w:t>
      </w:r>
      <w:r w:rsidRPr="00A53449">
        <w:rPr>
          <w:rFonts w:hint="eastAsia"/>
        </w:rPr>
        <w:t>年</w:t>
      </w:r>
      <w:r w:rsidRPr="00A53449">
        <w:rPr>
          <w:rFonts w:hint="eastAsia"/>
        </w:rPr>
        <w:t>2</w:t>
      </w:r>
      <w:r w:rsidRPr="00A53449">
        <w:rPr>
          <w:rFonts w:hint="eastAsia"/>
        </w:rPr>
        <w:t>月</w:t>
      </w:r>
      <w:r>
        <w:rPr>
          <w:rFonts w:hint="eastAsia"/>
        </w:rPr>
        <w:t>)</w:t>
      </w:r>
      <w:r w:rsidRPr="00A53449">
        <w:rPr>
          <w:rFonts w:hint="eastAsia"/>
        </w:rPr>
        <w:t>。</w:t>
      </w:r>
    </w:p>
  </w:footnote>
  <w:footnote w:id="61">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w:t>
      </w:r>
      <w:r w:rsidRPr="00A53449">
        <w:rPr>
          <w:rFonts w:hint="eastAsia"/>
        </w:rPr>
        <w:t>Mniki-Mangaliso</w:t>
      </w:r>
      <w:r w:rsidRPr="00A53449">
        <w:rPr>
          <w:rFonts w:hint="eastAsia"/>
        </w:rPr>
        <w:t>，</w:t>
      </w:r>
      <w:r w:rsidRPr="00A53449">
        <w:rPr>
          <w:rFonts w:hint="eastAsia"/>
        </w:rPr>
        <w:t>2016</w:t>
      </w:r>
      <w:r w:rsidRPr="00A53449">
        <w:rPr>
          <w:rFonts w:hint="eastAsia"/>
        </w:rPr>
        <w:t>年发展合作论坛第</w:t>
      </w:r>
      <w:r w:rsidRPr="00A53449">
        <w:rPr>
          <w:rFonts w:hint="eastAsia"/>
        </w:rPr>
        <w:t>9</w:t>
      </w:r>
      <w:r w:rsidRPr="00A53449">
        <w:rPr>
          <w:rFonts w:hint="eastAsia"/>
        </w:rPr>
        <w:t>号政策简报，“为支持落实《</w:t>
      </w:r>
      <w:r w:rsidRPr="00A53449">
        <w:rPr>
          <w:rFonts w:hint="eastAsia"/>
        </w:rPr>
        <w:t>2030</w:t>
      </w:r>
      <w:r w:rsidRPr="00A53449">
        <w:rPr>
          <w:rFonts w:hint="eastAsia"/>
        </w:rPr>
        <w:t>年议程》开展以公民为基础的发展合作监测”。权力下放从性质上看是一个政治上很敏感的进程，其理由、深度和成功取决于国家的情况以及规定如何在不同行政级别之间划分和协调责任的政治框架和条例。见经济和社会事务部，</w:t>
      </w:r>
      <w:r w:rsidRPr="00A53449">
        <w:rPr>
          <w:rFonts w:hint="eastAsia"/>
        </w:rPr>
        <w:t>2016</w:t>
      </w:r>
      <w:r w:rsidRPr="00A53449">
        <w:rPr>
          <w:rFonts w:hint="eastAsia"/>
        </w:rPr>
        <w:t>年发展合作论坛第</w:t>
      </w:r>
      <w:r w:rsidRPr="00A53449">
        <w:rPr>
          <w:rFonts w:hint="eastAsia"/>
        </w:rPr>
        <w:t>10</w:t>
      </w:r>
      <w:r w:rsidRPr="00A53449">
        <w:rPr>
          <w:rFonts w:hint="eastAsia"/>
        </w:rPr>
        <w:t>号政策简报，“为《</w:t>
      </w:r>
      <w:r w:rsidRPr="00A53449">
        <w:rPr>
          <w:rFonts w:hint="eastAsia"/>
        </w:rPr>
        <w:t>2030</w:t>
      </w:r>
      <w:r w:rsidRPr="00A53449">
        <w:rPr>
          <w:rFonts w:hint="eastAsia"/>
        </w:rPr>
        <w:t>年议程》使发展合作监测和审查工作本地化——前景与挑战”。</w:t>
      </w:r>
    </w:p>
  </w:footnote>
  <w:footnote w:id="62">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有关评论见</w:t>
      </w:r>
      <w:r w:rsidRPr="00A53449">
        <w:rPr>
          <w:rFonts w:hint="eastAsia"/>
        </w:rPr>
        <w:t>Mniki-Mangaliso</w:t>
      </w:r>
      <w:r w:rsidRPr="00A53449">
        <w:rPr>
          <w:rFonts w:hint="eastAsia"/>
        </w:rPr>
        <w:t>，</w:t>
      </w:r>
      <w:r w:rsidRPr="00A53449">
        <w:rPr>
          <w:rFonts w:hint="eastAsia"/>
        </w:rPr>
        <w:t>2016</w:t>
      </w:r>
      <w:r w:rsidRPr="00A53449">
        <w:rPr>
          <w:rFonts w:hint="eastAsia"/>
        </w:rPr>
        <w:t>年发展合作论坛第</w:t>
      </w:r>
      <w:r w:rsidRPr="00A53449">
        <w:rPr>
          <w:rFonts w:hint="eastAsia"/>
        </w:rPr>
        <w:t>9</w:t>
      </w:r>
      <w:r w:rsidRPr="00A53449">
        <w:rPr>
          <w:rFonts w:hint="eastAsia"/>
        </w:rPr>
        <w:t>号政策简报</w:t>
      </w:r>
      <w:r w:rsidR="00D842D5">
        <w:rPr>
          <w:rFonts w:hint="eastAsia"/>
        </w:rPr>
        <w:t>(</w:t>
      </w:r>
      <w:r w:rsidR="00D842D5" w:rsidRPr="00A53449">
        <w:rPr>
          <w:rFonts w:hint="eastAsia"/>
        </w:rPr>
        <w:t>见脚注</w:t>
      </w:r>
      <w:r w:rsidR="00D842D5" w:rsidRPr="00A53449">
        <w:rPr>
          <w:rFonts w:hint="eastAsia"/>
        </w:rPr>
        <w:t>6</w:t>
      </w:r>
      <w:r w:rsidR="00D842D5">
        <w:rPr>
          <w:rFonts w:hint="eastAsia"/>
        </w:rPr>
        <w:t>2)</w:t>
      </w:r>
      <w:r w:rsidRPr="00A53449">
        <w:rPr>
          <w:rFonts w:hint="eastAsia"/>
        </w:rPr>
        <w:t>。</w:t>
      </w:r>
    </w:p>
  </w:footnote>
  <w:footnote w:id="63">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经济和社会事务部，</w:t>
      </w:r>
      <w:r w:rsidRPr="00A53449">
        <w:rPr>
          <w:rFonts w:hint="eastAsia"/>
        </w:rPr>
        <w:t>2016</w:t>
      </w:r>
      <w:r w:rsidRPr="00A53449">
        <w:rPr>
          <w:rFonts w:hint="eastAsia"/>
        </w:rPr>
        <w:t>年发展合作论坛第</w:t>
      </w:r>
      <w:r w:rsidRPr="00A53449">
        <w:rPr>
          <w:rFonts w:hint="eastAsia"/>
        </w:rPr>
        <w:t>10</w:t>
      </w:r>
      <w:r w:rsidRPr="00A53449">
        <w:rPr>
          <w:rFonts w:hint="eastAsia"/>
        </w:rPr>
        <w:t>号政策简报</w:t>
      </w:r>
      <w:r w:rsidR="00D842D5">
        <w:rPr>
          <w:rFonts w:hint="eastAsia"/>
        </w:rPr>
        <w:t>(</w:t>
      </w:r>
      <w:r w:rsidR="00D842D5" w:rsidRPr="00A53449">
        <w:rPr>
          <w:rFonts w:hint="eastAsia"/>
        </w:rPr>
        <w:t>见脚注</w:t>
      </w:r>
      <w:r w:rsidR="00D842D5" w:rsidRPr="00A53449">
        <w:rPr>
          <w:rFonts w:hint="eastAsia"/>
        </w:rPr>
        <w:t>6</w:t>
      </w:r>
      <w:r w:rsidR="00D842D5">
        <w:rPr>
          <w:rFonts w:hint="eastAsia"/>
        </w:rPr>
        <w:t>2)</w:t>
      </w:r>
      <w:r w:rsidRPr="00A53449">
        <w:rPr>
          <w:rFonts w:hint="eastAsia"/>
        </w:rPr>
        <w:t>。</w:t>
      </w:r>
    </w:p>
  </w:footnote>
  <w:footnote w:id="64">
    <w:p w:rsidR="00844909" w:rsidRDefault="00844909" w:rsidP="00436AEC">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A53449">
        <w:rPr>
          <w:rFonts w:hint="eastAsia"/>
        </w:rPr>
        <w:t>见</w:t>
      </w:r>
      <w:r w:rsidRPr="00A53449">
        <w:rPr>
          <w:rFonts w:hint="eastAsia"/>
        </w:rPr>
        <w:t>Bester</w:t>
      </w:r>
      <w:r w:rsidRPr="00A53449">
        <w:rPr>
          <w:rFonts w:hint="eastAsia"/>
        </w:rPr>
        <w:t>，“范围界定研究”，</w:t>
      </w:r>
      <w:r>
        <w:rPr>
          <w:rFonts w:hint="eastAsia"/>
        </w:rPr>
        <w:t>(</w:t>
      </w:r>
      <w:r w:rsidRPr="00A53449">
        <w:rPr>
          <w:rFonts w:hint="eastAsia"/>
        </w:rPr>
        <w:t>见脚注</w:t>
      </w:r>
      <w:r w:rsidRPr="00A53449">
        <w:rPr>
          <w:rFonts w:hint="eastAsia"/>
        </w:rPr>
        <w:t>61</w:t>
      </w:r>
      <w:r>
        <w:rPr>
          <w:rFonts w:hint="eastAsia"/>
        </w:rPr>
        <w:t>)</w:t>
      </w:r>
      <w:r w:rsidRPr="00A53449">
        <w:rPr>
          <w:rFonts w:hint="eastAsia"/>
        </w:rPr>
        <w:t>。</w:t>
      </w:r>
    </w:p>
  </w:footnote>
  <w:footnote w:id="65">
    <w:p w:rsidR="00025CF2" w:rsidRDefault="00025CF2" w:rsidP="00CB18C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CB18C3">
        <w:rPr>
          <w:rFonts w:hint="eastAsia"/>
        </w:rPr>
        <w:t>促进有效发展合作全球伙伴关系即将提交的监测报告纳入了</w:t>
      </w:r>
      <w:r w:rsidRPr="00CB18C3">
        <w:rPr>
          <w:rFonts w:hint="eastAsia"/>
        </w:rPr>
        <w:t>10</w:t>
      </w:r>
      <w:r w:rsidRPr="00CB18C3">
        <w:rPr>
          <w:rFonts w:hint="eastAsia"/>
        </w:rPr>
        <w:t>个指标，这些指标提供信息，说明遵守有效发展合作原则</w:t>
      </w:r>
      <w:r>
        <w:rPr>
          <w:rFonts w:hint="eastAsia"/>
        </w:rPr>
        <w:t>(</w:t>
      </w:r>
      <w:r w:rsidRPr="00CB18C3">
        <w:rPr>
          <w:rFonts w:hint="eastAsia"/>
        </w:rPr>
        <w:t>国家自主权、注重成果、包容性伙伴关系以及透明度和问责制</w:t>
      </w:r>
      <w:r>
        <w:rPr>
          <w:rFonts w:hint="eastAsia"/>
        </w:rPr>
        <w:t>)</w:t>
      </w:r>
      <w:r w:rsidRPr="00CB18C3">
        <w:rPr>
          <w:rFonts w:hint="eastAsia"/>
        </w:rPr>
        <w:t>的进展情况。在</w:t>
      </w:r>
      <w:r w:rsidRPr="00CB18C3">
        <w:rPr>
          <w:rFonts w:hint="eastAsia"/>
        </w:rPr>
        <w:t>10</w:t>
      </w:r>
      <w:r w:rsidRPr="00CB18C3">
        <w:rPr>
          <w:rFonts w:hint="eastAsia"/>
        </w:rPr>
        <w:t>个指标中，</w:t>
      </w:r>
      <w:r w:rsidRPr="00CB18C3">
        <w:rPr>
          <w:rFonts w:hint="eastAsia"/>
        </w:rPr>
        <w:t>8</w:t>
      </w:r>
      <w:r w:rsidRPr="00CB18C3">
        <w:rPr>
          <w:rFonts w:hint="eastAsia"/>
        </w:rPr>
        <w:t>个指标在国家一级监测，</w:t>
      </w:r>
      <w:r w:rsidRPr="00CB18C3">
        <w:rPr>
          <w:rFonts w:hint="eastAsia"/>
        </w:rPr>
        <w:t>2</w:t>
      </w:r>
      <w:r w:rsidRPr="00CB18C3">
        <w:rPr>
          <w:rFonts w:hint="eastAsia"/>
        </w:rPr>
        <w:t>个指标依赖全球数据。监测范围包括官方发展援助，对非优惠性资金流动有重大意义的国家而言，则包括其他官方资金流动情况。</w:t>
      </w:r>
    </w:p>
  </w:footnote>
  <w:footnote w:id="66">
    <w:p w:rsidR="00025CF2" w:rsidRDefault="00025CF2" w:rsidP="00CB18C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CB18C3">
        <w:rPr>
          <w:rFonts w:hint="eastAsia"/>
        </w:rPr>
        <w:t>见发展筹资问题机构间工作队的报告</w:t>
      </w:r>
      <w:r>
        <w:rPr>
          <w:rFonts w:hint="eastAsia"/>
        </w:rPr>
        <w:t>(</w:t>
      </w:r>
      <w:r w:rsidRPr="00CB18C3">
        <w:rPr>
          <w:rFonts w:hint="eastAsia"/>
        </w:rPr>
        <w:t>见脚注</w:t>
      </w:r>
      <w:r w:rsidR="00D842D5">
        <w:rPr>
          <w:rFonts w:hint="eastAsia"/>
        </w:rPr>
        <w:t>7</w:t>
      </w:r>
      <w:r>
        <w:rPr>
          <w:rFonts w:hint="eastAsia"/>
        </w:rPr>
        <w:t>)</w:t>
      </w:r>
      <w:r w:rsidRPr="00CB18C3">
        <w:rPr>
          <w:rFonts w:hint="eastAsia"/>
        </w:rPr>
        <w:t>，第</w:t>
      </w:r>
      <w:r w:rsidRPr="00CB18C3">
        <w:rPr>
          <w:rFonts w:hint="eastAsia"/>
        </w:rPr>
        <w:t>77</w:t>
      </w:r>
      <w:r w:rsidRPr="00CB18C3">
        <w:rPr>
          <w:rFonts w:hint="eastAsia"/>
        </w:rPr>
        <w:t>和</w:t>
      </w:r>
      <w:r w:rsidRPr="00CB18C3">
        <w:rPr>
          <w:rFonts w:hint="eastAsia"/>
        </w:rPr>
        <w:t>78</w:t>
      </w:r>
      <w:r w:rsidRPr="00CB18C3">
        <w:rPr>
          <w:rFonts w:hint="eastAsia"/>
        </w:rPr>
        <w:t>页。</w:t>
      </w:r>
    </w:p>
  </w:footnote>
  <w:footnote w:id="67">
    <w:p w:rsidR="00025CF2" w:rsidRDefault="00025CF2" w:rsidP="00CB18C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CB18C3">
        <w:rPr>
          <w:rFonts w:hint="eastAsia"/>
        </w:rPr>
        <w:t>见经济和社会事务部，</w:t>
      </w:r>
      <w:r w:rsidRPr="00CB18C3">
        <w:rPr>
          <w:rFonts w:hint="eastAsia"/>
        </w:rPr>
        <w:t>2016</w:t>
      </w:r>
      <w:r w:rsidRPr="00CB18C3">
        <w:rPr>
          <w:rFonts w:hint="eastAsia"/>
        </w:rPr>
        <w:t>年发展合作论坛第</w:t>
      </w:r>
      <w:r w:rsidRPr="00CB18C3">
        <w:rPr>
          <w:rFonts w:hint="eastAsia"/>
        </w:rPr>
        <w:t>3</w:t>
      </w:r>
      <w:r w:rsidRPr="00CB18C3">
        <w:rPr>
          <w:rFonts w:hint="eastAsia"/>
        </w:rPr>
        <w:t>号政策简报</w:t>
      </w:r>
      <w:r>
        <w:rPr>
          <w:rFonts w:hint="eastAsia"/>
        </w:rPr>
        <w:t>(</w:t>
      </w:r>
      <w:r w:rsidRPr="00CB18C3">
        <w:rPr>
          <w:rFonts w:hint="eastAsia"/>
        </w:rPr>
        <w:t>见脚注</w:t>
      </w:r>
      <w:r w:rsidRPr="00CB18C3">
        <w:rPr>
          <w:rFonts w:hint="eastAsia"/>
        </w:rPr>
        <w:t>5</w:t>
      </w:r>
      <w:r w:rsidR="00D842D5">
        <w:rPr>
          <w:rFonts w:hint="eastAsia"/>
        </w:rPr>
        <w:t>5</w:t>
      </w:r>
      <w:r>
        <w:rPr>
          <w:rFonts w:hint="eastAsia"/>
        </w:rPr>
        <w:t>)</w:t>
      </w:r>
      <w:r w:rsidRPr="00CB18C3">
        <w:rPr>
          <w:rFonts w:hint="eastAsia"/>
        </w:rPr>
        <w:t>。</w:t>
      </w:r>
    </w:p>
  </w:footnote>
  <w:footnote w:id="68">
    <w:p w:rsidR="00025CF2" w:rsidRDefault="00025CF2" w:rsidP="00CB18C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CB18C3">
        <w:rPr>
          <w:rFonts w:hint="eastAsia"/>
        </w:rPr>
        <w:t>在</w:t>
      </w:r>
      <w:r w:rsidRPr="00CB18C3">
        <w:rPr>
          <w:rFonts w:hint="eastAsia"/>
        </w:rPr>
        <w:t>2015/2016</w:t>
      </w:r>
      <w:r w:rsidRPr="00CB18C3">
        <w:rPr>
          <w:rFonts w:hint="eastAsia"/>
        </w:rPr>
        <w:t>年度调查中，</w:t>
      </w:r>
      <w:r w:rsidRPr="00CB18C3">
        <w:rPr>
          <w:rFonts w:hint="eastAsia"/>
        </w:rPr>
        <w:t>84</w:t>
      </w:r>
      <w:r w:rsidRPr="00CB18C3">
        <w:rPr>
          <w:rFonts w:hint="eastAsia"/>
        </w:rPr>
        <w:t>个目标国中有</w:t>
      </w:r>
      <w:r w:rsidRPr="00CB18C3">
        <w:rPr>
          <w:rFonts w:hint="eastAsia"/>
        </w:rPr>
        <w:t>58</w:t>
      </w:r>
      <w:r w:rsidRPr="00CB18C3">
        <w:rPr>
          <w:rFonts w:hint="eastAsia"/>
        </w:rPr>
        <w:t>个国家参加，其中一半是最不发达国家。</w:t>
      </w:r>
    </w:p>
  </w:footnote>
  <w:footnote w:id="69">
    <w:p w:rsidR="00025CF2" w:rsidRDefault="00025CF2" w:rsidP="00CB18C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172DE7">
        <w:rPr>
          <w:rFonts w:hint="eastAsia"/>
          <w:spacing w:val="-2"/>
        </w:rPr>
        <w:t>见秘书长关于在全球统一开展高效和包容的后续落实和审查工作的关键节点的报</w:t>
      </w:r>
      <w:r w:rsidRPr="00CB18C3">
        <w:rPr>
          <w:rFonts w:hint="eastAsia"/>
        </w:rPr>
        <w:t>告</w:t>
      </w:r>
      <w:r w:rsidRPr="00CB18C3">
        <w:rPr>
          <w:rFonts w:hint="eastAsia"/>
        </w:rPr>
        <w:t>(A/70/684)</w:t>
      </w:r>
      <w:r w:rsidRPr="00CB18C3">
        <w:rPr>
          <w:rFonts w:hint="eastAsia"/>
        </w:rPr>
        <w:t>。</w:t>
      </w:r>
    </w:p>
  </w:footnote>
  <w:footnote w:id="70">
    <w:p w:rsidR="00025CF2" w:rsidRDefault="00025CF2" w:rsidP="00CB18C3">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CB18C3">
        <w:rPr>
          <w:rFonts w:hint="eastAsia"/>
        </w:rPr>
        <w:t>见区域委员会文件，“对《</w:t>
      </w:r>
      <w:r w:rsidRPr="00CB18C3">
        <w:rPr>
          <w:rFonts w:hint="eastAsia"/>
        </w:rPr>
        <w:t>2030</w:t>
      </w:r>
      <w:r w:rsidRPr="00CB18C3">
        <w:rPr>
          <w:rFonts w:hint="eastAsia"/>
        </w:rPr>
        <w:t>年议程》后续行动和审查框架的区域思考”，可查阅：</w:t>
      </w:r>
      <w:r w:rsidRPr="00CB18C3">
        <w:rPr>
          <w:rFonts w:hint="eastAsia"/>
        </w:rPr>
        <w:t>www.regionalcommissions.org/FUR2015.pdf.</w:t>
      </w:r>
      <w:r w:rsidRPr="00CB18C3">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53906" w:rsidTr="00653906">
      <w:trPr>
        <w:trHeight w:hRule="exact" w:val="864"/>
      </w:trPr>
      <w:tc>
        <w:tcPr>
          <w:tcW w:w="4838" w:type="dxa"/>
          <w:shd w:val="clear" w:color="auto" w:fill="auto"/>
          <w:vAlign w:val="bottom"/>
        </w:tcPr>
        <w:p w:rsidR="00653906" w:rsidRPr="00653906" w:rsidRDefault="00653906" w:rsidP="00653906">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E6944">
            <w:rPr>
              <w:b/>
              <w:sz w:val="17"/>
            </w:rPr>
            <w:t>E/2016/65</w:t>
          </w:r>
          <w:r>
            <w:rPr>
              <w:b/>
              <w:sz w:val="17"/>
            </w:rPr>
            <w:fldChar w:fldCharType="end"/>
          </w:r>
        </w:p>
      </w:tc>
      <w:tc>
        <w:tcPr>
          <w:tcW w:w="5028" w:type="dxa"/>
          <w:shd w:val="clear" w:color="auto" w:fill="auto"/>
          <w:vAlign w:val="bottom"/>
        </w:tcPr>
        <w:p w:rsidR="00653906" w:rsidRDefault="00653906" w:rsidP="00653906">
          <w:pPr>
            <w:pStyle w:val="ab"/>
          </w:pPr>
        </w:p>
      </w:tc>
    </w:tr>
  </w:tbl>
  <w:p w:rsidR="00653906" w:rsidRPr="00653906" w:rsidRDefault="00653906" w:rsidP="0065390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53906" w:rsidTr="00653906">
      <w:trPr>
        <w:trHeight w:hRule="exact" w:val="864"/>
      </w:trPr>
      <w:tc>
        <w:tcPr>
          <w:tcW w:w="4838" w:type="dxa"/>
          <w:shd w:val="clear" w:color="auto" w:fill="auto"/>
          <w:vAlign w:val="bottom"/>
        </w:tcPr>
        <w:p w:rsidR="00653906" w:rsidRDefault="00653906" w:rsidP="00653906">
          <w:pPr>
            <w:pStyle w:val="ab"/>
          </w:pPr>
        </w:p>
      </w:tc>
      <w:tc>
        <w:tcPr>
          <w:tcW w:w="5028" w:type="dxa"/>
          <w:shd w:val="clear" w:color="auto" w:fill="auto"/>
          <w:vAlign w:val="bottom"/>
        </w:tcPr>
        <w:p w:rsidR="00653906" w:rsidRPr="00653906" w:rsidRDefault="00653906" w:rsidP="00653906">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E6944">
            <w:rPr>
              <w:b/>
              <w:sz w:val="17"/>
            </w:rPr>
            <w:t>E/2016/65</w:t>
          </w:r>
          <w:r>
            <w:rPr>
              <w:b/>
              <w:sz w:val="17"/>
            </w:rPr>
            <w:fldChar w:fldCharType="end"/>
          </w:r>
        </w:p>
      </w:tc>
    </w:tr>
  </w:tbl>
  <w:p w:rsidR="00653906" w:rsidRPr="00653906" w:rsidRDefault="00653906" w:rsidP="0065390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53906" w:rsidTr="00653906">
      <w:trPr>
        <w:gridAfter w:val="1"/>
        <w:wAfter w:w="12" w:type="dxa"/>
        <w:trHeight w:hRule="exact" w:val="864"/>
      </w:trPr>
      <w:tc>
        <w:tcPr>
          <w:tcW w:w="1267" w:type="dxa"/>
          <w:tcBorders>
            <w:bottom w:val="single" w:sz="4" w:space="0" w:color="auto"/>
          </w:tcBorders>
          <w:shd w:val="clear" w:color="auto" w:fill="auto"/>
          <w:vAlign w:val="bottom"/>
        </w:tcPr>
        <w:p w:rsidR="00653906" w:rsidRDefault="00653906" w:rsidP="00653906">
          <w:pPr>
            <w:pStyle w:val="ab"/>
            <w:spacing w:after="120"/>
          </w:pPr>
        </w:p>
      </w:tc>
      <w:tc>
        <w:tcPr>
          <w:tcW w:w="1872" w:type="dxa"/>
          <w:tcBorders>
            <w:bottom w:val="single" w:sz="4" w:space="0" w:color="auto"/>
          </w:tcBorders>
          <w:shd w:val="clear" w:color="auto" w:fill="auto"/>
          <w:vAlign w:val="bottom"/>
        </w:tcPr>
        <w:p w:rsidR="00653906" w:rsidRPr="00653906" w:rsidRDefault="00653906" w:rsidP="00653906">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653906" w:rsidRDefault="00653906" w:rsidP="00653906">
          <w:pPr>
            <w:pStyle w:val="ab"/>
            <w:spacing w:after="120"/>
          </w:pPr>
        </w:p>
      </w:tc>
      <w:tc>
        <w:tcPr>
          <w:tcW w:w="6523" w:type="dxa"/>
          <w:gridSpan w:val="3"/>
          <w:tcBorders>
            <w:bottom w:val="single" w:sz="4" w:space="0" w:color="auto"/>
          </w:tcBorders>
          <w:shd w:val="clear" w:color="auto" w:fill="auto"/>
          <w:vAlign w:val="bottom"/>
        </w:tcPr>
        <w:p w:rsidR="00653906" w:rsidRPr="00653906" w:rsidRDefault="00653906" w:rsidP="00653906">
          <w:pPr>
            <w:spacing w:after="80" w:line="240" w:lineRule="auto"/>
            <w:jc w:val="right"/>
            <w:rPr>
              <w:position w:val="-4"/>
            </w:rPr>
          </w:pPr>
          <w:r>
            <w:rPr>
              <w:position w:val="-4"/>
              <w:sz w:val="40"/>
            </w:rPr>
            <w:t>E</w:t>
          </w:r>
          <w:r>
            <w:rPr>
              <w:position w:val="-4"/>
            </w:rPr>
            <w:t>/2016/65</w:t>
          </w:r>
        </w:p>
      </w:tc>
    </w:tr>
    <w:tr w:rsidR="00653906" w:rsidRPr="00653906" w:rsidTr="00653906">
      <w:trPr>
        <w:trHeight w:hRule="exact" w:val="2880"/>
      </w:trPr>
      <w:tc>
        <w:tcPr>
          <w:tcW w:w="1267" w:type="dxa"/>
          <w:tcBorders>
            <w:top w:val="single" w:sz="4" w:space="0" w:color="auto"/>
            <w:bottom w:val="single" w:sz="12" w:space="0" w:color="auto"/>
          </w:tcBorders>
          <w:shd w:val="clear" w:color="auto" w:fill="auto"/>
        </w:tcPr>
        <w:p w:rsidR="00653906" w:rsidRPr="00653906" w:rsidRDefault="00653906" w:rsidP="00653906">
          <w:pPr>
            <w:pStyle w:val="ab"/>
            <w:spacing w:before="109"/>
            <w:ind w:left="-72"/>
          </w:pPr>
          <w:r>
            <w:t xml:space="preserve"> </w:t>
          </w:r>
          <w:r>
            <w:drawing>
              <wp:inline distT="0" distB="0" distL="0" distR="0" wp14:anchorId="2B52186D" wp14:editId="077FD10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53906" w:rsidRPr="00653906" w:rsidRDefault="00653906" w:rsidP="00653906">
          <w:pPr>
            <w:pStyle w:val="XLarge"/>
            <w:spacing w:before="109" w:after="140" w:line="440" w:lineRule="exact"/>
            <w:rPr>
              <w:sz w:val="38"/>
            </w:rPr>
          </w:pPr>
          <w:r>
            <w:rPr>
              <w:rFonts w:hint="eastAsia"/>
              <w:sz w:val="38"/>
            </w:rPr>
            <w:t>经济及社会理事会</w:t>
          </w:r>
        </w:p>
      </w:tc>
      <w:tc>
        <w:tcPr>
          <w:tcW w:w="245" w:type="dxa"/>
          <w:tcBorders>
            <w:top w:val="single" w:sz="4" w:space="0" w:color="auto"/>
            <w:bottom w:val="single" w:sz="12" w:space="0" w:color="auto"/>
          </w:tcBorders>
          <w:shd w:val="clear" w:color="auto" w:fill="auto"/>
        </w:tcPr>
        <w:p w:rsidR="00653906" w:rsidRPr="00653906" w:rsidRDefault="00653906" w:rsidP="00653906">
          <w:pPr>
            <w:pStyle w:val="ab"/>
            <w:spacing w:before="109"/>
          </w:pPr>
        </w:p>
      </w:tc>
      <w:tc>
        <w:tcPr>
          <w:tcW w:w="3180" w:type="dxa"/>
          <w:gridSpan w:val="2"/>
          <w:tcBorders>
            <w:top w:val="single" w:sz="4" w:space="0" w:color="auto"/>
            <w:bottom w:val="single" w:sz="12" w:space="0" w:color="auto"/>
          </w:tcBorders>
          <w:shd w:val="clear" w:color="auto" w:fill="auto"/>
        </w:tcPr>
        <w:p w:rsidR="00653906" w:rsidRDefault="00653906" w:rsidP="00653906">
          <w:pPr>
            <w:pStyle w:val="Distr"/>
          </w:pPr>
          <w:r>
            <w:t>Distr.: General</w:t>
          </w:r>
        </w:p>
        <w:p w:rsidR="00653906" w:rsidRDefault="00653906" w:rsidP="00653906">
          <w:pPr>
            <w:pStyle w:val="Publication"/>
          </w:pPr>
          <w:r>
            <w:t>10 May 2016</w:t>
          </w:r>
        </w:p>
        <w:p w:rsidR="00653906" w:rsidRDefault="00653906" w:rsidP="00653906">
          <w:pPr>
            <w:spacing w:line="240" w:lineRule="exact"/>
          </w:pPr>
          <w:r>
            <w:t>Chinese</w:t>
          </w:r>
        </w:p>
        <w:p w:rsidR="00653906" w:rsidRDefault="00653906" w:rsidP="00653906">
          <w:pPr>
            <w:pStyle w:val="Original"/>
          </w:pPr>
          <w:r>
            <w:t>Original: English</w:t>
          </w:r>
        </w:p>
        <w:p w:rsidR="00653906" w:rsidRPr="00653906" w:rsidRDefault="00653906" w:rsidP="00653906"/>
      </w:tc>
    </w:tr>
  </w:tbl>
  <w:p w:rsidR="00653906" w:rsidRPr="00653906" w:rsidRDefault="00653906" w:rsidP="00653906">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252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561*"/>
    <w:docVar w:name="CreationDt" w:val="31/05/2016 10:02:12"/>
    <w:docVar w:name="DocCategory" w:val="Doc"/>
    <w:docVar w:name="DocType" w:val="Final"/>
    <w:docVar w:name="DutyStation" w:val="New York"/>
    <w:docVar w:name="FooterJN" w:val="16-07561 (C)"/>
    <w:docVar w:name="jobn" w:val="16-07561 (C)"/>
    <w:docVar w:name="jobnDT" w:val="16-07561 (C)   310516"/>
    <w:docVar w:name="jobnDTDT" w:val="16-07561 (C)   310516   310516"/>
    <w:docVar w:name="JobNo" w:val="1607561C"/>
    <w:docVar w:name="LocalDrive" w:val="0"/>
    <w:docVar w:name="OandT" w:val="sheng"/>
    <w:docVar w:name="PaperSize" w:val="Letter"/>
    <w:docVar w:name="sss1" w:val="E/2016/65"/>
    <w:docVar w:name="sss2" w:val="-"/>
    <w:docVar w:name="Symbol1" w:val="E/2016/65"/>
    <w:docVar w:name="Symbol2" w:val="-"/>
  </w:docVars>
  <w:rsids>
    <w:rsidRoot w:val="005F05C4"/>
    <w:rsid w:val="00000689"/>
    <w:rsid w:val="0000347C"/>
    <w:rsid w:val="0000715A"/>
    <w:rsid w:val="000074E0"/>
    <w:rsid w:val="000101C8"/>
    <w:rsid w:val="000125BC"/>
    <w:rsid w:val="00013CD2"/>
    <w:rsid w:val="0001645E"/>
    <w:rsid w:val="0001726F"/>
    <w:rsid w:val="00017315"/>
    <w:rsid w:val="00021314"/>
    <w:rsid w:val="00021A2B"/>
    <w:rsid w:val="00024E72"/>
    <w:rsid w:val="00025CF2"/>
    <w:rsid w:val="00034465"/>
    <w:rsid w:val="000344BB"/>
    <w:rsid w:val="00034812"/>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286B"/>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85F"/>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00B8"/>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126"/>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05C4"/>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53906"/>
    <w:rsid w:val="00661120"/>
    <w:rsid w:val="00666F57"/>
    <w:rsid w:val="00667E27"/>
    <w:rsid w:val="006740A7"/>
    <w:rsid w:val="006767D5"/>
    <w:rsid w:val="0067736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2699"/>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D692F"/>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5515"/>
    <w:rsid w:val="008378D1"/>
    <w:rsid w:val="00843C13"/>
    <w:rsid w:val="00844909"/>
    <w:rsid w:val="00846462"/>
    <w:rsid w:val="00847383"/>
    <w:rsid w:val="00860742"/>
    <w:rsid w:val="00862B69"/>
    <w:rsid w:val="00862B6B"/>
    <w:rsid w:val="00863910"/>
    <w:rsid w:val="0086691F"/>
    <w:rsid w:val="00867929"/>
    <w:rsid w:val="008722B1"/>
    <w:rsid w:val="00872730"/>
    <w:rsid w:val="00883DB0"/>
    <w:rsid w:val="008843BC"/>
    <w:rsid w:val="00884C8F"/>
    <w:rsid w:val="00891236"/>
    <w:rsid w:val="008927AD"/>
    <w:rsid w:val="00893A33"/>
    <w:rsid w:val="00896D38"/>
    <w:rsid w:val="008A0216"/>
    <w:rsid w:val="008A0650"/>
    <w:rsid w:val="008A1208"/>
    <w:rsid w:val="008A1C43"/>
    <w:rsid w:val="008A59EF"/>
    <w:rsid w:val="008A69B4"/>
    <w:rsid w:val="008B0240"/>
    <w:rsid w:val="008B0349"/>
    <w:rsid w:val="008B1481"/>
    <w:rsid w:val="008B32BC"/>
    <w:rsid w:val="008B5DE8"/>
    <w:rsid w:val="008B6642"/>
    <w:rsid w:val="008C076B"/>
    <w:rsid w:val="008C2456"/>
    <w:rsid w:val="008C3296"/>
    <w:rsid w:val="008C3413"/>
    <w:rsid w:val="008C632F"/>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1EF7"/>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BE52D2"/>
    <w:rsid w:val="00BF00E7"/>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B2B7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0DB2"/>
    <w:rsid w:val="00D0701A"/>
    <w:rsid w:val="00D10888"/>
    <w:rsid w:val="00D10EE5"/>
    <w:rsid w:val="00D177F1"/>
    <w:rsid w:val="00D21209"/>
    <w:rsid w:val="00D21377"/>
    <w:rsid w:val="00D21DF3"/>
    <w:rsid w:val="00D22391"/>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42D5"/>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E6944"/>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68/1" TargetMode="External"/><Relationship Id="rId2" Type="http://schemas.openxmlformats.org/officeDocument/2006/relationships/numbering" Target="numbering.xml"/><Relationship Id="rId16" Type="http://schemas.openxmlformats.org/officeDocument/2006/relationships/hyperlink" Target="http://undocs.org/ch/A/RES/61/16"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RES/69/3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c/stats/officialdevelopmentassistancedefinitionandcover" TargetMode="External"/><Relationship Id="rId2" Type="http://schemas.openxmlformats.org/officeDocument/2006/relationships/hyperlink" Target="http://www.un.org/esa/ffd/documents/" TargetMode="External"/><Relationship Id="rId1" Type="http://schemas.openxmlformats.org/officeDocument/2006/relationships/hyperlink" Target="http://www.un.org/ecosoc/%20sites/www.un.org.ecosoc/files/files/en/dcf/dcfbelgium-hls-summary.pdf" TargetMode="External"/><Relationship Id="rId5" Type="http://schemas.openxmlformats.org/officeDocument/2006/relationships/hyperlink" Target="http://unctad.org/en/" TargetMode="External"/><Relationship Id="rId4" Type="http://schemas.openxmlformats.org/officeDocument/2006/relationships/hyperlink" Target="http://www.gov.uk/government/news/international-development-official-development-assistance-targ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file:///\\DIPR-DC01\data\Company%20Data\Projects\DI%20consultancy%20and%20small%20grant%20projects\Current\DII\UNDESA%20-%20Trends%20and%20Progress%20in%20International%20Development%20Cooperation%20(DCF%202016%20background)\Data%20and%20Analysis\Section%201\dcf%201.1%20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nhq.un.org\shared\chinese_documents\CopyDoc\1607561%20%2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eciliac\AppData\Local\Microsoft\Windows\Temporary%20Internet%20Files\Content.Outlook\05BFT233\Fig%208%20-%20Statistical%20capacity%20building.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6811179646138"/>
          <c:y val="4.2725998204101209E-2"/>
          <c:w val="0.60880531716202535"/>
          <c:h val="0.83127114891034937"/>
        </c:manualLayout>
      </c:layout>
      <c:lineChart>
        <c:grouping val="standard"/>
        <c:varyColors val="0"/>
        <c:ser>
          <c:idx val="0"/>
          <c:order val="0"/>
          <c:tx>
            <c:strRef>
              <c:f>'Net ODA trends'!$A$3</c:f>
              <c:strCache>
                <c:ptCount val="1"/>
                <c:pt idx="0">
                  <c:v>All donors</c:v>
                </c:pt>
              </c:strCache>
            </c:strRef>
          </c:tx>
          <c:spPr>
            <a:ln>
              <a:solidFill>
                <a:schemeClr val="tx2"/>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trends'!$B$3:$P$3</c:f>
              <c:numCache>
                <c:formatCode>General</c:formatCode>
                <c:ptCount val="15"/>
                <c:pt idx="0">
                  <c:v>82.356869999999986</c:v>
                </c:pt>
                <c:pt idx="1">
                  <c:v>84.315650000000005</c:v>
                </c:pt>
                <c:pt idx="2">
                  <c:v>93.850949999999983</c:v>
                </c:pt>
                <c:pt idx="3">
                  <c:v>97.518250000000023</c:v>
                </c:pt>
                <c:pt idx="4">
                  <c:v>101.81795</c:v>
                </c:pt>
                <c:pt idx="5">
                  <c:v>131.83778000000001</c:v>
                </c:pt>
                <c:pt idx="6">
                  <c:v>127.35596</c:v>
                </c:pt>
                <c:pt idx="7">
                  <c:v>118.86582</c:v>
                </c:pt>
                <c:pt idx="8">
                  <c:v>134.11051</c:v>
                </c:pt>
                <c:pt idx="9">
                  <c:v>133.59731000000099</c:v>
                </c:pt>
                <c:pt idx="10">
                  <c:v>140.8914500000007</c:v>
                </c:pt>
                <c:pt idx="11">
                  <c:v>141.48612000000099</c:v>
                </c:pt>
                <c:pt idx="12">
                  <c:v>133.85233000000159</c:v>
                </c:pt>
                <c:pt idx="13">
                  <c:v>151.21612999999999</c:v>
                </c:pt>
                <c:pt idx="14">
                  <c:v>161.27619999999999</c:v>
                </c:pt>
              </c:numCache>
            </c:numRef>
          </c:val>
          <c:smooth val="0"/>
        </c:ser>
        <c:ser>
          <c:idx val="1"/>
          <c:order val="1"/>
          <c:tx>
            <c:strRef>
              <c:f>'Net ODA trends'!$A$4</c:f>
              <c:strCache>
                <c:ptCount val="1"/>
                <c:pt idx="0">
                  <c:v>DAC donors</c:v>
                </c:pt>
              </c:strCache>
            </c:strRef>
          </c:tx>
          <c:spPr>
            <a:ln>
              <a:solidFill>
                <a:schemeClr val="tx1">
                  <a:lumMod val="85000"/>
                  <a:lumOff val="15000"/>
                </a:schemeClr>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trends'!$B$4:$P$4</c:f>
              <c:numCache>
                <c:formatCode>General</c:formatCode>
                <c:ptCount val="15"/>
                <c:pt idx="0">
                  <c:v>80.714780000000005</c:v>
                </c:pt>
                <c:pt idx="1">
                  <c:v>82.824259999999995</c:v>
                </c:pt>
                <c:pt idx="2">
                  <c:v>88.85377999999983</c:v>
                </c:pt>
                <c:pt idx="3">
                  <c:v>92.601739999999978</c:v>
                </c:pt>
                <c:pt idx="4">
                  <c:v>97.677009999999981</c:v>
                </c:pt>
                <c:pt idx="5">
                  <c:v>128.11394000000001</c:v>
                </c:pt>
                <c:pt idx="6">
                  <c:v>121.96874</c:v>
                </c:pt>
                <c:pt idx="7">
                  <c:v>112.82174000000001</c:v>
                </c:pt>
                <c:pt idx="8">
                  <c:v>125.54004</c:v>
                </c:pt>
                <c:pt idx="9">
                  <c:v>127.23907</c:v>
                </c:pt>
                <c:pt idx="10">
                  <c:v>134.03890999999999</c:v>
                </c:pt>
                <c:pt idx="11">
                  <c:v>132.64738</c:v>
                </c:pt>
                <c:pt idx="12">
                  <c:v>127.58139</c:v>
                </c:pt>
                <c:pt idx="13">
                  <c:v>134.83157</c:v>
                </c:pt>
                <c:pt idx="14">
                  <c:v>136.45257000000001</c:v>
                </c:pt>
              </c:numCache>
            </c:numRef>
          </c:val>
          <c:smooth val="0"/>
        </c:ser>
        <c:ser>
          <c:idx val="2"/>
          <c:order val="2"/>
          <c:tx>
            <c:strRef>
              <c:f>'Net ODA trends'!$A$5</c:f>
              <c:strCache>
                <c:ptCount val="1"/>
                <c:pt idx="0">
                  <c:v>Non-DAC donors</c:v>
                </c:pt>
              </c:strCache>
            </c:strRef>
          </c:tx>
          <c:spPr>
            <a:ln>
              <a:solidFill>
                <a:schemeClr val="accent5"/>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trends'!$B$5:$P$5</c:f>
              <c:numCache>
                <c:formatCode>General</c:formatCode>
                <c:ptCount val="15"/>
                <c:pt idx="0">
                  <c:v>1.64209</c:v>
                </c:pt>
                <c:pt idx="1">
                  <c:v>1.49139</c:v>
                </c:pt>
                <c:pt idx="2">
                  <c:v>4.9971699999999997</c:v>
                </c:pt>
                <c:pt idx="3">
                  <c:v>4.9165100000000006</c:v>
                </c:pt>
                <c:pt idx="4">
                  <c:v>4.1409399999999854</c:v>
                </c:pt>
                <c:pt idx="5">
                  <c:v>3.72384</c:v>
                </c:pt>
                <c:pt idx="6">
                  <c:v>5.3872200000000001</c:v>
                </c:pt>
                <c:pt idx="7">
                  <c:v>6.0440799999999966</c:v>
                </c:pt>
                <c:pt idx="8">
                  <c:v>8.570470000000002</c:v>
                </c:pt>
                <c:pt idx="9">
                  <c:v>6.3582399999999986</c:v>
                </c:pt>
                <c:pt idx="10">
                  <c:v>6.8525399999999683</c:v>
                </c:pt>
                <c:pt idx="11">
                  <c:v>8.8387400000000014</c:v>
                </c:pt>
                <c:pt idx="12">
                  <c:v>6.2709399999999986</c:v>
                </c:pt>
                <c:pt idx="13">
                  <c:v>16.38456</c:v>
                </c:pt>
                <c:pt idx="14">
                  <c:v>24.823629999999859</c:v>
                </c:pt>
              </c:numCache>
            </c:numRef>
          </c:val>
          <c:smooth val="0"/>
        </c:ser>
        <c:dLbls>
          <c:showLegendKey val="0"/>
          <c:showVal val="0"/>
          <c:showCatName val="0"/>
          <c:showSerName val="0"/>
          <c:showPercent val="0"/>
          <c:showBubbleSize val="0"/>
        </c:dLbls>
        <c:marker val="1"/>
        <c:smooth val="0"/>
        <c:axId val="249085952"/>
        <c:axId val="249087488"/>
      </c:lineChart>
      <c:catAx>
        <c:axId val="24908595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CN"/>
          </a:p>
        </c:txPr>
        <c:crossAx val="249087488"/>
        <c:crosses val="autoZero"/>
        <c:auto val="1"/>
        <c:lblAlgn val="ctr"/>
        <c:lblOffset val="100"/>
        <c:noMultiLvlLbl val="0"/>
      </c:catAx>
      <c:valAx>
        <c:axId val="249087488"/>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黑体" panose="02010609060101010101" pitchFamily="49" charset="-122"/>
                    <a:ea typeface="黑体" panose="02010609060101010101" pitchFamily="49" charset="-122"/>
                    <a:cs typeface="Times New Roman" panose="02020603050405020304" pitchFamily="18" charset="0"/>
                  </a:defRPr>
                </a:pPr>
                <a:r>
                  <a:rPr lang="en-US" altLang="zh-CN" sz="1000" b="0">
                    <a:effectLst/>
                    <a:latin typeface="黑体" panose="02010609060101010101" pitchFamily="49" charset="-122"/>
                    <a:ea typeface="黑体" panose="02010609060101010101" pitchFamily="49" charset="-122"/>
                    <a:cs typeface="Times New Roman" panose="02020603050405020304" pitchFamily="18" charset="0"/>
                  </a:rPr>
                  <a:t>10</a:t>
                </a:r>
                <a:r>
                  <a:rPr lang="zh-CN" altLang="zh-CN" sz="1000" b="0">
                    <a:effectLst/>
                    <a:latin typeface="黑体" panose="02010609060101010101" pitchFamily="49" charset="-122"/>
                    <a:ea typeface="黑体" panose="02010609060101010101" pitchFamily="49" charset="-122"/>
                    <a:cs typeface="Times New Roman" panose="02020603050405020304" pitchFamily="18" charset="0"/>
                  </a:rPr>
                  <a:t>亿美元</a:t>
                </a:r>
                <a:r>
                  <a:rPr lang="en-US" altLang="zh-CN" sz="1000" b="0">
                    <a:effectLst/>
                    <a:latin typeface="黑体" panose="02010609060101010101" pitchFamily="49" charset="-122"/>
                    <a:ea typeface="黑体" panose="02010609060101010101" pitchFamily="49" charset="-122"/>
                    <a:cs typeface="Times New Roman" panose="02020603050405020304" pitchFamily="18" charset="0"/>
                  </a:rPr>
                  <a:t>(2013</a:t>
                </a:r>
                <a:r>
                  <a:rPr lang="zh-CN" altLang="zh-CN" sz="1000" b="0">
                    <a:effectLst/>
                    <a:latin typeface="黑体" panose="02010609060101010101" pitchFamily="49" charset="-122"/>
                    <a:ea typeface="黑体" panose="02010609060101010101" pitchFamily="49" charset="-122"/>
                    <a:cs typeface="Times New Roman" panose="02020603050405020304" pitchFamily="18" charset="0"/>
                  </a:rPr>
                  <a:t>年不变价格</a:t>
                </a:r>
                <a:r>
                  <a:rPr lang="en-US" altLang="zh-CN" sz="1000" b="0">
                    <a:effectLst/>
                    <a:latin typeface="黑体" panose="02010609060101010101" pitchFamily="49" charset="-122"/>
                    <a:ea typeface="黑体" panose="02010609060101010101" pitchFamily="49" charset="-122"/>
                    <a:cs typeface="Times New Roman" panose="02020603050405020304" pitchFamily="18" charset="0"/>
                  </a:rPr>
                  <a:t>)</a:t>
                </a:r>
                <a:r>
                  <a:rPr lang="en-GB" sz="1000" b="0">
                    <a:latin typeface="黑体" panose="02010609060101010101" pitchFamily="49" charset="-122"/>
                    <a:ea typeface="黑体" panose="02010609060101010101" pitchFamily="49" charset="-122"/>
                    <a:cs typeface="Times New Roman" panose="02020603050405020304" pitchFamily="18" charset="0"/>
                  </a:rPr>
                  <a:t> </a:t>
                </a:r>
              </a:p>
            </c:rich>
          </c:tx>
          <c:layout>
            <c:manualLayout>
              <c:xMode val="edge"/>
              <c:yMode val="edge"/>
              <c:x val="2.508659337001634E-3"/>
              <c:y val="0.17141957080573705"/>
            </c:manualLayout>
          </c:layout>
          <c:overlay val="0"/>
        </c:title>
        <c:numFmt formatCode="General" sourceLinked="1"/>
        <c:majorTickMark val="out"/>
        <c:minorTickMark val="none"/>
        <c:tickLblPos val="nextTo"/>
        <c:crossAx val="249085952"/>
        <c:crosses val="autoZero"/>
        <c:crossBetween val="between"/>
      </c:valAx>
    </c:plotArea>
    <c:legend>
      <c:legendPos val="r"/>
      <c:layout>
        <c:manualLayout>
          <c:xMode val="edge"/>
          <c:yMode val="edge"/>
          <c:x val="0.75404464707114494"/>
          <c:y val="0.4139384623289431"/>
          <c:w val="0.23010520793746972"/>
          <c:h val="0.18001911245547667"/>
        </c:manualLayout>
      </c:layout>
      <c:overlay val="0"/>
      <c:txPr>
        <a:bodyPr/>
        <a:lstStyle/>
        <a:p>
          <a:pPr>
            <a:defRPr sz="800"/>
          </a:pPr>
          <a:endParaRPr lang="zh-CN"/>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632947898360461E-2"/>
          <c:y val="0.10721962119599915"/>
          <c:w val="0.80657583854014692"/>
          <c:h val="0.64376525441872634"/>
        </c:manualLayout>
      </c:layout>
      <c:scatterChart>
        <c:scatterStyle val="lineMarker"/>
        <c:varyColors val="0"/>
        <c:ser>
          <c:idx val="0"/>
          <c:order val="0"/>
          <c:tx>
            <c:v>欧洲</c:v>
          </c:tx>
          <c:spPr>
            <a:ln w="28575">
              <a:noFill/>
            </a:ln>
          </c:spPr>
          <c:marker>
            <c:symbol val="circle"/>
            <c:size val="7"/>
            <c:spPr>
              <a:solidFill>
                <a:srgbClr val="1B365D"/>
              </a:solidFill>
              <a:ln>
                <a:noFill/>
              </a:ln>
            </c:spPr>
          </c:marker>
          <c:xVal>
            <c:numRef>
              <c:f>'[4]Region $1.25'!$K$3:$K$12</c:f>
              <c:numCache>
                <c:formatCode>General</c:formatCode>
                <c:ptCount val="10"/>
                <c:pt idx="0">
                  <c:v>1.247625</c:v>
                </c:pt>
                <c:pt idx="1">
                  <c:v>1.249125</c:v>
                </c:pt>
                <c:pt idx="2">
                  <c:v>1.2497500000000001</c:v>
                </c:pt>
                <c:pt idx="3">
                  <c:v>-1</c:v>
                </c:pt>
                <c:pt idx="4">
                  <c:v>1.2495000000000001</c:v>
                </c:pt>
                <c:pt idx="5">
                  <c:v>1.2490000000000001</c:v>
                </c:pt>
                <c:pt idx="6">
                  <c:v>1.25</c:v>
                </c:pt>
                <c:pt idx="7">
                  <c:v>1.2484999999999999</c:v>
                </c:pt>
                <c:pt idx="8">
                  <c:v>1.2438750000000001</c:v>
                </c:pt>
                <c:pt idx="9">
                  <c:v>1.2497500000000001</c:v>
                </c:pt>
              </c:numCache>
            </c:numRef>
          </c:xVal>
          <c:yVal>
            <c:numRef>
              <c:f>'[4]Region $1.25'!$L$3:$L$12</c:f>
              <c:numCache>
                <c:formatCode>General</c:formatCode>
                <c:ptCount val="10"/>
                <c:pt idx="0">
                  <c:v>17564.065127618036</c:v>
                </c:pt>
                <c:pt idx="1">
                  <c:v>10037.58831997167</c:v>
                </c:pt>
                <c:pt idx="2">
                  <c:v>369545.17806931067</c:v>
                </c:pt>
                <c:pt idx="3">
                  <c:v>-1000</c:v>
                </c:pt>
                <c:pt idx="4">
                  <c:v>29389.853469248414</c:v>
                </c:pt>
                <c:pt idx="5">
                  <c:v>31929.515470284136</c:v>
                </c:pt>
                <c:pt idx="6">
                  <c:v>-1</c:v>
                </c:pt>
                <c:pt idx="7">
                  <c:v>75574.478980105327</c:v>
                </c:pt>
                <c:pt idx="8">
                  <c:v>3600.5250441324119</c:v>
                </c:pt>
                <c:pt idx="9">
                  <c:v>72917.702572922251</c:v>
                </c:pt>
              </c:numCache>
            </c:numRef>
          </c:yVal>
          <c:smooth val="0"/>
        </c:ser>
        <c:ser>
          <c:idx val="1"/>
          <c:order val="1"/>
          <c:tx>
            <c:v>亚洲远东</c:v>
          </c:tx>
          <c:spPr>
            <a:ln w="28575">
              <a:noFill/>
            </a:ln>
          </c:spPr>
          <c:marker>
            <c:symbol val="circle"/>
            <c:size val="7"/>
            <c:spPr>
              <a:solidFill>
                <a:srgbClr val="EA7600"/>
              </a:solidFill>
              <a:ln>
                <a:noFill/>
              </a:ln>
            </c:spPr>
          </c:marker>
          <c:dLbls>
            <c:dLbl>
              <c:idx val="1"/>
              <c:layout>
                <c:manualLayout>
                  <c:x val="-6.0480336766365356E-2"/>
                  <c:y val="8.6481166205575652E-2"/>
                </c:manualLayout>
              </c:layout>
              <c:tx>
                <c:rich>
                  <a:bodyPr/>
                  <a:lstStyle/>
                  <a:p>
                    <a:r>
                      <a:rPr lang="zh-CN" altLang="en-US" sz="700"/>
                      <a:t>中国</a:t>
                    </a:r>
                    <a:endParaRPr lang="en-US"/>
                  </a:p>
                </c:rich>
              </c:tx>
              <c:showLegendKey val="0"/>
              <c:showVal val="1"/>
              <c:showCatName val="0"/>
              <c:showSerName val="0"/>
              <c:showPercent val="0"/>
              <c:showBubbleSize val="0"/>
            </c:dLbl>
            <c:dLbl>
              <c:idx val="9"/>
              <c:layout>
                <c:manualLayout>
                  <c:x val="-5.3760882882123412E-2"/>
                  <c:y val="-2.485382443910519E-2"/>
                </c:manualLayout>
              </c:layout>
              <c:tx>
                <c:rich>
                  <a:bodyPr/>
                  <a:lstStyle/>
                  <a:p>
                    <a:r>
                      <a:rPr lang="zh-CN" altLang="zh-CN" sz="700" b="0" i="0" u="none" strike="noStrike" baseline="0">
                        <a:effectLst/>
                      </a:rPr>
                      <a:t>东帝汶</a:t>
                    </a:r>
                    <a:endParaRPr lang="en-US"/>
                  </a:p>
                </c:rich>
              </c:tx>
              <c:showLegendKey val="0"/>
              <c:showVal val="1"/>
              <c:showCatName val="0"/>
              <c:showSerName val="0"/>
              <c:showPercent val="0"/>
              <c:showBubbleSize val="0"/>
            </c:dLbl>
            <c:txPr>
              <a:bodyPr/>
              <a:lstStyle/>
              <a:p>
                <a:pPr>
                  <a:defRPr sz="700"/>
                </a:pPr>
                <a:endParaRPr lang="zh-CN"/>
              </a:p>
            </c:txPr>
            <c:showLegendKey val="0"/>
            <c:showVal val="0"/>
            <c:showCatName val="0"/>
            <c:showSerName val="0"/>
            <c:showPercent val="0"/>
            <c:showBubbleSize val="0"/>
          </c:dLbls>
          <c:xVal>
            <c:numRef>
              <c:f>'[4]Region $1.25'!$K$13:$K$23</c:f>
              <c:numCache>
                <c:formatCode>General</c:formatCode>
                <c:ptCount val="11"/>
                <c:pt idx="0">
                  <c:v>1.2061250000000001</c:v>
                </c:pt>
                <c:pt idx="1">
                  <c:v>1.2145000000000001</c:v>
                </c:pt>
                <c:pt idx="2">
                  <c:v>1.2087500000000002</c:v>
                </c:pt>
                <c:pt idx="3">
                  <c:v>-1</c:v>
                </c:pt>
                <c:pt idx="4">
                  <c:v>1.1381250000000003</c:v>
                </c:pt>
                <c:pt idx="5">
                  <c:v>1.25</c:v>
                </c:pt>
                <c:pt idx="6">
                  <c:v>0</c:v>
                </c:pt>
                <c:pt idx="7">
                  <c:v>1.2035</c:v>
                </c:pt>
                <c:pt idx="8">
                  <c:v>1.2495000000000001</c:v>
                </c:pt>
                <c:pt idx="9">
                  <c:v>1.139</c:v>
                </c:pt>
                <c:pt idx="10">
                  <c:v>1.2031250000000002</c:v>
                </c:pt>
              </c:numCache>
            </c:numRef>
          </c:xVal>
          <c:yVal>
            <c:numRef>
              <c:f>'[4]Region $1.25'!$L$13:$L$23</c:f>
              <c:numCache>
                <c:formatCode>General</c:formatCode>
                <c:ptCount val="11"/>
                <c:pt idx="0">
                  <c:v>307.92074966342739</c:v>
                </c:pt>
                <c:pt idx="1">
                  <c:v>11.506517541192864</c:v>
                </c:pt>
                <c:pt idx="2">
                  <c:v>48.941053547387476</c:v>
                </c:pt>
                <c:pt idx="3">
                  <c:v>-1000</c:v>
                </c:pt>
                <c:pt idx="4">
                  <c:v>206.75765661926405</c:v>
                </c:pt>
                <c:pt idx="5">
                  <c:v>-1</c:v>
                </c:pt>
                <c:pt idx="6">
                  <c:v>-1</c:v>
                </c:pt>
                <c:pt idx="7">
                  <c:v>56.525969699071716</c:v>
                </c:pt>
                <c:pt idx="8">
                  <c:v>1789.0796184143394</c:v>
                </c:pt>
                <c:pt idx="9">
                  <c:v>689.84561154121968</c:v>
                </c:pt>
                <c:pt idx="10">
                  <c:v>317.76512128280984</c:v>
                </c:pt>
              </c:numCache>
            </c:numRef>
          </c:yVal>
          <c:smooth val="0"/>
        </c:ser>
        <c:ser>
          <c:idx val="2"/>
          <c:order val="2"/>
          <c:tx>
            <c:v>中东</c:v>
          </c:tx>
          <c:spPr>
            <a:ln w="28575">
              <a:noFill/>
            </a:ln>
          </c:spPr>
          <c:marker>
            <c:symbol val="circle"/>
            <c:size val="7"/>
            <c:spPr>
              <a:solidFill>
                <a:srgbClr val="333333"/>
              </a:solidFill>
              <a:ln>
                <a:noFill/>
              </a:ln>
            </c:spPr>
          </c:marker>
          <c:xVal>
            <c:numRef>
              <c:f>'[4]Region $1.25'!$K$24:$K$30</c:f>
              <c:numCache>
                <c:formatCode>General</c:formatCode>
                <c:ptCount val="7"/>
                <c:pt idx="0">
                  <c:v>1.2457500000000001</c:v>
                </c:pt>
                <c:pt idx="1">
                  <c:v>1.2447500000000002</c:v>
                </c:pt>
                <c:pt idx="2">
                  <c:v>1.249625</c:v>
                </c:pt>
                <c:pt idx="3">
                  <c:v>-1</c:v>
                </c:pt>
                <c:pt idx="4">
                  <c:v>1.2475000000000001</c:v>
                </c:pt>
                <c:pt idx="5">
                  <c:v>1.2498750000000001</c:v>
                </c:pt>
                <c:pt idx="6">
                  <c:v>1.1977500000000001</c:v>
                </c:pt>
              </c:numCache>
            </c:numRef>
          </c:xVal>
          <c:yVal>
            <c:numRef>
              <c:f>'[4]Region $1.25'!$L$24:$L$30</c:f>
              <c:numCache>
                <c:formatCode>General</c:formatCode>
                <c:ptCount val="7"/>
                <c:pt idx="0">
                  <c:v>61.562431477140997</c:v>
                </c:pt>
                <c:pt idx="1">
                  <c:v>1536.8742750601848</c:v>
                </c:pt>
                <c:pt idx="2">
                  <c:v>216915.58536231995</c:v>
                </c:pt>
                <c:pt idx="3">
                  <c:v>-1000</c:v>
                </c:pt>
                <c:pt idx="4">
                  <c:v>2015.4430388297067</c:v>
                </c:pt>
                <c:pt idx="5">
                  <c:v>1225910.6616736983</c:v>
                </c:pt>
                <c:pt idx="6">
                  <c:v>221.59183246447489</c:v>
                </c:pt>
              </c:numCache>
            </c:numRef>
          </c:yVal>
          <c:smooth val="0"/>
        </c:ser>
        <c:ser>
          <c:idx val="3"/>
          <c:order val="3"/>
          <c:tx>
            <c:v>北美洲和中美洲</c:v>
          </c:tx>
          <c:spPr>
            <a:ln w="28575">
              <a:noFill/>
            </a:ln>
          </c:spPr>
          <c:marker>
            <c:symbol val="circle"/>
            <c:size val="7"/>
            <c:spPr>
              <a:solidFill>
                <a:schemeClr val="tx2"/>
              </a:solidFill>
              <a:ln>
                <a:noFill/>
              </a:ln>
            </c:spPr>
          </c:marker>
          <c:dLbls>
            <c:dLbl>
              <c:idx val="1"/>
              <c:layout>
                <c:manualLayout>
                  <c:x val="-3.5280575722033247E-2"/>
                  <c:y val="-2.7339099581793515E-2"/>
                </c:manualLayout>
              </c:layout>
              <c:tx>
                <c:rich>
                  <a:bodyPr/>
                  <a:lstStyle/>
                  <a:p>
                    <a:r>
                      <a:rPr lang="zh-CN" altLang="zh-CN" sz="700" b="0" i="0" u="none" strike="noStrike" baseline="0">
                        <a:effectLst/>
                      </a:rPr>
                      <a:t>伯利兹</a:t>
                    </a:r>
                    <a:endParaRPr lang="en-US"/>
                  </a:p>
                </c:rich>
              </c:tx>
              <c:showLegendKey val="0"/>
              <c:showVal val="1"/>
              <c:showCatName val="0"/>
              <c:showSerName val="0"/>
              <c:showPercent val="0"/>
              <c:showBubbleSize val="0"/>
            </c:dLbl>
            <c:dLbl>
              <c:idx val="13"/>
              <c:layout>
                <c:manualLayout>
                  <c:x val="-9.9121807612566226E-2"/>
                  <c:y val="0"/>
                </c:manualLayout>
              </c:layout>
              <c:tx>
                <c:rich>
                  <a:bodyPr/>
                  <a:lstStyle/>
                  <a:p>
                    <a:r>
                      <a:rPr lang="zh-CN" altLang="zh-CN" sz="700" b="0" i="0" u="none" strike="noStrike" baseline="0">
                        <a:effectLst/>
                      </a:rPr>
                      <a:t>尼加拉瓜</a:t>
                    </a:r>
                    <a:endParaRPr lang="en-US" sz="800"/>
                  </a:p>
                </c:rich>
              </c:tx>
              <c:showLegendKey val="0"/>
              <c:showVal val="1"/>
              <c:showCatName val="0"/>
              <c:showSerName val="0"/>
              <c:showPercent val="0"/>
              <c:showBubbleSize val="0"/>
            </c:dLbl>
            <c:txPr>
              <a:bodyPr/>
              <a:lstStyle/>
              <a:p>
                <a:pPr>
                  <a:defRPr sz="700"/>
                </a:pPr>
                <a:endParaRPr lang="zh-CN"/>
              </a:p>
            </c:txPr>
            <c:showLegendKey val="0"/>
            <c:showVal val="0"/>
            <c:showCatName val="0"/>
            <c:showSerName val="0"/>
            <c:showPercent val="0"/>
            <c:showBubbleSize val="0"/>
          </c:dLbls>
          <c:xVal>
            <c:numRef>
              <c:f>'[4]Region $1.25'!$K$31:$K$48</c:f>
              <c:numCache>
                <c:formatCode>General</c:formatCode>
                <c:ptCount val="18"/>
                <c:pt idx="0">
                  <c:v>-1</c:v>
                </c:pt>
                <c:pt idx="1">
                  <c:v>1.1877500000000001</c:v>
                </c:pt>
                <c:pt idx="2">
                  <c:v>1.24075</c:v>
                </c:pt>
                <c:pt idx="3">
                  <c:v>-1</c:v>
                </c:pt>
                <c:pt idx="4">
                  <c:v>-1</c:v>
                </c:pt>
                <c:pt idx="5">
                  <c:v>1.2437500000000001</c:v>
                </c:pt>
                <c:pt idx="6">
                  <c:v>1.20075</c:v>
                </c:pt>
                <c:pt idx="7">
                  <c:v>-1</c:v>
                </c:pt>
                <c:pt idx="8">
                  <c:v>1.1921250000000001</c:v>
                </c:pt>
                <c:pt idx="9">
                  <c:v>0.84612500000000002</c:v>
                </c:pt>
                <c:pt idx="10">
                  <c:v>1.179</c:v>
                </c:pt>
                <c:pt idx="11">
                  <c:v>1.2497500000000001</c:v>
                </c:pt>
                <c:pt idx="12">
                  <c:v>1.2353750000000001</c:v>
                </c:pt>
                <c:pt idx="13">
                  <c:v>1.1860000000000002</c:v>
                </c:pt>
                <c:pt idx="14">
                  <c:v>1.22475</c:v>
                </c:pt>
                <c:pt idx="15">
                  <c:v>-1</c:v>
                </c:pt>
                <c:pt idx="16">
                  <c:v>1.1601250000000001</c:v>
                </c:pt>
                <c:pt idx="17">
                  <c:v>-1</c:v>
                </c:pt>
              </c:numCache>
            </c:numRef>
          </c:xVal>
          <c:yVal>
            <c:numRef>
              <c:f>'[4]Region $1.25'!$L$31:$L$48</c:f>
              <c:numCache>
                <c:formatCode>General</c:formatCode>
                <c:ptCount val="18"/>
                <c:pt idx="0">
                  <c:v>-1000</c:v>
                </c:pt>
                <c:pt idx="1">
                  <c:v>970.20784039545083</c:v>
                </c:pt>
                <c:pt idx="2">
                  <c:v>372.55498013815259</c:v>
                </c:pt>
                <c:pt idx="3">
                  <c:v>-1000</c:v>
                </c:pt>
                <c:pt idx="4">
                  <c:v>-1000</c:v>
                </c:pt>
                <c:pt idx="5">
                  <c:v>1533.5660700919357</c:v>
                </c:pt>
                <c:pt idx="6">
                  <c:v>525.22989076329861</c:v>
                </c:pt>
                <c:pt idx="7">
                  <c:v>-1000</c:v>
                </c:pt>
                <c:pt idx="8">
                  <c:v>192.36741356789659</c:v>
                </c:pt>
                <c:pt idx="9">
                  <c:v>230.70855608398168</c:v>
                </c:pt>
                <c:pt idx="10">
                  <c:v>439.3437523095115</c:v>
                </c:pt>
                <c:pt idx="11">
                  <c:v>12322.677611456085</c:v>
                </c:pt>
                <c:pt idx="12">
                  <c:v>570.5439794174797</c:v>
                </c:pt>
                <c:pt idx="13">
                  <c:v>824.30696132719015</c:v>
                </c:pt>
                <c:pt idx="14">
                  <c:v>262.64666481048329</c:v>
                </c:pt>
                <c:pt idx="15">
                  <c:v>-1000</c:v>
                </c:pt>
                <c:pt idx="16">
                  <c:v>978.91631997368245</c:v>
                </c:pt>
                <c:pt idx="17">
                  <c:v>-1000</c:v>
                </c:pt>
              </c:numCache>
            </c:numRef>
          </c:yVal>
          <c:smooth val="0"/>
        </c:ser>
        <c:ser>
          <c:idx val="4"/>
          <c:order val="4"/>
          <c:tx>
            <c:v>撒哈拉以北</c:v>
          </c:tx>
          <c:spPr>
            <a:ln w="28575">
              <a:noFill/>
            </a:ln>
          </c:spPr>
          <c:marker>
            <c:symbol val="circle"/>
            <c:size val="7"/>
            <c:spPr>
              <a:solidFill>
                <a:srgbClr val="B7BF10"/>
              </a:solidFill>
              <a:ln>
                <a:noFill/>
              </a:ln>
            </c:spPr>
          </c:marker>
          <c:xVal>
            <c:numRef>
              <c:f>'[4]Region $1.25'!$K$49:$K$53</c:f>
              <c:numCache>
                <c:formatCode>General</c:formatCode>
                <c:ptCount val="5"/>
                <c:pt idx="0">
                  <c:v>1.2329999999999999</c:v>
                </c:pt>
                <c:pt idx="1">
                  <c:v>1.2452500000000002</c:v>
                </c:pt>
                <c:pt idx="2">
                  <c:v>-1</c:v>
                </c:pt>
                <c:pt idx="3">
                  <c:v>1.2432500000000002</c:v>
                </c:pt>
                <c:pt idx="4">
                  <c:v>1.2450000000000001</c:v>
                </c:pt>
              </c:numCache>
            </c:numRef>
          </c:xVal>
          <c:yVal>
            <c:numRef>
              <c:f>'[4]Region $1.25'!$L$49:$L$53</c:f>
              <c:numCache>
                <c:formatCode>General</c:formatCode>
                <c:ptCount val="5"/>
                <c:pt idx="0">
                  <c:v>59.724206629853605</c:v>
                </c:pt>
                <c:pt idx="1">
                  <c:v>1557.0643284659195</c:v>
                </c:pt>
                <c:pt idx="2">
                  <c:v>-1000</c:v>
                </c:pt>
                <c:pt idx="3">
                  <c:v>2373.568826237663</c:v>
                </c:pt>
                <c:pt idx="4">
                  <c:v>10874.370629785624</c:v>
                </c:pt>
              </c:numCache>
            </c:numRef>
          </c:yVal>
          <c:smooth val="0"/>
        </c:ser>
        <c:ser>
          <c:idx val="5"/>
          <c:order val="5"/>
          <c:tx>
            <c:v>大洋洲</c:v>
          </c:tx>
          <c:spPr>
            <a:ln w="28575">
              <a:noFill/>
            </a:ln>
          </c:spPr>
          <c:marker>
            <c:symbol val="circle"/>
            <c:size val="7"/>
            <c:spPr>
              <a:solidFill>
                <a:srgbClr val="BFBFBF"/>
              </a:solidFill>
              <a:ln>
                <a:noFill/>
              </a:ln>
            </c:spPr>
          </c:marker>
          <c:xVal>
            <c:numRef>
              <c:f>'[4]Region $1.25'!$K$54:$K$64</c:f>
              <c:numCache>
                <c:formatCode>General</c:formatCode>
                <c:ptCount val="11"/>
                <c:pt idx="0">
                  <c:v>1.2357500000000001</c:v>
                </c:pt>
                <c:pt idx="1">
                  <c:v>-1</c:v>
                </c:pt>
                <c:pt idx="2">
                  <c:v>0</c:v>
                </c:pt>
                <c:pt idx="3">
                  <c:v>1.046</c:v>
                </c:pt>
                <c:pt idx="4">
                  <c:v>-1</c:v>
                </c:pt>
                <c:pt idx="5">
                  <c:v>1.0965000000000003</c:v>
                </c:pt>
                <c:pt idx="6">
                  <c:v>-1</c:v>
                </c:pt>
                <c:pt idx="7">
                  <c:v>-1</c:v>
                </c:pt>
                <c:pt idx="8">
                  <c:v>-1</c:v>
                </c:pt>
                <c:pt idx="9">
                  <c:v>-1</c:v>
                </c:pt>
                <c:pt idx="10">
                  <c:v>-1</c:v>
                </c:pt>
              </c:numCache>
            </c:numRef>
          </c:xVal>
          <c:yVal>
            <c:numRef>
              <c:f>'[4]Region $1.25'!$L$54:$L$64</c:f>
              <c:numCache>
                <c:formatCode>General</c:formatCode>
                <c:ptCount val="11"/>
                <c:pt idx="0">
                  <c:v>2017.695337917283</c:v>
                </c:pt>
                <c:pt idx="1">
                  <c:v>-1000</c:v>
                </c:pt>
                <c:pt idx="2">
                  <c:v>-1</c:v>
                </c:pt>
                <c:pt idx="3">
                  <c:v>-1</c:v>
                </c:pt>
                <c:pt idx="4">
                  <c:v>-1000</c:v>
                </c:pt>
                <c:pt idx="5">
                  <c:v>388.43674253118024</c:v>
                </c:pt>
                <c:pt idx="6">
                  <c:v>-1000</c:v>
                </c:pt>
                <c:pt idx="7">
                  <c:v>-1000</c:v>
                </c:pt>
                <c:pt idx="8">
                  <c:v>-1000</c:v>
                </c:pt>
                <c:pt idx="9">
                  <c:v>-1000</c:v>
                </c:pt>
                <c:pt idx="10">
                  <c:v>-1000</c:v>
                </c:pt>
              </c:numCache>
            </c:numRef>
          </c:yVal>
          <c:smooth val="0"/>
        </c:ser>
        <c:ser>
          <c:idx val="6"/>
          <c:order val="6"/>
          <c:tx>
            <c:v>南亚和中亚</c:v>
          </c:tx>
          <c:spPr>
            <a:ln w="28575">
              <a:noFill/>
            </a:ln>
          </c:spPr>
          <c:marker>
            <c:symbol val="circle"/>
            <c:size val="7"/>
            <c:spPr>
              <a:solidFill>
                <a:srgbClr val="33AAD3"/>
              </a:solidFill>
              <a:ln>
                <a:noFill/>
              </a:ln>
            </c:spPr>
          </c:marker>
          <c:dLbls>
            <c:dLbl>
              <c:idx val="3"/>
              <c:layout>
                <c:manualLayout>
                  <c:x val="-5.662504163693545E-2"/>
                  <c:y val="-1.9900459540944326E-2"/>
                </c:manualLayout>
              </c:layout>
              <c:tx>
                <c:rich>
                  <a:bodyPr/>
                  <a:lstStyle/>
                  <a:p>
                    <a:r>
                      <a:rPr lang="zh-CN" altLang="zh-CN" sz="700" b="0" i="0" u="none" strike="noStrike" baseline="0">
                        <a:effectLst/>
                      </a:rPr>
                      <a:t>孟加拉国</a:t>
                    </a:r>
                    <a:endParaRPr lang="en-US"/>
                  </a:p>
                </c:rich>
              </c:tx>
              <c:showLegendKey val="0"/>
              <c:showVal val="1"/>
              <c:showCatName val="0"/>
              <c:showSerName val="0"/>
              <c:showPercent val="0"/>
              <c:showBubbleSize val="0"/>
            </c:dLbl>
            <c:dLbl>
              <c:idx val="6"/>
              <c:layout>
                <c:manualLayout>
                  <c:x val="-8.8947792003455831E-2"/>
                  <c:y val="8.7668298219479315E-2"/>
                </c:manualLayout>
              </c:layout>
              <c:tx>
                <c:rich>
                  <a:bodyPr/>
                  <a:lstStyle/>
                  <a:p>
                    <a:r>
                      <a:rPr lang="zh-CN" altLang="en-US" sz="700"/>
                      <a:t>印度</a:t>
                    </a:r>
                    <a:endParaRPr lang="en-US"/>
                  </a:p>
                </c:rich>
              </c:tx>
              <c:showLegendKey val="0"/>
              <c:showVal val="1"/>
              <c:showCatName val="0"/>
              <c:showSerName val="0"/>
              <c:showPercent val="0"/>
              <c:showBubbleSize val="0"/>
            </c:dLbl>
            <c:txPr>
              <a:bodyPr/>
              <a:lstStyle/>
              <a:p>
                <a:pPr>
                  <a:defRPr sz="700"/>
                </a:pPr>
                <a:endParaRPr lang="zh-CN"/>
              </a:p>
            </c:txPr>
            <c:showLegendKey val="0"/>
            <c:showVal val="0"/>
            <c:showCatName val="0"/>
            <c:showSerName val="0"/>
            <c:showPercent val="0"/>
            <c:showBubbleSize val="0"/>
          </c:dLbls>
          <c:xVal>
            <c:numRef>
              <c:f>'[4]Region $1.25'!$K$65:$K$81</c:f>
              <c:numCache>
                <c:formatCode>General</c:formatCode>
                <c:ptCount val="17"/>
                <c:pt idx="0">
                  <c:v>0</c:v>
                </c:pt>
                <c:pt idx="1">
                  <c:v>1.244375</c:v>
                </c:pt>
                <c:pt idx="2">
                  <c:v>1.2482500000000001</c:v>
                </c:pt>
                <c:pt idx="3">
                  <c:v>1.1103750000000001</c:v>
                </c:pt>
                <c:pt idx="4">
                  <c:v>1.2467500000000002</c:v>
                </c:pt>
                <c:pt idx="5">
                  <c:v>1.1772500000000001</c:v>
                </c:pt>
                <c:pt idx="6">
                  <c:v>1.1563749999999999</c:v>
                </c:pt>
                <c:pt idx="7">
                  <c:v>1.249625</c:v>
                </c:pt>
                <c:pt idx="8">
                  <c:v>1.2366250000000001</c:v>
                </c:pt>
                <c:pt idx="9">
                  <c:v>1.2482500000000001</c:v>
                </c:pt>
                <c:pt idx="10">
                  <c:v>-1</c:v>
                </c:pt>
                <c:pt idx="11">
                  <c:v>1.180625</c:v>
                </c:pt>
                <c:pt idx="12">
                  <c:v>1.206375</c:v>
                </c:pt>
                <c:pt idx="13">
                  <c:v>1.2418750000000001</c:v>
                </c:pt>
                <c:pt idx="14">
                  <c:v>1.2355</c:v>
                </c:pt>
                <c:pt idx="15">
                  <c:v>1.1628750000000001</c:v>
                </c:pt>
                <c:pt idx="16">
                  <c:v>0</c:v>
                </c:pt>
              </c:numCache>
            </c:numRef>
          </c:xVal>
          <c:yVal>
            <c:numRef>
              <c:f>'[4]Region $1.25'!$L$65:$L$81</c:f>
              <c:numCache>
                <c:formatCode>General</c:formatCode>
                <c:ptCount val="17"/>
                <c:pt idx="0">
                  <c:v>-1</c:v>
                </c:pt>
                <c:pt idx="1">
                  <c:v>4060.7773301294101</c:v>
                </c:pt>
                <c:pt idx="2">
                  <c:v>9627.9645628777325</c:v>
                </c:pt>
                <c:pt idx="3">
                  <c:v>44.572339989217589</c:v>
                </c:pt>
                <c:pt idx="4">
                  <c:v>12660.034338118476</c:v>
                </c:pt>
                <c:pt idx="5">
                  <c:v>853.91879829703987</c:v>
                </c:pt>
                <c:pt idx="6">
                  <c:v>9.3030451849233238</c:v>
                </c:pt>
                <c:pt idx="7">
                  <c:v>6499.5855629861044</c:v>
                </c:pt>
                <c:pt idx="8">
                  <c:v>1344.4675776659374</c:v>
                </c:pt>
                <c:pt idx="9">
                  <c:v>14591.209469922152</c:v>
                </c:pt>
                <c:pt idx="10">
                  <c:v>-1000</c:v>
                </c:pt>
                <c:pt idx="11">
                  <c:v>132.85584006921923</c:v>
                </c:pt>
                <c:pt idx="12">
                  <c:v>76.632469728049372</c:v>
                </c:pt>
                <c:pt idx="13">
                  <c:v>1136.3408831482238</c:v>
                </c:pt>
                <c:pt idx="14">
                  <c:v>808.25900372264175</c:v>
                </c:pt>
                <c:pt idx="15">
                  <c:v>23.289273350875135</c:v>
                </c:pt>
                <c:pt idx="16">
                  <c:v>-1</c:v>
                </c:pt>
              </c:numCache>
            </c:numRef>
          </c:yVal>
          <c:smooth val="0"/>
        </c:ser>
        <c:ser>
          <c:idx val="7"/>
          <c:order val="7"/>
          <c:tx>
            <c:v>南美洲</c:v>
          </c:tx>
          <c:spPr>
            <a:ln w="28575">
              <a:noFill/>
            </a:ln>
          </c:spPr>
          <c:marker>
            <c:symbol val="circle"/>
            <c:size val="7"/>
            <c:spPr>
              <a:solidFill>
                <a:srgbClr val="93328E"/>
              </a:solidFill>
              <a:ln>
                <a:noFill/>
              </a:ln>
            </c:spPr>
          </c:marker>
          <c:xVal>
            <c:numRef>
              <c:f>'[4]Region $1.25'!$K$82:$K$93</c:f>
              <c:numCache>
                <c:formatCode>General</c:formatCode>
                <c:ptCount val="12"/>
                <c:pt idx="0">
                  <c:v>1.2481249999999999</c:v>
                </c:pt>
                <c:pt idx="1">
                  <c:v>1.1619999999999999</c:v>
                </c:pt>
                <c:pt idx="2">
                  <c:v>1.238</c:v>
                </c:pt>
                <c:pt idx="3">
                  <c:v>1.244375</c:v>
                </c:pt>
                <c:pt idx="4">
                  <c:v>1.2163750000000002</c:v>
                </c:pt>
                <c:pt idx="5">
                  <c:v>1.2328749999999999</c:v>
                </c:pt>
                <c:pt idx="6">
                  <c:v>1.2153750000000001</c:v>
                </c:pt>
                <c:pt idx="7">
                  <c:v>1.21875</c:v>
                </c:pt>
                <c:pt idx="8">
                  <c:v>1.2337500000000001</c:v>
                </c:pt>
                <c:pt idx="9">
                  <c:v>1.1762500000000002</c:v>
                </c:pt>
                <c:pt idx="10">
                  <c:v>1.2495000000000001</c:v>
                </c:pt>
                <c:pt idx="11">
                  <c:v>1.2321250000000001</c:v>
                </c:pt>
              </c:numCache>
            </c:numRef>
          </c:xVal>
          <c:yVal>
            <c:numRef>
              <c:f>'[4]Region $1.25'!$L$82:$L$93</c:f>
              <c:numCache>
                <c:formatCode>General</c:formatCode>
                <c:ptCount val="12"/>
                <c:pt idx="0">
                  <c:v>472.61193941524027</c:v>
                </c:pt>
                <c:pt idx="1">
                  <c:v>436.55744704410114</c:v>
                </c:pt>
                <c:pt idx="2">
                  <c:v>211.03065288181412</c:v>
                </c:pt>
                <c:pt idx="3">
                  <c:v>540.03587632357767</c:v>
                </c:pt>
                <c:pt idx="4">
                  <c:v>197.77876337434364</c:v>
                </c:pt>
                <c:pt idx="5">
                  <c:v>302.20076467574796</c:v>
                </c:pt>
                <c:pt idx="6">
                  <c:v>1893.6739722223692</c:v>
                </c:pt>
                <c:pt idx="7">
                  <c:v>354.06968266534079</c:v>
                </c:pt>
                <c:pt idx="8">
                  <c:v>365.20760831919557</c:v>
                </c:pt>
                <c:pt idx="9">
                  <c:v>563.98698397133285</c:v>
                </c:pt>
                <c:pt idx="10">
                  <c:v>3661.2758848767285</c:v>
                </c:pt>
                <c:pt idx="11">
                  <c:v>20.612036577265833</c:v>
                </c:pt>
              </c:numCache>
            </c:numRef>
          </c:yVal>
          <c:smooth val="0"/>
        </c:ser>
        <c:ser>
          <c:idx val="8"/>
          <c:order val="8"/>
          <c:tx>
            <c:v>撒哈拉以南非洲</c:v>
          </c:tx>
          <c:spPr>
            <a:ln w="28575">
              <a:noFill/>
            </a:ln>
          </c:spPr>
          <c:marker>
            <c:symbol val="circle"/>
            <c:size val="7"/>
            <c:spPr>
              <a:solidFill>
                <a:schemeClr val="accent1"/>
              </a:solidFill>
              <a:ln>
                <a:noFill/>
              </a:ln>
            </c:spPr>
          </c:marker>
          <c:dLbls>
            <c:dLbl>
              <c:idx val="10"/>
              <c:layout>
                <c:manualLayout>
                  <c:x val="-7.5529334758844421E-2"/>
                  <c:y val="-3.1272150707198361E-2"/>
                </c:manualLayout>
              </c:layout>
              <c:tx>
                <c:rich>
                  <a:bodyPr/>
                  <a:lstStyle/>
                  <a:p>
                    <a:r>
                      <a:rPr lang="zh-CN" altLang="zh-CN" sz="700" b="0" i="0" u="none" strike="noStrike" baseline="0">
                        <a:effectLst/>
                      </a:rPr>
                      <a:t>刚果民主共和国</a:t>
                    </a:r>
                    <a:endParaRPr lang="en-US"/>
                  </a:p>
                </c:rich>
              </c:tx>
              <c:showLegendKey val="0"/>
              <c:showVal val="1"/>
              <c:showCatName val="0"/>
              <c:showSerName val="0"/>
              <c:showPercent val="0"/>
              <c:showBubbleSize val="0"/>
            </c:dLbl>
            <c:dLbl>
              <c:idx val="33"/>
              <c:layout>
                <c:manualLayout>
                  <c:x val="-7.9174071360746723E-2"/>
                  <c:y val="-4.9707605772501299E-3"/>
                </c:manualLayout>
              </c:layout>
              <c:tx>
                <c:rich>
                  <a:bodyPr/>
                  <a:lstStyle/>
                  <a:p>
                    <a:r>
                      <a:rPr lang="zh-CN" altLang="zh-CN" sz="700" b="0" i="0" u="none" strike="noStrike" baseline="0">
                        <a:effectLst/>
                      </a:rPr>
                      <a:t>尼日利亚</a:t>
                    </a:r>
                    <a:endParaRPr lang="en-US"/>
                  </a:p>
                </c:rich>
              </c:tx>
              <c:showLegendKey val="0"/>
              <c:showVal val="1"/>
              <c:showCatName val="0"/>
              <c:showSerName val="0"/>
              <c:showPercent val="0"/>
              <c:showBubbleSize val="0"/>
            </c:dLbl>
            <c:txPr>
              <a:bodyPr/>
              <a:lstStyle/>
              <a:p>
                <a:pPr>
                  <a:defRPr sz="700"/>
                </a:pPr>
                <a:endParaRPr lang="zh-CN"/>
              </a:p>
            </c:txPr>
            <c:showLegendKey val="0"/>
            <c:showVal val="0"/>
            <c:showCatName val="0"/>
            <c:showSerName val="0"/>
            <c:showPercent val="0"/>
            <c:showBubbleSize val="0"/>
          </c:dLbls>
          <c:xVal>
            <c:numRef>
              <c:f>'[4]Region $1.25'!$K$94:$K$142</c:f>
              <c:numCache>
                <c:formatCode>General</c:formatCode>
                <c:ptCount val="49"/>
                <c:pt idx="0">
                  <c:v>1.0443750000000001</c:v>
                </c:pt>
                <c:pt idx="1">
                  <c:v>1.053375</c:v>
                </c:pt>
                <c:pt idx="2">
                  <c:v>1.1120000000000001</c:v>
                </c:pt>
                <c:pt idx="3">
                  <c:v>1.0667500000000001</c:v>
                </c:pt>
                <c:pt idx="4">
                  <c:v>0.79512499999999997</c:v>
                </c:pt>
                <c:pt idx="5">
                  <c:v>1.2349999999999999</c:v>
                </c:pt>
                <c:pt idx="6">
                  <c:v>1.1743750000000002</c:v>
                </c:pt>
                <c:pt idx="7">
                  <c:v>0.85925000000000007</c:v>
                </c:pt>
                <c:pt idx="8">
                  <c:v>0.92949999999999999</c:v>
                </c:pt>
                <c:pt idx="9">
                  <c:v>0.98975000000000002</c:v>
                </c:pt>
                <c:pt idx="10">
                  <c:v>0.59050000000000002</c:v>
                </c:pt>
                <c:pt idx="11">
                  <c:v>0.96475000000000011</c:v>
                </c:pt>
                <c:pt idx="12">
                  <c:v>1.15625</c:v>
                </c:pt>
                <c:pt idx="13">
                  <c:v>1.1838750000000002</c:v>
                </c:pt>
                <c:pt idx="14">
                  <c:v>-1</c:v>
                </c:pt>
                <c:pt idx="15">
                  <c:v>-1</c:v>
                </c:pt>
                <c:pt idx="16">
                  <c:v>1.1476250000000001</c:v>
                </c:pt>
                <c:pt idx="17">
                  <c:v>1.23875</c:v>
                </c:pt>
                <c:pt idx="18">
                  <c:v>1.1038750000000002</c:v>
                </c:pt>
                <c:pt idx="19">
                  <c:v>1.1264999999999998</c:v>
                </c:pt>
                <c:pt idx="20">
                  <c:v>1.0629999999999999</c:v>
                </c:pt>
                <c:pt idx="21">
                  <c:v>1.0431250000000001</c:v>
                </c:pt>
                <c:pt idx="22">
                  <c:v>1.0386250000000001</c:v>
                </c:pt>
                <c:pt idx="23">
                  <c:v>0.99050000000000005</c:v>
                </c:pt>
                <c:pt idx="24">
                  <c:v>0.73875000000000002</c:v>
                </c:pt>
                <c:pt idx="25">
                  <c:v>0.70925000000000005</c:v>
                </c:pt>
                <c:pt idx="26">
                  <c:v>0.92275000000000007</c:v>
                </c:pt>
                <c:pt idx="27">
                  <c:v>1.0455000000000001</c:v>
                </c:pt>
                <c:pt idx="28">
                  <c:v>1.1651250000000002</c:v>
                </c:pt>
                <c:pt idx="29">
                  <c:v>-1</c:v>
                </c:pt>
                <c:pt idx="30">
                  <c:v>0.93587500000000012</c:v>
                </c:pt>
                <c:pt idx="31">
                  <c:v>1.131875</c:v>
                </c:pt>
                <c:pt idx="32">
                  <c:v>1.0947500000000001</c:v>
                </c:pt>
                <c:pt idx="33">
                  <c:v>0.97700000000000009</c:v>
                </c:pt>
                <c:pt idx="34">
                  <c:v>0.91700000000000004</c:v>
                </c:pt>
                <c:pt idx="35">
                  <c:v>1.1516250000000001</c:v>
                </c:pt>
                <c:pt idx="36">
                  <c:v>1.135875</c:v>
                </c:pt>
                <c:pt idx="37">
                  <c:v>1.249125</c:v>
                </c:pt>
                <c:pt idx="38">
                  <c:v>1.042</c:v>
                </c:pt>
                <c:pt idx="39">
                  <c:v>-1</c:v>
                </c:pt>
                <c:pt idx="40">
                  <c:v>1.2212499999999999</c:v>
                </c:pt>
                <c:pt idx="41">
                  <c:v>-1</c:v>
                </c:pt>
                <c:pt idx="42">
                  <c:v>1.1817499999999999</c:v>
                </c:pt>
                <c:pt idx="43">
                  <c:v>1.05</c:v>
                </c:pt>
                <c:pt idx="44">
                  <c:v>0.89875000000000005</c:v>
                </c:pt>
                <c:pt idx="45">
                  <c:v>1.139875</c:v>
                </c:pt>
                <c:pt idx="46">
                  <c:v>1.097375</c:v>
                </c:pt>
                <c:pt idx="47">
                  <c:v>0.72612500000000002</c:v>
                </c:pt>
                <c:pt idx="48">
                  <c:v>-1</c:v>
                </c:pt>
              </c:numCache>
            </c:numRef>
          </c:xVal>
          <c:yVal>
            <c:numRef>
              <c:f>'[4]Region $1.25'!$L$94:$L$142</c:f>
              <c:numCache>
                <c:formatCode>General</c:formatCode>
                <c:ptCount val="49"/>
                <c:pt idx="0">
                  <c:v>34.747114529792256</c:v>
                </c:pt>
                <c:pt idx="1">
                  <c:v>140.20939018413509</c:v>
                </c:pt>
                <c:pt idx="2">
                  <c:v>175.94027365604776</c:v>
                </c:pt>
                <c:pt idx="3">
                  <c:v>173.88193519126904</c:v>
                </c:pt>
                <c:pt idx="4">
                  <c:v>77.394188752612166</c:v>
                </c:pt>
                <c:pt idx="5">
                  <c:v>322.38430997463377</c:v>
                </c:pt>
                <c:pt idx="6">
                  <c:v>2372.538505265853</c:v>
                </c:pt>
                <c:pt idx="7">
                  <c:v>83.807049570569575</c:v>
                </c:pt>
                <c:pt idx="8">
                  <c:v>88.092246722378732</c:v>
                </c:pt>
                <c:pt idx="9">
                  <c:v>176.22685239784067</c:v>
                </c:pt>
                <c:pt idx="10">
                  <c:v>44.001175061885228</c:v>
                </c:pt>
                <c:pt idx="11">
                  <c:v>70.504441002790841</c:v>
                </c:pt>
                <c:pt idx="12">
                  <c:v>183.29056648545455</c:v>
                </c:pt>
                <c:pt idx="13">
                  <c:v>1108.5864705463453</c:v>
                </c:pt>
                <c:pt idx="14">
                  <c:v>-1000</c:v>
                </c:pt>
                <c:pt idx="15">
                  <c:v>-1000</c:v>
                </c:pt>
                <c:pt idx="16">
                  <c:v>117.20983621986281</c:v>
                </c:pt>
                <c:pt idx="17">
                  <c:v>1020.5439137839518</c:v>
                </c:pt>
                <c:pt idx="18">
                  <c:v>324.16073801718125</c:v>
                </c:pt>
                <c:pt idx="19">
                  <c:v>297.62056550265493</c:v>
                </c:pt>
                <c:pt idx="20">
                  <c:v>76.87219440596337</c:v>
                </c:pt>
                <c:pt idx="21">
                  <c:v>111.9081616831875</c:v>
                </c:pt>
                <c:pt idx="22">
                  <c:v>188.15790488033198</c:v>
                </c:pt>
                <c:pt idx="23">
                  <c:v>367.70484608303997</c:v>
                </c:pt>
                <c:pt idx="24">
                  <c:v>192.04995434217099</c:v>
                </c:pt>
                <c:pt idx="25">
                  <c:v>22.150733502717728</c:v>
                </c:pt>
                <c:pt idx="26">
                  <c:v>127.73366968840035</c:v>
                </c:pt>
                <c:pt idx="27">
                  <c:v>140.08662476133247</c:v>
                </c:pt>
                <c:pt idx="28">
                  <c:v>557.2618401003175</c:v>
                </c:pt>
                <c:pt idx="29">
                  <c:v>-1000</c:v>
                </c:pt>
                <c:pt idx="30">
                  <c:v>157.17060860185325</c:v>
                </c:pt>
                <c:pt idx="31">
                  <c:v>463.60555417002303</c:v>
                </c:pt>
                <c:pt idx="32">
                  <c:v>137.22618611264585</c:v>
                </c:pt>
                <c:pt idx="33">
                  <c:v>22.173414009983357</c:v>
                </c:pt>
                <c:pt idx="34">
                  <c:v>122.86297761921736</c:v>
                </c:pt>
                <c:pt idx="35">
                  <c:v>1001.3007777472847</c:v>
                </c:pt>
                <c:pt idx="36">
                  <c:v>266.20470494054626</c:v>
                </c:pt>
                <c:pt idx="37">
                  <c:v>124647.42121127616</c:v>
                </c:pt>
                <c:pt idx="38">
                  <c:v>144.99732658320221</c:v>
                </c:pt>
                <c:pt idx="39">
                  <c:v>-1000</c:v>
                </c:pt>
                <c:pt idx="40">
                  <c:v>179.20438135977119</c:v>
                </c:pt>
                <c:pt idx="41">
                  <c:v>-1000</c:v>
                </c:pt>
                <c:pt idx="42">
                  <c:v>140.20779233392213</c:v>
                </c:pt>
                <c:pt idx="43">
                  <c:v>199.52717213448517</c:v>
                </c:pt>
                <c:pt idx="44">
                  <c:v>100.81691430217853</c:v>
                </c:pt>
                <c:pt idx="45">
                  <c:v>97.076393666079042</c:v>
                </c:pt>
                <c:pt idx="46">
                  <c:v>133.2192376356096</c:v>
                </c:pt>
                <c:pt idx="47">
                  <c:v>100.81448497539543</c:v>
                </c:pt>
                <c:pt idx="48">
                  <c:v>-1000</c:v>
                </c:pt>
              </c:numCache>
            </c:numRef>
          </c:yVal>
          <c:smooth val="0"/>
        </c:ser>
        <c:dLbls>
          <c:showLegendKey val="0"/>
          <c:showVal val="0"/>
          <c:showCatName val="0"/>
          <c:showSerName val="0"/>
          <c:showPercent val="0"/>
          <c:showBubbleSize val="0"/>
        </c:dLbls>
        <c:axId val="254668800"/>
        <c:axId val="254670720"/>
      </c:scatterChart>
      <c:valAx>
        <c:axId val="254668800"/>
        <c:scaling>
          <c:orientation val="minMax"/>
          <c:max val="1.25"/>
          <c:min val="0.5"/>
        </c:scaling>
        <c:delete val="0"/>
        <c:axPos val="b"/>
        <c:title>
          <c:tx>
            <c:rich>
              <a:bodyPr/>
              <a:lstStyle/>
              <a:p>
                <a:pPr>
                  <a:defRPr sz="700" b="0" baseline="0"/>
                </a:pPr>
                <a:r>
                  <a:rPr lang="zh-CN" altLang="zh-CN" sz="700" b="0" i="0" u="none" strike="noStrike" baseline="0">
                    <a:effectLst/>
                  </a:rPr>
                  <a:t>收入中间数低于</a:t>
                </a:r>
                <a:r>
                  <a:rPr lang="en-US" altLang="zh-CN" sz="700" b="0" i="0" u="none" strike="noStrike" baseline="0">
                    <a:effectLst/>
                  </a:rPr>
                  <a:t>2011</a:t>
                </a:r>
                <a:r>
                  <a:rPr lang="zh-CN" altLang="zh-CN" sz="700" b="0" i="0" u="none" strike="noStrike" baseline="0">
                    <a:effectLst/>
                  </a:rPr>
                  <a:t>年每名穷人每日</a:t>
                </a:r>
                <a:r>
                  <a:rPr lang="en-US" altLang="zh-CN" sz="700" b="0" i="0" u="none" strike="noStrike" baseline="0">
                    <a:effectLst/>
                  </a:rPr>
                  <a:t>1.25</a:t>
                </a:r>
                <a:r>
                  <a:rPr lang="zh-CN" altLang="zh-CN" sz="700" b="0" i="0" u="none" strike="noStrike" baseline="0">
                    <a:effectLst/>
                  </a:rPr>
                  <a:t>美元的贫困线</a:t>
                </a:r>
                <a:endParaRPr lang="en-GB" sz="700" b="0" baseline="0"/>
              </a:p>
            </c:rich>
          </c:tx>
          <c:layout>
            <c:manualLayout>
              <c:xMode val="edge"/>
              <c:yMode val="edge"/>
              <c:x val="6.0560682549955523E-2"/>
              <c:y val="0.82515499751720223"/>
            </c:manualLayout>
          </c:layout>
          <c:overlay val="0"/>
        </c:title>
        <c:numFmt formatCode="General" sourceLinked="1"/>
        <c:majorTickMark val="none"/>
        <c:minorTickMark val="none"/>
        <c:tickLblPos val="nextTo"/>
        <c:spPr>
          <a:ln>
            <a:solidFill>
              <a:schemeClr val="tx2"/>
            </a:solidFill>
          </a:ln>
        </c:spPr>
        <c:txPr>
          <a:bodyPr/>
          <a:lstStyle/>
          <a:p>
            <a:pPr>
              <a:defRPr sz="700" baseline="0">
                <a:latin typeface="Times New Roman" panose="02020603050405020304" pitchFamily="18" charset="0"/>
                <a:cs typeface="Times New Roman" panose="02020603050405020304" pitchFamily="18" charset="0"/>
              </a:defRPr>
            </a:pPr>
            <a:endParaRPr lang="zh-CN"/>
          </a:p>
        </c:txPr>
        <c:crossAx val="254670720"/>
        <c:crosses val="autoZero"/>
        <c:crossBetween val="midCat"/>
        <c:majorUnit val="0.25"/>
      </c:valAx>
      <c:valAx>
        <c:axId val="254670720"/>
        <c:scaling>
          <c:orientation val="minMax"/>
          <c:max val="1000"/>
          <c:min val="0"/>
        </c:scaling>
        <c:delete val="0"/>
        <c:axPos val="l"/>
        <c:title>
          <c:tx>
            <c:rich>
              <a:bodyPr rot="0" vert="horz"/>
              <a:lstStyle/>
              <a:p>
                <a:pPr algn="l">
                  <a:defRPr sz="800" b="0"/>
                </a:pPr>
                <a:r>
                  <a:rPr lang="en-US" altLang="zh-CN" sz="750" b="0" i="0" u="none" strike="noStrike" baseline="0">
                    <a:effectLst/>
                  </a:rPr>
                  <a:t>2012</a:t>
                </a:r>
                <a:r>
                  <a:rPr lang="zh-CN" altLang="zh-CN" sz="750" b="0" i="0" u="none" strike="noStrike" baseline="0">
                    <a:effectLst/>
                  </a:rPr>
                  <a:t>年每名穷人的</a:t>
                </a:r>
                <a:r>
                  <a:rPr lang="en-US" altLang="zh-CN" sz="750" b="0" i="0" u="none" strike="noStrike" baseline="0">
                    <a:effectLst/>
                  </a:rPr>
                  <a:t/>
                </a:r>
                <a:br>
                  <a:rPr lang="en-US" altLang="zh-CN" sz="750" b="0" i="0" u="none" strike="noStrike" baseline="0">
                    <a:effectLst/>
                  </a:rPr>
                </a:br>
                <a:r>
                  <a:rPr lang="zh-CN" altLang="zh-CN" sz="750" b="0" i="0" u="none" strike="noStrike" baseline="0">
                    <a:effectLst/>
                  </a:rPr>
                  <a:t>官方发展援助额</a:t>
                </a:r>
                <a:r>
                  <a:rPr lang="en-US" altLang="zh-CN" sz="750" b="0" i="0" u="none" strike="noStrike" baseline="0">
                    <a:effectLst/>
                  </a:rPr>
                  <a:t>(</a:t>
                </a:r>
                <a:r>
                  <a:rPr lang="zh-CN" altLang="zh-CN" sz="750" b="0" i="0" u="none" strike="noStrike" baseline="0">
                    <a:effectLst/>
                  </a:rPr>
                  <a:t>美元</a:t>
                </a:r>
                <a:r>
                  <a:rPr lang="en-US" altLang="zh-CN" sz="750" b="0" i="0" u="none" strike="noStrike" baseline="0">
                    <a:effectLst/>
                  </a:rPr>
                  <a:t>)</a:t>
                </a:r>
                <a:endParaRPr lang="en-GB" sz="750" b="0" baseline="0"/>
              </a:p>
            </c:rich>
          </c:tx>
          <c:layout>
            <c:manualLayout>
              <c:xMode val="edge"/>
              <c:yMode val="edge"/>
              <c:x val="8.0549936901228206E-2"/>
              <c:y val="3.4436329899850131E-3"/>
            </c:manualLayout>
          </c:layout>
          <c:overlay val="0"/>
        </c:title>
        <c:numFmt formatCode="#\ ##0;\-#,##0" sourceLinked="0"/>
        <c:majorTickMark val="none"/>
        <c:minorTickMark val="none"/>
        <c:tickLblPos val="nextTo"/>
        <c:spPr>
          <a:ln>
            <a:solidFill>
              <a:schemeClr val="tx2"/>
            </a:solidFill>
          </a:ln>
        </c:spPr>
        <c:txPr>
          <a:bodyPr/>
          <a:lstStyle/>
          <a:p>
            <a:pPr>
              <a:defRPr sz="700" baseline="0">
                <a:latin typeface="Times New Roman" panose="02020603050405020304" pitchFamily="18" charset="0"/>
                <a:cs typeface="Times New Roman" panose="02020603050405020304" pitchFamily="18" charset="0"/>
              </a:defRPr>
            </a:pPr>
            <a:endParaRPr lang="zh-CN"/>
          </a:p>
        </c:txPr>
        <c:crossAx val="254668800"/>
        <c:crosses val="autoZero"/>
        <c:crossBetween val="midCat"/>
      </c:valAx>
      <c:spPr>
        <a:ln>
          <a:noFill/>
        </a:ln>
      </c:spPr>
    </c:plotArea>
    <c:legend>
      <c:legendPos val="b"/>
      <c:layout>
        <c:manualLayout>
          <c:xMode val="edge"/>
          <c:yMode val="edge"/>
          <c:x val="8.9379385661109978E-2"/>
          <c:y val="0.11932113215577783"/>
          <c:w val="0.29296192130082327"/>
          <c:h val="0.27201000212811238"/>
        </c:manualLayout>
      </c:layout>
      <c:overlay val="0"/>
      <c:txPr>
        <a:bodyPr/>
        <a:lstStyle/>
        <a:p>
          <a:pPr>
            <a:defRPr sz="700" baseline="0"/>
          </a:pPr>
          <a:endParaRPr lang="zh-CN"/>
        </a:p>
      </c:txPr>
    </c:legend>
    <c:plotVisOnly val="1"/>
    <c:dispBlanksAs val="gap"/>
    <c:showDLblsOverMax val="0"/>
  </c:chart>
  <c:spPr>
    <a:ln>
      <a:noFill/>
    </a:ln>
  </c:spPr>
  <c:txPr>
    <a:bodyPr/>
    <a:lstStyle/>
    <a:p>
      <a:pPr algn="just">
        <a:spcBef>
          <a:spcPts val="2400"/>
        </a:spcBef>
        <a:defRPr sz="1200"/>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Chart!$A$2</c:f>
              <c:strCache>
                <c:ptCount val="1"/>
                <c:pt idx="0">
                  <c:v>Gross ODA for statistical capacity building</c:v>
                </c:pt>
              </c:strCache>
            </c:strRef>
          </c:tx>
          <c:spPr>
            <a:solidFill>
              <a:srgbClr val="0078B8"/>
            </a:solidFill>
          </c:spPr>
          <c:invertIfNegative val="0"/>
          <c:dLbls>
            <c:numFmt formatCode="#,##0" sourceLinked="0"/>
            <c:spPr>
              <a:noFill/>
              <a:ln>
                <a:noFill/>
              </a:ln>
              <a:effectLst/>
            </c:spPr>
            <c:txPr>
              <a:bodyPr/>
              <a:lstStyle/>
              <a:p>
                <a:pPr>
                  <a:defRPr sz="800">
                    <a:latin typeface="Arial" pitchFamily="34" charset="0"/>
                    <a:cs typeface="Arial" pitchFamily="34"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Chart!$B$2:$K$2</c:f>
              <c:numCache>
                <c:formatCode>General</c:formatCode>
                <c:ptCount val="10"/>
                <c:pt idx="0">
                  <c:v>139.348871</c:v>
                </c:pt>
                <c:pt idx="1">
                  <c:v>156.42359300000001</c:v>
                </c:pt>
                <c:pt idx="2">
                  <c:v>160.38774500000039</c:v>
                </c:pt>
                <c:pt idx="3">
                  <c:v>151.735827</c:v>
                </c:pt>
                <c:pt idx="4">
                  <c:v>159.01423600000001</c:v>
                </c:pt>
                <c:pt idx="5">
                  <c:v>161.148492</c:v>
                </c:pt>
                <c:pt idx="6">
                  <c:v>184.07197500000001</c:v>
                </c:pt>
                <c:pt idx="7">
                  <c:v>166.17147</c:v>
                </c:pt>
                <c:pt idx="8">
                  <c:v>223.09819900000039</c:v>
                </c:pt>
                <c:pt idx="9">
                  <c:v>119.041079</c:v>
                </c:pt>
              </c:numCache>
            </c:numRef>
          </c:val>
        </c:ser>
        <c:dLbls>
          <c:showLegendKey val="0"/>
          <c:showVal val="0"/>
          <c:showCatName val="0"/>
          <c:showSerName val="0"/>
          <c:showPercent val="0"/>
          <c:showBubbleSize val="0"/>
        </c:dLbls>
        <c:gapWidth val="50"/>
        <c:axId val="255251200"/>
        <c:axId val="255252736"/>
      </c:barChart>
      <c:catAx>
        <c:axId val="255251200"/>
        <c:scaling>
          <c:orientation val="minMax"/>
        </c:scaling>
        <c:delete val="0"/>
        <c:axPos val="b"/>
        <c:numFmt formatCode="General" sourceLinked="1"/>
        <c:majorTickMark val="out"/>
        <c:minorTickMark val="none"/>
        <c:tickLblPos val="nextTo"/>
        <c:txPr>
          <a:bodyPr/>
          <a:lstStyle/>
          <a:p>
            <a:pPr>
              <a:defRPr sz="800">
                <a:latin typeface="Arial" pitchFamily="34" charset="0"/>
                <a:cs typeface="Arial" pitchFamily="34" charset="0"/>
              </a:defRPr>
            </a:pPr>
            <a:endParaRPr lang="zh-CN"/>
          </a:p>
        </c:txPr>
        <c:crossAx val="255252736"/>
        <c:crosses val="autoZero"/>
        <c:auto val="1"/>
        <c:lblAlgn val="ctr"/>
        <c:lblOffset val="100"/>
        <c:noMultiLvlLbl val="0"/>
      </c:catAx>
      <c:valAx>
        <c:axId val="255252736"/>
        <c:scaling>
          <c:orientation val="minMax"/>
        </c:scaling>
        <c:delete val="0"/>
        <c:axPos val="l"/>
        <c:title>
          <c:tx>
            <c:rich>
              <a:bodyPr rot="-5400000" vert="horz"/>
              <a:lstStyle/>
              <a:p>
                <a:pPr>
                  <a:defRPr sz="800">
                    <a:latin typeface="Arial" pitchFamily="34" charset="0"/>
                    <a:cs typeface="Arial" pitchFamily="34" charset="0"/>
                  </a:defRPr>
                </a:pPr>
                <a:r>
                  <a:rPr lang="zh-CN" altLang="en-US" sz="800">
                    <a:latin typeface="Arial" pitchFamily="34" charset="0"/>
                    <a:cs typeface="Arial" pitchFamily="34" charset="0"/>
                  </a:rPr>
                  <a:t>百万美元</a:t>
                </a:r>
                <a:r>
                  <a:rPr lang="en-US" altLang="en-US" sz="800" b="1" i="0" u="none" strike="noStrike" kern="1200" baseline="0">
                    <a:solidFill>
                      <a:sysClr val="windowText" lastClr="000000"/>
                    </a:solidFill>
                    <a:latin typeface="Arial" pitchFamily="34" charset="0"/>
                    <a:ea typeface="+mn-ea"/>
                    <a:cs typeface="Arial" pitchFamily="34" charset="0"/>
                  </a:rPr>
                  <a:t>(</a:t>
                </a:r>
                <a:r>
                  <a:rPr lang="en-US" altLang="zh-CN" sz="800">
                    <a:latin typeface="Arial" pitchFamily="34" charset="0"/>
                    <a:cs typeface="Arial" pitchFamily="34" charset="0"/>
                  </a:rPr>
                  <a:t>2013</a:t>
                </a:r>
                <a:r>
                  <a:rPr lang="zh-CN" altLang="en-US" sz="800">
                    <a:latin typeface="Arial" pitchFamily="34" charset="0"/>
                    <a:cs typeface="Arial" pitchFamily="34" charset="0"/>
                  </a:rPr>
                  <a:t>年不变价格</a:t>
                </a:r>
                <a:r>
                  <a:rPr lang="en-US" sz="800">
                    <a:latin typeface="Arial" pitchFamily="34" charset="0"/>
                    <a:cs typeface="Arial" pitchFamily="34" charset="0"/>
                  </a:rPr>
                  <a:t>)</a:t>
                </a:r>
              </a:p>
            </c:rich>
          </c:tx>
          <c:layout>
            <c:manualLayout>
              <c:xMode val="edge"/>
              <c:yMode val="edge"/>
              <c:x val="1.021677256177125E-2"/>
              <c:y val="0.14133437261680512"/>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zh-CN"/>
          </a:p>
        </c:txPr>
        <c:crossAx val="25525120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0.68648</cdr:x>
      <cdr:y>0.7782</cdr:y>
    </cdr:from>
    <cdr:to>
      <cdr:x>0.77558</cdr:x>
      <cdr:y>0.82248</cdr:y>
    </cdr:to>
    <cdr:sp macro="" textlink="">
      <cdr:nvSpPr>
        <cdr:cNvPr id="2" name="Elbow Connector 1"/>
        <cdr:cNvSpPr/>
      </cdr:nvSpPr>
      <cdr:spPr>
        <a:xfrm xmlns:a="http://schemas.openxmlformats.org/drawingml/2006/main" rot="5400000" flipH="1" flipV="1">
          <a:off x="4449202" y="2247894"/>
          <a:ext cx="139605" cy="550792"/>
        </a:xfrm>
        <a:prstGeom xmlns:a="http://schemas.openxmlformats.org/drawingml/2006/main" prst="bentConnector3">
          <a:avLst>
            <a:gd name="adj1" fmla="val 35185"/>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0.80096</cdr:x>
      <cdr:y>0.771</cdr:y>
    </cdr:from>
    <cdr:to>
      <cdr:x>0.83914</cdr:x>
      <cdr:y>0.81975</cdr:y>
    </cdr:to>
    <cdr:sp macro="" textlink="">
      <cdr:nvSpPr>
        <cdr:cNvPr id="3" name="Elbow Connector 2"/>
        <cdr:cNvSpPr/>
      </cdr:nvSpPr>
      <cdr:spPr>
        <a:xfrm xmlns:a="http://schemas.openxmlformats.org/drawingml/2006/main" rot="5400000" flipH="1" flipV="1">
          <a:off x="4187220" y="2143394"/>
          <a:ext cx="137446" cy="198149"/>
        </a:xfrm>
        <a:prstGeom xmlns:a="http://schemas.openxmlformats.org/drawingml/2006/main" prst="bentConnector3">
          <a:avLst>
            <a:gd name="adj1" fmla="val 35185"/>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0.40142</cdr:x>
      <cdr:y>0.91061</cdr:y>
    </cdr:from>
    <cdr:to>
      <cdr:x>0.69274</cdr:x>
      <cdr:y>0.91061</cdr:y>
    </cdr:to>
    <cdr:cxnSp macro="">
      <cdr:nvCxnSpPr>
        <cdr:cNvPr id="10" name="直接连接符 9"/>
        <cdr:cNvCxnSpPr/>
      </cdr:nvCxnSpPr>
      <cdr:spPr>
        <a:xfrm xmlns:a="http://schemas.openxmlformats.org/drawingml/2006/main">
          <a:off x="2481498" y="2870933"/>
          <a:ext cx="1800860" cy="0"/>
        </a:xfrm>
        <a:prstGeom xmlns:a="http://schemas.openxmlformats.org/drawingml/2006/main" prst="line">
          <a:avLst/>
        </a:prstGeom>
        <a:ln xmlns:a="http://schemas.openxmlformats.org/drawingml/2006/main">
          <a:solidFill>
            <a:schemeClr val="tx1"/>
          </a:solidFill>
          <a:head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I palette">
    <a:dk1>
      <a:sysClr val="windowText" lastClr="000000"/>
    </a:dk1>
    <a:lt1>
      <a:sysClr val="window" lastClr="FFFFFF"/>
    </a:lt1>
    <a:dk2>
      <a:srgbClr val="BA0C2F"/>
    </a:dk2>
    <a:lt2>
      <a:srgbClr val="FFFFFF"/>
    </a:lt2>
    <a:accent1>
      <a:srgbClr val="EA7600"/>
    </a:accent1>
    <a:accent2>
      <a:srgbClr val="93328E"/>
    </a:accent2>
    <a:accent3>
      <a:srgbClr val="1B365D"/>
    </a:accent3>
    <a:accent4>
      <a:srgbClr val="0095C8"/>
    </a:accent4>
    <a:accent5>
      <a:srgbClr val="B7BF10"/>
    </a:accent5>
    <a:accent6>
      <a:srgbClr val="BA0C2F"/>
    </a:accent6>
    <a:hlink>
      <a:srgbClr val="BA0C2F"/>
    </a:hlink>
    <a:folHlink>
      <a:srgbClr val="B7BF1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I Theme">
    <a:dk1>
      <a:sysClr val="windowText" lastClr="000000"/>
    </a:dk1>
    <a:lt1>
      <a:sysClr val="window" lastClr="FFFFFF"/>
    </a:lt1>
    <a:dk2>
      <a:srgbClr val="0095C8"/>
    </a:dk2>
    <a:lt2>
      <a:srgbClr val="F8F8F8"/>
    </a:lt2>
    <a:accent1>
      <a:srgbClr val="BA0C2F"/>
    </a:accent1>
    <a:accent2>
      <a:srgbClr val="333333"/>
    </a:accent2>
    <a:accent3>
      <a:srgbClr val="B7BF10"/>
    </a:accent3>
    <a:accent4>
      <a:srgbClr val="EA7600"/>
    </a:accent4>
    <a:accent5>
      <a:srgbClr val="93328E"/>
    </a:accent5>
    <a:accent6>
      <a:srgbClr val="1B365D"/>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DI palette">
    <a:dk1>
      <a:sysClr val="windowText" lastClr="000000"/>
    </a:dk1>
    <a:lt1>
      <a:sysClr val="window" lastClr="FFFFFF"/>
    </a:lt1>
    <a:dk2>
      <a:srgbClr val="BA0C2F"/>
    </a:dk2>
    <a:lt2>
      <a:srgbClr val="FFFFFF"/>
    </a:lt2>
    <a:accent1>
      <a:srgbClr val="EA7600"/>
    </a:accent1>
    <a:accent2>
      <a:srgbClr val="93328E"/>
    </a:accent2>
    <a:accent3>
      <a:srgbClr val="1B365D"/>
    </a:accent3>
    <a:accent4>
      <a:srgbClr val="0095C8"/>
    </a:accent4>
    <a:accent5>
      <a:srgbClr val="B7BF10"/>
    </a:accent5>
    <a:accent6>
      <a:srgbClr val="BA0C2F"/>
    </a:accent6>
    <a:hlink>
      <a:srgbClr val="BA0C2F"/>
    </a:hlink>
    <a:folHlink>
      <a:srgbClr val="B7BF1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C2FC-43AE-4FD2-B116-67ED7B0C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2364</Words>
  <Characters>13479</Characters>
  <Application>Microsoft Office Word</Application>
  <DocSecurity>0</DocSecurity>
  <Lines>112</Lines>
  <Paragraphs>31</Paragraphs>
  <ScaleCrop>false</ScaleCrop>
  <Company>United Nations</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Ctpu1</cp:lastModifiedBy>
  <cp:revision>27</cp:revision>
  <cp:lastPrinted>2016-06-01T14:50:00Z</cp:lastPrinted>
  <dcterms:created xsi:type="dcterms:W3CDTF">2016-05-31T13:37:00Z</dcterms:created>
  <dcterms:modified xsi:type="dcterms:W3CDTF">2016-06-01T15:03:00Z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1607561</vt:lpwstr>
  </property>
  <property fmtid="{D5CDD505-2E9C-101B-9397-08002B2CF9AE}" pid="3" name="ODSRefJobNo">
    <vt:lpwstr>1613204C</vt:lpwstr>
  </property>
  <property fmtid="{D5CDD505-2E9C-101B-9397-08002B2CF9AE}" pid="4" name="Symbol1">
    <vt:lpwstr>E/2016/65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May 2016</vt:lpwstr>
  </property>
  <property fmtid="{D5CDD505-2E9C-101B-9397-08002B2CF9AE}" pid="9" name="Original">
    <vt:lpwstr>English</vt:lpwstr>
  </property>
  <property fmtid="{D5CDD505-2E9C-101B-9397-08002B2CF9AE}" pid="10" name="Release Date">
    <vt:lpwstr>310516</vt:lpwstr>
  </property>
  <property fmtid="{D5CDD505-2E9C-101B-9397-08002B2CF9AE}" pid="11" name="Comment">
    <vt:lpwstr/>
  </property>
  <property fmtid="{D5CDD505-2E9C-101B-9397-08002B2CF9AE}" pid="12" name="DraftPages">
    <vt:lpwstr> </vt:lpwstr>
  </property>
  <property fmtid="{D5CDD505-2E9C-101B-9397-08002B2CF9AE}" pid="13" name="Operator">
    <vt:lpwstr>sheng</vt:lpwstr>
  </property>
</Properties>
</file>