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C8C0" w14:textId="0E93C31B" w:rsidR="00BC64D3" w:rsidRPr="00CA22B5" w:rsidRDefault="00683ED9" w:rsidP="0003497D">
      <w:pPr>
        <w:jc w:val="both"/>
        <w:rPr>
          <w:b/>
          <w:bCs/>
        </w:rPr>
      </w:pPr>
      <w:r w:rsidRPr="00CA22B5">
        <w:rPr>
          <w:b/>
          <w:bCs/>
        </w:rPr>
        <w:t xml:space="preserve">Documento </w:t>
      </w:r>
      <w:r w:rsidR="004E18C1">
        <w:rPr>
          <w:b/>
          <w:bCs/>
        </w:rPr>
        <w:t xml:space="preserve">de </w:t>
      </w:r>
      <w:r w:rsidR="00640BD4">
        <w:rPr>
          <w:b/>
          <w:bCs/>
        </w:rPr>
        <w:t>la Fundación Financiera Privada ¨</w:t>
      </w:r>
      <w:r w:rsidR="004E18C1">
        <w:rPr>
          <w:b/>
          <w:bCs/>
        </w:rPr>
        <w:t xml:space="preserve">BBK </w:t>
      </w:r>
      <w:proofErr w:type="spellStart"/>
      <w:r w:rsidR="004E18C1">
        <w:rPr>
          <w:b/>
          <w:bCs/>
        </w:rPr>
        <w:t>Fundazioa</w:t>
      </w:r>
      <w:proofErr w:type="spellEnd"/>
      <w:r w:rsidR="00640BD4">
        <w:rPr>
          <w:b/>
          <w:bCs/>
        </w:rPr>
        <w:t>¨</w:t>
      </w:r>
      <w:r w:rsidR="004E18C1">
        <w:rPr>
          <w:b/>
          <w:bCs/>
        </w:rPr>
        <w:t xml:space="preserve"> </w:t>
      </w:r>
      <w:r w:rsidRPr="00CA22B5">
        <w:rPr>
          <w:b/>
          <w:bCs/>
        </w:rPr>
        <w:t xml:space="preserve">para proponer </w:t>
      </w:r>
      <w:r w:rsidR="00F43AA7" w:rsidRPr="00CA22B5">
        <w:rPr>
          <w:b/>
          <w:bCs/>
        </w:rPr>
        <w:t xml:space="preserve">al proceso abierto de petición de </w:t>
      </w:r>
      <w:r w:rsidR="00CA22B5" w:rsidRPr="00CA22B5">
        <w:rPr>
          <w:b/>
          <w:bCs/>
        </w:rPr>
        <w:t>propuestas</w:t>
      </w:r>
      <w:r w:rsidR="00F43AA7" w:rsidRPr="00CA22B5">
        <w:rPr>
          <w:b/>
          <w:bCs/>
        </w:rPr>
        <w:t xml:space="preserve"> de temáticas relevantes para alimentar </w:t>
      </w:r>
      <w:r w:rsidR="00CA22B5" w:rsidRPr="00CA22B5">
        <w:rPr>
          <w:b/>
          <w:bCs/>
        </w:rPr>
        <w:t>¨</w:t>
      </w:r>
      <w:proofErr w:type="spellStart"/>
      <w:r w:rsidR="00CA22B5" w:rsidRPr="00CA22B5">
        <w:rPr>
          <w:b/>
          <w:bCs/>
        </w:rPr>
        <w:t>El</w:t>
      </w:r>
      <w:r w:rsidR="00F43AA7" w:rsidRPr="00CA22B5">
        <w:rPr>
          <w:b/>
          <w:bCs/>
        </w:rPr>
        <w:t>ements</w:t>
      </w:r>
      <w:proofErr w:type="spellEnd"/>
      <w:r w:rsidR="00F43AA7" w:rsidRPr="00CA22B5">
        <w:rPr>
          <w:b/>
          <w:bCs/>
        </w:rPr>
        <w:t xml:space="preserve"> </w:t>
      </w:r>
      <w:proofErr w:type="spellStart"/>
      <w:r w:rsidR="00F43AA7" w:rsidRPr="00CA22B5">
        <w:rPr>
          <w:b/>
          <w:bCs/>
        </w:rPr>
        <w:t>Paper¨que</w:t>
      </w:r>
      <w:proofErr w:type="spellEnd"/>
      <w:r w:rsidR="00F43AA7" w:rsidRPr="00CA22B5">
        <w:rPr>
          <w:b/>
          <w:bCs/>
        </w:rPr>
        <w:t xml:space="preserve"> a su vez se cons</w:t>
      </w:r>
      <w:r w:rsidR="00CA22B5" w:rsidRPr="00CA22B5">
        <w:rPr>
          <w:b/>
          <w:bCs/>
        </w:rPr>
        <w:t>i</w:t>
      </w:r>
      <w:r w:rsidR="00F43AA7" w:rsidRPr="00CA22B5">
        <w:rPr>
          <w:b/>
          <w:bCs/>
        </w:rPr>
        <w:t>derará a la hora de estructurar las temáticas a debatir en la IV Conferencia Internacional sobre Financiación para el Desarrollo que se celebrará en Sevilla en julio de 2025.</w:t>
      </w:r>
    </w:p>
    <w:p w14:paraId="135739D1" w14:textId="77777777" w:rsidR="006A4E16" w:rsidRDefault="006A4E16" w:rsidP="0003497D">
      <w:pPr>
        <w:jc w:val="both"/>
      </w:pPr>
    </w:p>
    <w:p w14:paraId="3F7C973B" w14:textId="60BD9272" w:rsidR="00306284" w:rsidRPr="00497CDD" w:rsidRDefault="00306284" w:rsidP="0003497D">
      <w:pPr>
        <w:jc w:val="both"/>
        <w:rPr>
          <w:i/>
          <w:iCs/>
        </w:rPr>
      </w:pPr>
      <w:r w:rsidRPr="00497CDD">
        <w:rPr>
          <w:i/>
          <w:iCs/>
        </w:rPr>
        <w:t>La propuesta que enviamos a continuación</w:t>
      </w:r>
      <w:r w:rsidR="00C05543" w:rsidRPr="00497CDD">
        <w:rPr>
          <w:i/>
          <w:iCs/>
        </w:rPr>
        <w:t xml:space="preserve"> se podría incluir, tal como solicitan los términos de referencia del proceso de </w:t>
      </w:r>
      <w:proofErr w:type="spellStart"/>
      <w:r w:rsidR="00C05543" w:rsidRPr="00497CDD">
        <w:rPr>
          <w:i/>
          <w:iCs/>
        </w:rPr>
        <w:t>Call</w:t>
      </w:r>
      <w:proofErr w:type="spellEnd"/>
      <w:r w:rsidR="00C05543" w:rsidRPr="00497CDD">
        <w:rPr>
          <w:i/>
          <w:iCs/>
        </w:rPr>
        <w:t xml:space="preserve"> </w:t>
      </w:r>
      <w:proofErr w:type="spellStart"/>
      <w:r w:rsidR="00C05543" w:rsidRPr="00497CDD">
        <w:rPr>
          <w:i/>
          <w:iCs/>
        </w:rPr>
        <w:t>for</w:t>
      </w:r>
      <w:proofErr w:type="spellEnd"/>
      <w:r w:rsidR="00C05543" w:rsidRPr="00497CDD">
        <w:rPr>
          <w:i/>
          <w:iCs/>
        </w:rPr>
        <w:t xml:space="preserve"> Inputs de cara a estructurar la contribución en torno a los </w:t>
      </w:r>
      <w:proofErr w:type="spellStart"/>
      <w:r w:rsidR="00C05543" w:rsidRPr="00497CDD">
        <w:rPr>
          <w:i/>
          <w:iCs/>
        </w:rPr>
        <w:t>topics</w:t>
      </w:r>
      <w:proofErr w:type="spellEnd"/>
      <w:r w:rsidR="00C05543" w:rsidRPr="00497CDD">
        <w:rPr>
          <w:i/>
          <w:iCs/>
        </w:rPr>
        <w:t xml:space="preserve"> de la Agenda de Acción de Addis Abeba, </w:t>
      </w:r>
      <w:r w:rsidR="00C63A4F" w:rsidRPr="00497CDD">
        <w:rPr>
          <w:i/>
          <w:iCs/>
        </w:rPr>
        <w:t>en el siguiente epígrafe:</w:t>
      </w:r>
    </w:p>
    <w:p w14:paraId="3FF4EE8F" w14:textId="2BBB369B" w:rsidR="00C63A4F" w:rsidRPr="00497CDD" w:rsidRDefault="00C63A4F" w:rsidP="00497CDD">
      <w:pPr>
        <w:pStyle w:val="Prrafodelista"/>
        <w:numPr>
          <w:ilvl w:val="0"/>
          <w:numId w:val="8"/>
        </w:numPr>
        <w:jc w:val="both"/>
        <w:rPr>
          <w:b/>
          <w:bCs/>
        </w:rPr>
      </w:pPr>
      <w:proofErr w:type="gramStart"/>
      <w:r w:rsidRPr="00497CDD">
        <w:rPr>
          <w:b/>
          <w:bCs/>
        </w:rPr>
        <w:t>En relación al</w:t>
      </w:r>
      <w:proofErr w:type="gramEnd"/>
      <w:r w:rsidRPr="00497CDD">
        <w:rPr>
          <w:b/>
          <w:bCs/>
        </w:rPr>
        <w:t xml:space="preserve"> papel de</w:t>
      </w:r>
      <w:r w:rsidR="00C23DBB" w:rsidRPr="00497CDD">
        <w:rPr>
          <w:b/>
          <w:bCs/>
        </w:rPr>
        <w:t>l sector privado financiero y de negocios, tanto doméstico como internacional</w:t>
      </w:r>
    </w:p>
    <w:p w14:paraId="0CA8410C" w14:textId="77777777" w:rsidR="00306284" w:rsidRDefault="00306284" w:rsidP="0003497D">
      <w:pPr>
        <w:jc w:val="both"/>
      </w:pPr>
    </w:p>
    <w:p w14:paraId="205D3361" w14:textId="55166F85" w:rsidR="0003497D" w:rsidRPr="001F4FD6" w:rsidRDefault="001F4FD6">
      <w:pPr>
        <w:rPr>
          <w:b/>
          <w:bCs/>
        </w:rPr>
      </w:pPr>
      <w:r w:rsidRPr="001F4FD6">
        <w:rPr>
          <w:b/>
          <w:bCs/>
        </w:rPr>
        <w:t>¿</w:t>
      </w:r>
      <w:r w:rsidR="00110953" w:rsidRPr="001F4FD6">
        <w:rPr>
          <w:b/>
          <w:bCs/>
        </w:rPr>
        <w:t xml:space="preserve">Cómo puede la Conferencia fortalecer el proceso de seguimiento </w:t>
      </w:r>
      <w:r w:rsidRPr="001F4FD6">
        <w:rPr>
          <w:b/>
          <w:bCs/>
        </w:rPr>
        <w:t>para asegurar una adecuada rendición de cuentas y una plena implementación de los comp</w:t>
      </w:r>
      <w:r w:rsidR="001C2D05">
        <w:rPr>
          <w:b/>
          <w:bCs/>
        </w:rPr>
        <w:t>r</w:t>
      </w:r>
      <w:r w:rsidRPr="001F4FD6">
        <w:rPr>
          <w:b/>
          <w:bCs/>
        </w:rPr>
        <w:t>omisos asumidos?</w:t>
      </w:r>
    </w:p>
    <w:p w14:paraId="3598597B" w14:textId="6431BD60" w:rsidR="00952F31" w:rsidRPr="006A4E16" w:rsidRDefault="004F20BA" w:rsidP="00AF3139">
      <w:pPr>
        <w:jc w:val="both"/>
      </w:pPr>
      <w:r>
        <w:t>D</w:t>
      </w:r>
      <w:r w:rsidR="00AF3139">
        <w:t>e</w:t>
      </w:r>
      <w:r>
        <w:t xml:space="preserve"> cara a la </w:t>
      </w:r>
      <w:r w:rsidR="00AF3139">
        <w:t xml:space="preserve">plena </w:t>
      </w:r>
      <w:r>
        <w:t xml:space="preserve">implementación total de los Acuerdos </w:t>
      </w:r>
      <w:r w:rsidR="00AF3139" w:rsidRPr="006A4E16">
        <w:t xml:space="preserve">hechos en la III Conferencia de </w:t>
      </w:r>
      <w:r w:rsidR="001C2D05" w:rsidRPr="006A4E16">
        <w:t>Financiación</w:t>
      </w:r>
      <w:r w:rsidR="00AF3139" w:rsidRPr="006A4E16">
        <w:t xml:space="preserve"> para el Desarrollo recogidos en la Agenda de Acción de Addis Abeba</w:t>
      </w:r>
      <w:r w:rsidR="00AF3139">
        <w:t xml:space="preserve"> se ha avanzado </w:t>
      </w:r>
      <w:r w:rsidR="00587066">
        <w:t>en un proceso de reforma d</w:t>
      </w:r>
      <w:r w:rsidR="00952F31" w:rsidRPr="006A4E16">
        <w:t>e</w:t>
      </w:r>
      <w:r w:rsidR="00F9342F">
        <w:t xml:space="preserve"> </w:t>
      </w:r>
      <w:r w:rsidR="00952F31" w:rsidRPr="006A4E16">
        <w:t>l</w:t>
      </w:r>
      <w:r w:rsidR="00F9342F">
        <w:t>as Instituciones del</w:t>
      </w:r>
      <w:r w:rsidR="00952F31" w:rsidRPr="006A4E16">
        <w:t xml:space="preserve"> Sistema Financiero internacional</w:t>
      </w:r>
      <w:r w:rsidR="00587066">
        <w:t>,</w:t>
      </w:r>
      <w:r w:rsidR="00952F31" w:rsidRPr="006A4E16">
        <w:t xml:space="preserve"> </w:t>
      </w:r>
      <w:r w:rsidR="00BA444F" w:rsidRPr="006A4E16">
        <w:t xml:space="preserve">tanto en sus estructuras </w:t>
      </w:r>
      <w:r w:rsidR="00657409" w:rsidRPr="006A4E16">
        <w:t xml:space="preserve">de gobierno </w:t>
      </w:r>
      <w:r w:rsidR="00BA444F" w:rsidRPr="006A4E16">
        <w:t>institucionales, como en sus marcos operativ</w:t>
      </w:r>
      <w:r w:rsidR="00F9342F">
        <w:t>o</w:t>
      </w:r>
      <w:r w:rsidR="00BA444F" w:rsidRPr="006A4E16">
        <w:t>s,</w:t>
      </w:r>
      <w:r w:rsidR="00952F31" w:rsidRPr="006A4E16">
        <w:t xml:space="preserve"> </w:t>
      </w:r>
      <w:r w:rsidR="00BA444F" w:rsidRPr="006A4E16">
        <w:t xml:space="preserve">buscando </w:t>
      </w:r>
      <w:r w:rsidR="00952F31" w:rsidRPr="006A4E16">
        <w:t>moviliza</w:t>
      </w:r>
      <w:r w:rsidR="00BA444F" w:rsidRPr="006A4E16">
        <w:t>r</w:t>
      </w:r>
      <w:r w:rsidR="00952F31" w:rsidRPr="006A4E16">
        <w:t xml:space="preserve"> recursos </w:t>
      </w:r>
      <w:r w:rsidR="00C42100">
        <w:t xml:space="preserve">de manera masiva </w:t>
      </w:r>
      <w:r w:rsidR="00952F31" w:rsidRPr="006A4E16">
        <w:t>para una transición justa hacia un modelo de desarrollo económico que integre la dimensión social y medioambiental en el concepto de riqueza, que d</w:t>
      </w:r>
      <w:r w:rsidR="0094126C" w:rsidRPr="006A4E16">
        <w:t>é</w:t>
      </w:r>
      <w:r w:rsidR="00952F31" w:rsidRPr="006A4E16">
        <w:t xml:space="preserve"> respuesta a los Objetivos de Desarrollo Sostenible </w:t>
      </w:r>
      <w:r w:rsidR="00126F5D">
        <w:t xml:space="preserve">y </w:t>
      </w:r>
      <w:proofErr w:type="gramStart"/>
      <w:r w:rsidR="00126F5D">
        <w:t>que ,</w:t>
      </w:r>
      <w:proofErr w:type="gramEnd"/>
      <w:r w:rsidR="00126F5D">
        <w:t xml:space="preserve"> de esta manera, </w:t>
      </w:r>
      <w:r w:rsidR="00952F31" w:rsidRPr="006A4E16">
        <w:t>gener</w:t>
      </w:r>
      <w:r w:rsidR="00126F5D">
        <w:t>e</w:t>
      </w:r>
      <w:r w:rsidR="00952F31" w:rsidRPr="006A4E16">
        <w:t xml:space="preserve"> estabilidad, predictibilidad y viabilidad en el sistema económico financiero de medio y largo plazo.</w:t>
      </w:r>
    </w:p>
    <w:p w14:paraId="43EF08C9" w14:textId="66D60047" w:rsidR="00D04F3D" w:rsidRPr="006A4E16" w:rsidRDefault="00BA47BB" w:rsidP="004D130D">
      <w:pPr>
        <w:jc w:val="both"/>
      </w:pPr>
      <w:r w:rsidRPr="006A4E16">
        <w:t>U</w:t>
      </w:r>
      <w:r w:rsidR="008229B6" w:rsidRPr="006A4E16">
        <w:t xml:space="preserve">no de los </w:t>
      </w:r>
      <w:r w:rsidRPr="006A4E16">
        <w:t xml:space="preserve">grandes </w:t>
      </w:r>
      <w:r w:rsidR="008229B6" w:rsidRPr="006A4E16">
        <w:t xml:space="preserve">desafíos </w:t>
      </w:r>
      <w:r w:rsidRPr="006A4E16">
        <w:t xml:space="preserve">pendientes </w:t>
      </w:r>
      <w:r w:rsidR="008229B6" w:rsidRPr="006A4E16">
        <w:t xml:space="preserve">para </w:t>
      </w:r>
      <w:r w:rsidR="000F0E79" w:rsidRPr="006A4E16">
        <w:t xml:space="preserve">asegurar la plena implementación de los compromisos </w:t>
      </w:r>
      <w:r w:rsidR="00AF3139">
        <w:t xml:space="preserve">de la Agenda de Financiación para el Desarrollo </w:t>
      </w:r>
      <w:r w:rsidR="000E2734" w:rsidRPr="006A4E16">
        <w:t xml:space="preserve">es </w:t>
      </w:r>
      <w:r w:rsidR="00D04F3D" w:rsidRPr="006A4E16">
        <w:t>el</w:t>
      </w:r>
      <w:r w:rsidR="00317F24" w:rsidRPr="006A4E16">
        <w:t xml:space="preserve"> de</w:t>
      </w:r>
      <w:r w:rsidR="00D04F3D" w:rsidRPr="006A4E16">
        <w:t xml:space="preserve"> abordar los </w:t>
      </w:r>
      <w:r w:rsidR="006C7DBD" w:rsidRPr="006A4E16">
        <w:t>¨</w:t>
      </w:r>
      <w:proofErr w:type="spellStart"/>
      <w:r w:rsidR="00D04F3D" w:rsidRPr="006A4E16">
        <w:t>path</w:t>
      </w:r>
      <w:r w:rsidR="006C7DBD" w:rsidRPr="006A4E16">
        <w:t>way</w:t>
      </w:r>
      <w:r w:rsidR="00D04F3D" w:rsidRPr="006A4E16">
        <w:t>s</w:t>
      </w:r>
      <w:proofErr w:type="spellEnd"/>
      <w:r w:rsidR="006C7DBD" w:rsidRPr="006A4E16">
        <w:t>¨</w:t>
      </w:r>
      <w:r w:rsidR="00D04F3D" w:rsidRPr="006A4E16">
        <w:t xml:space="preserve"> </w:t>
      </w:r>
      <w:r w:rsidR="006C7DBD" w:rsidRPr="006A4E16">
        <w:t>y ¨</w:t>
      </w:r>
      <w:r w:rsidR="00D04F3D" w:rsidRPr="006A4E16">
        <w:t>drivers</w:t>
      </w:r>
      <w:r w:rsidR="006C7DBD" w:rsidRPr="006A4E16">
        <w:t>¨</w:t>
      </w:r>
      <w:r w:rsidR="00D04F3D" w:rsidRPr="006A4E16">
        <w:t xml:space="preserve"> que permitan </w:t>
      </w:r>
      <w:r w:rsidR="001C2D05">
        <w:t>¨</w:t>
      </w:r>
      <w:proofErr w:type="spellStart"/>
      <w:r w:rsidR="00D04F3D" w:rsidRPr="006A4E16">
        <w:t>capilarizar</w:t>
      </w:r>
      <w:proofErr w:type="spellEnd"/>
      <w:r w:rsidR="001C2D05">
        <w:t>¨</w:t>
      </w:r>
      <w:r w:rsidR="00D04F3D" w:rsidRPr="006A4E16">
        <w:t xml:space="preserve"> la financiación hacia </w:t>
      </w:r>
      <w:r w:rsidR="00577DEC" w:rsidRPr="006A4E16">
        <w:t xml:space="preserve">el nivel local y a </w:t>
      </w:r>
      <w:r w:rsidR="00D04F3D" w:rsidRPr="006A4E16">
        <w:t>los impactos transformadores en el desarrollo sostenible de cada territorio.</w:t>
      </w:r>
    </w:p>
    <w:p w14:paraId="4BD7FAE6" w14:textId="4430E129" w:rsidR="008229B6" w:rsidRDefault="008229B6" w:rsidP="00090380">
      <w:pPr>
        <w:ind w:left="720"/>
        <w:jc w:val="both"/>
        <w:rPr>
          <w:b/>
          <w:bCs/>
        </w:rPr>
      </w:pPr>
    </w:p>
    <w:p w14:paraId="776D4260" w14:textId="77777777" w:rsidR="00952F31" w:rsidRDefault="00952F31" w:rsidP="00090380">
      <w:pPr>
        <w:jc w:val="both"/>
      </w:pPr>
    </w:p>
    <w:p w14:paraId="6D481DAC" w14:textId="70C0CEB1" w:rsidR="00E65852" w:rsidRPr="00E65852" w:rsidRDefault="00577DEC" w:rsidP="00090380">
      <w:pPr>
        <w:numPr>
          <w:ilvl w:val="0"/>
          <w:numId w:val="1"/>
        </w:numPr>
        <w:jc w:val="both"/>
      </w:pPr>
      <w:r>
        <w:rPr>
          <w:b/>
          <w:bCs/>
        </w:rPr>
        <w:t>Por tanto, p</w:t>
      </w:r>
      <w:r w:rsidR="00E65852">
        <w:rPr>
          <w:b/>
          <w:bCs/>
        </w:rPr>
        <w:t>roponemos</w:t>
      </w:r>
      <w:r>
        <w:rPr>
          <w:b/>
          <w:bCs/>
        </w:rPr>
        <w:t xml:space="preserve"> en primer lugar</w:t>
      </w:r>
      <w:r w:rsidR="00E65852">
        <w:rPr>
          <w:b/>
          <w:bCs/>
        </w:rPr>
        <w:t xml:space="preserve"> la integración de </w:t>
      </w:r>
      <w:r w:rsidR="0003497D" w:rsidRPr="0003497D">
        <w:rPr>
          <w:b/>
          <w:bCs/>
        </w:rPr>
        <w:t xml:space="preserve">la dimensión local y territorial en </w:t>
      </w:r>
      <w:r w:rsidR="00E65852">
        <w:rPr>
          <w:b/>
          <w:bCs/>
        </w:rPr>
        <w:t>el</w:t>
      </w:r>
      <w:r w:rsidR="00F76770">
        <w:rPr>
          <w:b/>
          <w:bCs/>
        </w:rPr>
        <w:t xml:space="preserve"> debate sobre el</w:t>
      </w:r>
      <w:r w:rsidR="00E65852">
        <w:rPr>
          <w:b/>
          <w:bCs/>
        </w:rPr>
        <w:t xml:space="preserve"> diseño de reformas de políticas, planes y proyectos de financiación pública y privada que se han de valorar en la definición de la nueva </w:t>
      </w:r>
      <w:r w:rsidR="0003497D" w:rsidRPr="0003497D">
        <w:rPr>
          <w:b/>
          <w:bCs/>
        </w:rPr>
        <w:t>Agenda de Financiación para el Desarrollo</w:t>
      </w:r>
      <w:r w:rsidR="00E65852">
        <w:rPr>
          <w:b/>
          <w:bCs/>
        </w:rPr>
        <w:t>.</w:t>
      </w:r>
      <w:r w:rsidR="0003497D" w:rsidRPr="0003497D">
        <w:rPr>
          <w:b/>
          <w:bCs/>
        </w:rPr>
        <w:t xml:space="preserve"> </w:t>
      </w:r>
    </w:p>
    <w:p w14:paraId="3141C431" w14:textId="676C4D04" w:rsidR="00E65852" w:rsidRPr="00E65852" w:rsidRDefault="00387E95" w:rsidP="00090380">
      <w:pPr>
        <w:ind w:left="720"/>
        <w:jc w:val="both"/>
      </w:pPr>
      <w:r>
        <w:t>Consideramos significativo que l</w:t>
      </w:r>
      <w:r w:rsidR="00E65852" w:rsidRPr="00E65852">
        <w:t xml:space="preserve">as propias directrices con las que se orienta la elaboración de las propuestas a integrar en el </w:t>
      </w:r>
      <w:proofErr w:type="spellStart"/>
      <w:r w:rsidR="00E65852" w:rsidRPr="00E65852">
        <w:t>Elements</w:t>
      </w:r>
      <w:proofErr w:type="spellEnd"/>
      <w:r w:rsidR="00E65852" w:rsidRPr="00E65852">
        <w:t xml:space="preserve"> </w:t>
      </w:r>
      <w:proofErr w:type="spellStart"/>
      <w:r w:rsidR="00E65852" w:rsidRPr="00E65852">
        <w:t>Paper</w:t>
      </w:r>
      <w:proofErr w:type="spellEnd"/>
      <w:r w:rsidR="00E65852" w:rsidRPr="00E65852">
        <w:t xml:space="preserve"> recomienda tener en cuenta la dimensión nacional, regional y </w:t>
      </w:r>
      <w:proofErr w:type="gramStart"/>
      <w:r w:rsidR="00E65852" w:rsidRPr="00E65852">
        <w:t>global ,</w:t>
      </w:r>
      <w:proofErr w:type="gramEnd"/>
      <w:r w:rsidR="00E65852" w:rsidRPr="00E65852">
        <w:t xml:space="preserve"> pero vuelve a excluir la dimensión local</w:t>
      </w:r>
      <w:r w:rsidR="00E65852">
        <w:t xml:space="preserve">, que consideramos crítica para que </w:t>
      </w:r>
      <w:r w:rsidR="005027B3">
        <w:t>asegurar</w:t>
      </w:r>
      <w:r w:rsidR="00E65852">
        <w:t xml:space="preserve"> que el impacto transformador de la Agenda de Desarrollo sostenible </w:t>
      </w:r>
      <w:r w:rsidR="005027B3">
        <w:t>que ponga a las personas en el centro sin dejar a nadie atrás.</w:t>
      </w:r>
    </w:p>
    <w:p w14:paraId="28522236" w14:textId="7B029BE6" w:rsidR="00E65852" w:rsidRDefault="00E65852" w:rsidP="00090380">
      <w:pPr>
        <w:ind w:left="720"/>
        <w:jc w:val="both"/>
      </w:pPr>
      <w:r w:rsidRPr="00E65852">
        <w:lastRenderedPageBreak/>
        <w:t>Entendemos que el nivel local</w:t>
      </w:r>
      <w:r w:rsidR="005027B3">
        <w:t xml:space="preserve"> debe ser entendido desde el concepto de </w:t>
      </w:r>
      <w:r w:rsidRPr="00E65852">
        <w:t>territorio</w:t>
      </w:r>
      <w:r w:rsidR="003F27C2">
        <w:t xml:space="preserve"> como el espacio complejo, histórico, dinámico, cultural donde se cultivan las relaciones personales y entre diversos actores públicos y privados</w:t>
      </w:r>
      <w:r w:rsidRPr="00E65852">
        <w:t xml:space="preserve"> </w:t>
      </w:r>
      <w:r w:rsidR="003F27C2">
        <w:t>de las que se derivan los impactos sociales, medioambientales</w:t>
      </w:r>
      <w:r w:rsidR="00C15DD1">
        <w:t xml:space="preserve"> y</w:t>
      </w:r>
      <w:r w:rsidR="003F27C2">
        <w:t xml:space="preserve"> las capacidades para que las personas puedan hacer un libre ejercicio de sus derechos y sus estrategias de vida</w:t>
      </w:r>
      <w:r w:rsidR="00575CF4">
        <w:t>; es en el territorio,</w:t>
      </w:r>
      <w:r w:rsidR="003F27C2">
        <w:t xml:space="preserve"> por tanto, donde se generan las condiciones de confianza necesarias sobre las que construir un contrato social robusto y un desarrollo humano sostenible estable y de largo plazo.</w:t>
      </w:r>
    </w:p>
    <w:p w14:paraId="722EFF02" w14:textId="2031B87F" w:rsidR="00C21AB1" w:rsidRDefault="003F27C2" w:rsidP="00090380">
      <w:pPr>
        <w:ind w:left="720"/>
        <w:jc w:val="both"/>
      </w:pPr>
      <w:r>
        <w:t xml:space="preserve">Es en la cotidiana realidad social, económica, </w:t>
      </w:r>
      <w:proofErr w:type="gramStart"/>
      <w:r>
        <w:t>medioambiental ,</w:t>
      </w:r>
      <w:proofErr w:type="gramEnd"/>
      <w:r>
        <w:t xml:space="preserve"> cultural y humana del territorio donde las decisiones que se toman a niveles globales, regionales o nacionales</w:t>
      </w:r>
      <w:r w:rsidR="00C21AB1">
        <w:t>, tanto financieras como de otro tipo,</w:t>
      </w:r>
      <w:r>
        <w:t xml:space="preserve"> aterriza</w:t>
      </w:r>
      <w:r w:rsidR="00C21AB1">
        <w:t>n</w:t>
      </w:r>
      <w:r>
        <w:t xml:space="preserve"> </w:t>
      </w:r>
      <w:r w:rsidR="00C21AB1">
        <w:t>y generan un</w:t>
      </w:r>
      <w:r>
        <w:t xml:space="preserve"> impact</w:t>
      </w:r>
      <w:r w:rsidR="00C21AB1">
        <w:t xml:space="preserve">o, que debemos asegurar de que es un impacto positivo que contribuye al desarrollo sostenible son dejar a nadie atrás. </w:t>
      </w:r>
    </w:p>
    <w:p w14:paraId="45568FFD" w14:textId="5AAAB043" w:rsidR="003F27C2" w:rsidRDefault="00C21AB1" w:rsidP="00090380">
      <w:pPr>
        <w:ind w:left="720"/>
        <w:jc w:val="both"/>
      </w:pPr>
      <w:r>
        <w:t xml:space="preserve">Es desde el territorio desde donde, por tanto, debemos garantizar que generamos las condiciones de confianza y estabilidad sobre las que proponer </w:t>
      </w:r>
      <w:proofErr w:type="gramStart"/>
      <w:r>
        <w:t>estrategias,  planes</w:t>
      </w:r>
      <w:proofErr w:type="gramEnd"/>
      <w:r>
        <w:t xml:space="preserve"> y proyectos de desarrollo sostenible de largo plazo viables y predecibles que permitan atraer la financiación y generar impactos transformadores positivos sobre la realidad del territorio y de las personas.</w:t>
      </w:r>
    </w:p>
    <w:p w14:paraId="5C9275FC" w14:textId="2EE7B77E" w:rsidR="00C21AB1" w:rsidRDefault="00C21AB1" w:rsidP="00090380">
      <w:pPr>
        <w:ind w:left="720"/>
        <w:jc w:val="both"/>
      </w:pPr>
      <w:r>
        <w:t xml:space="preserve">El concepto de </w:t>
      </w:r>
      <w:r w:rsidR="001C2D05">
        <w:t>¨</w:t>
      </w:r>
      <w:proofErr w:type="spellStart"/>
      <w:r>
        <w:t>trickle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economics</w:t>
      </w:r>
      <w:proofErr w:type="spellEnd"/>
      <w:r w:rsidR="001C2D05">
        <w:t>¨</w:t>
      </w:r>
      <w:r>
        <w:t xml:space="preserve"> debe ser superado definitivamente para abordar los </w:t>
      </w:r>
      <w:proofErr w:type="spellStart"/>
      <w:r>
        <w:t>path</w:t>
      </w:r>
      <w:r w:rsidR="001B48D5">
        <w:t>ways</w:t>
      </w:r>
      <w:proofErr w:type="spellEnd"/>
      <w:r>
        <w:t xml:space="preserve"> </w:t>
      </w:r>
      <w:r w:rsidR="001B48D5">
        <w:t>y</w:t>
      </w:r>
      <w:r>
        <w:t xml:space="preserve"> drivers que permitan </w:t>
      </w:r>
      <w:proofErr w:type="spellStart"/>
      <w:r>
        <w:t>capilarizar</w:t>
      </w:r>
      <w:proofErr w:type="spellEnd"/>
      <w:r>
        <w:t xml:space="preserve"> la financiación hacia los impactos transformadores en el desarrollo sostenible de cada territorio.</w:t>
      </w:r>
    </w:p>
    <w:p w14:paraId="35DD500C" w14:textId="116EAB3F" w:rsidR="001A6F87" w:rsidRDefault="001A6F87" w:rsidP="001A6F87">
      <w:pPr>
        <w:ind w:left="720"/>
        <w:jc w:val="both"/>
      </w:pPr>
      <w:r>
        <w:t xml:space="preserve">La Agenda de Financiación para el </w:t>
      </w:r>
      <w:proofErr w:type="gramStart"/>
      <w:r>
        <w:t>Desarrollo ,</w:t>
      </w:r>
      <w:proofErr w:type="gramEnd"/>
      <w:r>
        <w:t xml:space="preserve"> por tanto, al igual que los Objetivos de desarrollo sostenible deben contextualizarse en cada realidad territorial, para asegurar impactos realmente transformadores y generar la</w:t>
      </w:r>
      <w:r w:rsidR="00C405E5">
        <w:t xml:space="preserve"> necesaria e imprescindible</w:t>
      </w:r>
      <w:r>
        <w:t xml:space="preserve"> coherencia </w:t>
      </w:r>
      <w:r w:rsidR="00C405E5">
        <w:t xml:space="preserve">multinivel </w:t>
      </w:r>
      <w:r>
        <w:t>con los niveles nacionales, regionales y globales para asegurar escalas transformadoras exponenciales.</w:t>
      </w:r>
    </w:p>
    <w:p w14:paraId="0654A4F8" w14:textId="77777777" w:rsidR="001A6F87" w:rsidRDefault="001A6F87" w:rsidP="001A6F87">
      <w:pPr>
        <w:ind w:left="720"/>
        <w:jc w:val="both"/>
      </w:pPr>
      <w:r>
        <w:t>Será por tanto indispensable conectar de manera indisociable el proceso de Financiación para el desarrollo sostenible del proceso de Localización de los ODS, y dar un papel relevante a la Coalición Local 2030 en este propósito.</w:t>
      </w:r>
    </w:p>
    <w:p w14:paraId="144F00C5" w14:textId="77777777" w:rsidR="001A6F87" w:rsidRDefault="001A6F87" w:rsidP="00654142">
      <w:pPr>
        <w:ind w:left="720"/>
        <w:jc w:val="both"/>
      </w:pPr>
    </w:p>
    <w:p w14:paraId="25ED98C0" w14:textId="77777777" w:rsidR="001A6F87" w:rsidRDefault="001A6F87" w:rsidP="00654142">
      <w:pPr>
        <w:ind w:left="720"/>
        <w:jc w:val="both"/>
      </w:pPr>
    </w:p>
    <w:p w14:paraId="3CEBCCB2" w14:textId="4042E737" w:rsidR="001A6F87" w:rsidRPr="009729BA" w:rsidRDefault="003E2D18" w:rsidP="001A6F87">
      <w:pPr>
        <w:pStyle w:val="Prrafodelista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El papel de las Fundaciones Financieras para fortalecer los </w:t>
      </w:r>
      <w:proofErr w:type="spellStart"/>
      <w:r w:rsidR="001A6F87" w:rsidRPr="009729BA">
        <w:rPr>
          <w:b/>
          <w:bCs/>
        </w:rPr>
        <w:t>Pathways</w:t>
      </w:r>
      <w:proofErr w:type="spellEnd"/>
      <w:r w:rsidR="001A6F87" w:rsidRPr="009729BA">
        <w:rPr>
          <w:b/>
          <w:bCs/>
        </w:rPr>
        <w:t xml:space="preserve"> y drivers para la</w:t>
      </w:r>
      <w:r w:rsidR="00D37C27">
        <w:rPr>
          <w:b/>
          <w:bCs/>
        </w:rPr>
        <w:t xml:space="preserve"> financiación </w:t>
      </w:r>
      <w:r w:rsidR="001A6F87" w:rsidRPr="009729BA">
        <w:rPr>
          <w:b/>
          <w:bCs/>
        </w:rPr>
        <w:t>de la agenda de desarrollo Sostenible</w:t>
      </w:r>
      <w:r w:rsidR="00D37C27">
        <w:rPr>
          <w:b/>
          <w:bCs/>
        </w:rPr>
        <w:t xml:space="preserve"> a nivel local y subnacional</w:t>
      </w:r>
      <w:r w:rsidR="001A6F87" w:rsidRPr="009729BA">
        <w:rPr>
          <w:b/>
          <w:bCs/>
        </w:rPr>
        <w:t>.</w:t>
      </w:r>
    </w:p>
    <w:p w14:paraId="324BA9A5" w14:textId="50CFA98E" w:rsidR="007032D0" w:rsidRDefault="008F195C" w:rsidP="007032D0">
      <w:pPr>
        <w:ind w:left="720"/>
        <w:jc w:val="both"/>
      </w:pPr>
      <w:r>
        <w:t>Según las Naciones Unidas el volumen de recursos qu</w:t>
      </w:r>
      <w:r w:rsidR="007A77E6">
        <w:t>e</w:t>
      </w:r>
      <w:r>
        <w:t xml:space="preserve"> </w:t>
      </w:r>
      <w:r w:rsidR="00A903F6">
        <w:t xml:space="preserve">el sector </w:t>
      </w:r>
      <w:r w:rsidR="007A77E6">
        <w:t xml:space="preserve"> </w:t>
      </w:r>
      <w:r w:rsidR="00A903F6">
        <w:t xml:space="preserve"> </w:t>
      </w:r>
      <w:r>
        <w:t>l</w:t>
      </w:r>
      <w:r w:rsidR="00006784">
        <w:t xml:space="preserve">as Fundaciones </w:t>
      </w:r>
      <w:r w:rsidR="00082822">
        <w:t>Filantrópicas</w:t>
      </w:r>
      <w:r w:rsidR="002268EC">
        <w:t>,</w:t>
      </w:r>
      <w:r w:rsidR="00082822">
        <w:t xml:space="preserve"> </w:t>
      </w:r>
      <w:r w:rsidR="007A77E6">
        <w:t>en sentido amplio</w:t>
      </w:r>
      <w:r w:rsidR="002268EC">
        <w:t>,</w:t>
      </w:r>
      <w:r w:rsidR="007A77E6">
        <w:t xml:space="preserve"> </w:t>
      </w:r>
      <w:r>
        <w:t xml:space="preserve">podrían aportar al avance de los ODS podría superar los </w:t>
      </w:r>
      <w:r w:rsidR="00082822">
        <w:t xml:space="preserve">651 millones de dólares en </w:t>
      </w:r>
      <w:r w:rsidR="00737694">
        <w:t xml:space="preserve">términos </w:t>
      </w:r>
      <w:r w:rsidR="00623A87">
        <w:t>concesionales</w:t>
      </w:r>
      <w:r w:rsidR="00EB1CCE">
        <w:rPr>
          <w:rStyle w:val="Refdenotaalpie"/>
        </w:rPr>
        <w:footnoteReference w:id="1"/>
      </w:r>
      <w:r w:rsidR="00737694">
        <w:t xml:space="preserve">, recursos que además podrían </w:t>
      </w:r>
      <w:r w:rsidR="00780ECC">
        <w:t xml:space="preserve">optimizar su impacto </w:t>
      </w:r>
      <w:r w:rsidR="00FA0670">
        <w:t>transformador</w:t>
      </w:r>
      <w:r w:rsidR="00780ECC">
        <w:t xml:space="preserve"> si se orientan con criterios </w:t>
      </w:r>
      <w:r w:rsidR="00326DC5">
        <w:t>estratégico</w:t>
      </w:r>
      <w:r w:rsidR="00780ECC">
        <w:t>s</w:t>
      </w:r>
      <w:r w:rsidR="00326DC5">
        <w:t xml:space="preserve"> y </w:t>
      </w:r>
      <w:r w:rsidR="00623A87">
        <w:t>catal</w:t>
      </w:r>
      <w:r w:rsidR="00326DC5">
        <w:t>í</w:t>
      </w:r>
      <w:r w:rsidR="00623A87">
        <w:t>tico</w:t>
      </w:r>
      <w:r w:rsidR="00780ECC">
        <w:t>s</w:t>
      </w:r>
      <w:r w:rsidR="00623A87">
        <w:t xml:space="preserve"> </w:t>
      </w:r>
      <w:r w:rsidR="00780ECC">
        <w:t>para</w:t>
      </w:r>
      <w:r w:rsidR="00623A87">
        <w:t xml:space="preserve"> el apalancamiento </w:t>
      </w:r>
      <w:r w:rsidR="00326DC5">
        <w:t xml:space="preserve">masivo </w:t>
      </w:r>
      <w:r w:rsidR="00623A87">
        <w:t xml:space="preserve">de recursos </w:t>
      </w:r>
      <w:r w:rsidR="00326DC5">
        <w:t xml:space="preserve">hacia la </w:t>
      </w:r>
      <w:r w:rsidR="00326DC5">
        <w:lastRenderedPageBreak/>
        <w:t>financiación para el desarrollo</w:t>
      </w:r>
      <w:r w:rsidR="001E6AD1">
        <w:t>;</w:t>
      </w:r>
      <w:r w:rsidR="007032D0">
        <w:t xml:space="preserve"> las Fundaciones en general , y aquellas de carácter Financiero </w:t>
      </w:r>
      <w:r w:rsidR="00DE7B85">
        <w:t xml:space="preserve">en particular, </w:t>
      </w:r>
      <w:r w:rsidR="007032D0">
        <w:t xml:space="preserve">tendrán </w:t>
      </w:r>
      <w:r w:rsidR="002268EC">
        <w:t xml:space="preserve">por tanto </w:t>
      </w:r>
      <w:r w:rsidR="00EB66BB">
        <w:t>una perspectiva privilegiada para jugar este papel de interface</w:t>
      </w:r>
      <w:r w:rsidR="00DE7B85">
        <w:t xml:space="preserve"> estratégico y catalítico</w:t>
      </w:r>
      <w:r w:rsidR="00EB66BB">
        <w:t>.</w:t>
      </w:r>
    </w:p>
    <w:p w14:paraId="0E5F59F3" w14:textId="28551E40" w:rsidR="00D235CA" w:rsidRDefault="00B10723" w:rsidP="00654142">
      <w:pPr>
        <w:ind w:left="720"/>
        <w:jc w:val="both"/>
      </w:pPr>
      <w:r>
        <w:t xml:space="preserve"> </w:t>
      </w:r>
      <w:r w:rsidR="00EB457A">
        <w:t xml:space="preserve">En coherencia con </w:t>
      </w:r>
      <w:r w:rsidR="001E6AD1">
        <w:t>el punto anterior</w:t>
      </w:r>
      <w:r w:rsidR="00A3762F">
        <w:t xml:space="preserve"> </w:t>
      </w:r>
      <w:r w:rsidR="00EB457A">
        <w:t xml:space="preserve">en el que hemos </w:t>
      </w:r>
      <w:r w:rsidR="004A3399">
        <w:t xml:space="preserve">señalado </w:t>
      </w:r>
      <w:r w:rsidR="00A3762F">
        <w:t xml:space="preserve">la importancia de identificar drivers y </w:t>
      </w:r>
      <w:proofErr w:type="spellStart"/>
      <w:r w:rsidR="00A3762F">
        <w:t>pathways</w:t>
      </w:r>
      <w:proofErr w:type="spellEnd"/>
      <w:r w:rsidR="00A3762F">
        <w:t xml:space="preserve"> para </w:t>
      </w:r>
      <w:proofErr w:type="spellStart"/>
      <w:r w:rsidR="00A3762F">
        <w:t>capilarizar</w:t>
      </w:r>
      <w:proofErr w:type="spellEnd"/>
      <w:r w:rsidR="00A3762F">
        <w:t xml:space="preserve"> la financiación para el desarrollo hacia el </w:t>
      </w:r>
      <w:r w:rsidR="00E25629">
        <w:t xml:space="preserve">territorio y el impacto local, proponemos a través de este documento que </w:t>
      </w:r>
      <w:r w:rsidR="004A3399">
        <w:t xml:space="preserve">se destaque </w:t>
      </w:r>
      <w:r w:rsidR="00C646FC">
        <w:t xml:space="preserve">en los debates de la Conferencia FfD4 </w:t>
      </w:r>
      <w:r w:rsidR="004A3399">
        <w:t xml:space="preserve">el papel crítico que las </w:t>
      </w:r>
      <w:r w:rsidR="001B15A8">
        <w:t xml:space="preserve"> Fundaciones Financieras puedan jugar </w:t>
      </w:r>
      <w:r w:rsidR="004A3399">
        <w:t xml:space="preserve">en la </w:t>
      </w:r>
      <w:r w:rsidR="00C4450C">
        <w:t>localización de recursos financieros para el desarrollo sostenible</w:t>
      </w:r>
      <w:r w:rsidR="00C646FC">
        <w:t xml:space="preserve"> y cómo </w:t>
      </w:r>
      <w:r w:rsidR="00010183">
        <w:t>dirigir estratégicamente este papel y recursos para un impacto c</w:t>
      </w:r>
      <w:r w:rsidR="00C92E62">
        <w:t xml:space="preserve">atalizador, complementando y generando adicionalidad a los recursos de la Cooperación Internacional </w:t>
      </w:r>
      <w:r w:rsidR="00073A98">
        <w:t>y la movilización de recursos domésticos</w:t>
      </w:r>
      <w:r w:rsidR="00A97FBB">
        <w:t xml:space="preserve"> para tal fin</w:t>
      </w:r>
      <w:r w:rsidR="00073A98">
        <w:t>.</w:t>
      </w:r>
    </w:p>
    <w:p w14:paraId="316912B7" w14:textId="0E3AC9A2" w:rsidR="007476AD" w:rsidRDefault="007E6A86" w:rsidP="007476AD">
      <w:pPr>
        <w:ind w:left="720"/>
        <w:jc w:val="both"/>
      </w:pPr>
      <w:r>
        <w:t>Algunos aspectos c</w:t>
      </w:r>
      <w:r w:rsidR="00B114B4">
        <w:t>ríticos</w:t>
      </w:r>
      <w:r>
        <w:t xml:space="preserve"> donde estos recursos podrían jugar este papel </w:t>
      </w:r>
      <w:r w:rsidR="00BF41CF">
        <w:t>estratégico</w:t>
      </w:r>
      <w:r>
        <w:t xml:space="preserve">, adicional y catalítico </w:t>
      </w:r>
      <w:r w:rsidR="004D292A">
        <w:t xml:space="preserve">para generar condiciones de financiación estable, predecible y de largo plazo </w:t>
      </w:r>
      <w:r w:rsidR="00356AE8">
        <w:t>en el contexto local son</w:t>
      </w:r>
      <w:r w:rsidR="005574E7">
        <w:t xml:space="preserve"> los siguientes</w:t>
      </w:r>
      <w:r w:rsidR="007476AD">
        <w:t>:</w:t>
      </w:r>
    </w:p>
    <w:p w14:paraId="5BC4DADD" w14:textId="1E0AD879" w:rsidR="00EA75E4" w:rsidRPr="00642018" w:rsidRDefault="00EA75E4" w:rsidP="00642018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642018">
        <w:rPr>
          <w:b/>
          <w:bCs/>
        </w:rPr>
        <w:t xml:space="preserve">Recursos orientados a la generación de capacidades para procesos de localización </w:t>
      </w:r>
      <w:proofErr w:type="gramStart"/>
      <w:r w:rsidRPr="00642018">
        <w:rPr>
          <w:b/>
          <w:bCs/>
        </w:rPr>
        <w:t>robustos</w:t>
      </w:r>
      <w:r w:rsidR="007513F1">
        <w:rPr>
          <w:b/>
          <w:bCs/>
        </w:rPr>
        <w:t>,</w:t>
      </w:r>
      <w:r w:rsidRPr="00642018">
        <w:rPr>
          <w:b/>
          <w:bCs/>
        </w:rPr>
        <w:t xml:space="preserve">  eficaces</w:t>
      </w:r>
      <w:proofErr w:type="gramEnd"/>
      <w:r w:rsidRPr="00642018">
        <w:rPr>
          <w:b/>
          <w:bCs/>
        </w:rPr>
        <w:t xml:space="preserve"> y con capacidad de impacto y atracción de financiación </w:t>
      </w:r>
      <w:r w:rsidR="00642018" w:rsidRPr="00642018">
        <w:rPr>
          <w:b/>
          <w:bCs/>
        </w:rPr>
        <w:t>para el desarrollo sostenible.</w:t>
      </w:r>
    </w:p>
    <w:p w14:paraId="78EA32E6" w14:textId="6EB37DE4" w:rsidR="00647794" w:rsidRDefault="007F1D67" w:rsidP="007476AD">
      <w:pPr>
        <w:ind w:left="708"/>
        <w:jc w:val="both"/>
      </w:pPr>
      <w:r>
        <w:t xml:space="preserve">Contribuir a </w:t>
      </w:r>
      <w:r w:rsidR="00356AE8">
        <w:t xml:space="preserve">que </w:t>
      </w:r>
      <w:r w:rsidR="00B12063">
        <w:t>el territorio tenga capacidad para movilizar</w:t>
      </w:r>
      <w:r>
        <w:t xml:space="preserve"> un dialogo, colaboración</w:t>
      </w:r>
      <w:r w:rsidR="00B12063">
        <w:t xml:space="preserve"> </w:t>
      </w:r>
      <w:r>
        <w:t>y alianza entre e</w:t>
      </w:r>
      <w:r w:rsidR="00B12063">
        <w:t xml:space="preserve">l conjunto de actores, </w:t>
      </w:r>
      <w:r w:rsidR="00DD38B7">
        <w:t xml:space="preserve">públicos y privados, para definir sus planes, proyectos y hojas de ruta de largo plazo para transitar hacia el </w:t>
      </w:r>
      <w:r w:rsidR="009D28B1">
        <w:t xml:space="preserve">desarrollo sostenible; </w:t>
      </w:r>
      <w:r w:rsidR="00333690">
        <w:t xml:space="preserve">para el diseño de estas </w:t>
      </w:r>
      <w:r w:rsidR="009D28B1">
        <w:t>misiones compartidas</w:t>
      </w:r>
      <w:r w:rsidR="00F50F46">
        <w:rPr>
          <w:rStyle w:val="Refdenotaalpie"/>
        </w:rPr>
        <w:footnoteReference w:id="2"/>
      </w:r>
      <w:r w:rsidR="00F50F46">
        <w:t xml:space="preserve"> </w:t>
      </w:r>
      <w:r w:rsidR="00333690">
        <w:t xml:space="preserve">es preciso contar con capacidades e innovación en </w:t>
      </w:r>
      <w:r w:rsidR="00752407">
        <w:t xml:space="preserve">los modelos de gobierno y gestión del conjunto de actores, empezando por la </w:t>
      </w:r>
      <w:r w:rsidR="00B42075">
        <w:t>innovación en la gestión pública: Será preciso i</w:t>
      </w:r>
      <w:r w:rsidR="00870876">
        <w:t>nnovar en los términos de un estado emprendedor</w:t>
      </w:r>
      <w:r w:rsidR="00763C8B">
        <w:rPr>
          <w:rStyle w:val="Refdenotaalpie"/>
        </w:rPr>
        <w:footnoteReference w:id="3"/>
      </w:r>
      <w:r w:rsidR="00870876">
        <w:t>, que sea capaz de generar sistemas de incentivos</w:t>
      </w:r>
      <w:r w:rsidR="00DE3BC5">
        <w:t xml:space="preserve"> desde su papel de licitador, de planificador, su papel fiscal de ingreso y gasto</w:t>
      </w:r>
      <w:r w:rsidR="00934495">
        <w:t>; un estado capaz de</w:t>
      </w:r>
      <w:r w:rsidR="003C1800">
        <w:t xml:space="preserve"> estimular coherencias entre los diferentes nivele</w:t>
      </w:r>
      <w:r w:rsidR="00A67985">
        <w:t>s</w:t>
      </w:r>
      <w:r w:rsidR="003C1800">
        <w:t xml:space="preserve"> de gobierno, local, </w:t>
      </w:r>
      <w:r w:rsidR="007D6DDE">
        <w:t>subnacional, nacional, regional y global, para que los incentivos para la transición de modelo tengan impac</w:t>
      </w:r>
      <w:r w:rsidR="00D50232">
        <w:t>to</w:t>
      </w:r>
      <w:r w:rsidR="007D6DDE">
        <w:t>s óptimos</w:t>
      </w:r>
      <w:r w:rsidR="00D50232">
        <w:t xml:space="preserve"> y multiplicadores, tanto </w:t>
      </w:r>
      <w:r w:rsidR="00AE14B0">
        <w:t>¨</w:t>
      </w:r>
      <w:r w:rsidR="00D50232">
        <w:t xml:space="preserve">top </w:t>
      </w:r>
      <w:proofErr w:type="spellStart"/>
      <w:r w:rsidR="00D50232">
        <w:t>down</w:t>
      </w:r>
      <w:proofErr w:type="spellEnd"/>
      <w:r w:rsidR="00AE14B0">
        <w:t>¨</w:t>
      </w:r>
      <w:r w:rsidR="00D50232">
        <w:t xml:space="preserve"> como </w:t>
      </w:r>
      <w:r w:rsidR="00AE14B0">
        <w:t>¨</w:t>
      </w:r>
      <w:r w:rsidR="00D50232">
        <w:t>bottom up</w:t>
      </w:r>
      <w:r w:rsidR="00AE14B0">
        <w:t>¨</w:t>
      </w:r>
      <w:r w:rsidR="00D50232">
        <w:t xml:space="preserve">. </w:t>
      </w:r>
      <w:r w:rsidR="00301464">
        <w:t xml:space="preserve">Un estado </w:t>
      </w:r>
      <w:r w:rsidR="00776B13">
        <w:t>a nivel local que tenga capacidad de innovación para optimizar una gestión orientada a lograr resultados de des</w:t>
      </w:r>
      <w:r w:rsidR="00446499">
        <w:t>a</w:t>
      </w:r>
      <w:r w:rsidR="00776B13">
        <w:t xml:space="preserve">rrollo sostenible, integrando competencias digitales y tecnológicas que potencien la capacidad de disponer de datos, proyectar modelos de </w:t>
      </w:r>
      <w:proofErr w:type="gramStart"/>
      <w:r w:rsidR="00776B13">
        <w:t xml:space="preserve">futuro </w:t>
      </w:r>
      <w:r w:rsidR="0026260B">
        <w:t>,</w:t>
      </w:r>
      <w:proofErr w:type="gramEnd"/>
      <w:r w:rsidR="0026260B">
        <w:t xml:space="preserve"> trazar los impactos, </w:t>
      </w:r>
      <w:r w:rsidR="00776B13">
        <w:t>monitore</w:t>
      </w:r>
      <w:r w:rsidR="0026260B">
        <w:t xml:space="preserve">ar el seguimiento </w:t>
      </w:r>
      <w:r w:rsidR="00776B13">
        <w:t xml:space="preserve"> </w:t>
      </w:r>
      <w:r w:rsidR="0026260B">
        <w:t xml:space="preserve">de los avances y permitir correcciones </w:t>
      </w:r>
      <w:r w:rsidR="00647794">
        <w:t>para adaptar el avance hacia los objetivos de desarrollo sostenible a contextos cambiantes en el largo plazo.</w:t>
      </w:r>
    </w:p>
    <w:p w14:paraId="3F506A28" w14:textId="0F1C87CD" w:rsidR="00113930" w:rsidRDefault="00E058E4" w:rsidP="00090380">
      <w:pPr>
        <w:ind w:left="720"/>
        <w:jc w:val="both"/>
      </w:pPr>
      <w:r>
        <w:t xml:space="preserve">De la misma manera que </w:t>
      </w:r>
      <w:r w:rsidR="00654142">
        <w:t>la</w:t>
      </w:r>
      <w:r w:rsidR="00D27C2B">
        <w:t>s capacidades para la</w:t>
      </w:r>
      <w:r w:rsidR="00654142">
        <w:t xml:space="preserve"> innovación en el sector público local será fundamental</w:t>
      </w:r>
      <w:r w:rsidR="00A6312A">
        <w:t xml:space="preserve"> para movilizar una adecuada colaboración </w:t>
      </w:r>
      <w:r w:rsidR="003949ED">
        <w:t xml:space="preserve">público privada </w:t>
      </w:r>
      <w:proofErr w:type="spellStart"/>
      <w:r w:rsidR="003949ED">
        <w:t>multiactor</w:t>
      </w:r>
      <w:proofErr w:type="spellEnd"/>
      <w:r w:rsidR="003949ED">
        <w:t xml:space="preserve"> del territorio para una robusta hoja de ruta</w:t>
      </w:r>
      <w:r w:rsidR="002E1817">
        <w:t xml:space="preserve"> que atraiga la financiación hacia los Objetivos de Desarrollo Sostenible</w:t>
      </w:r>
      <w:r w:rsidR="00654142">
        <w:t>, también lo será el papel de</w:t>
      </w:r>
      <w:r w:rsidR="00130A5A">
        <w:t xml:space="preserve">l sector </w:t>
      </w:r>
      <w:r w:rsidR="00130A5A">
        <w:lastRenderedPageBreak/>
        <w:t xml:space="preserve">empresarial </w:t>
      </w:r>
      <w:r w:rsidR="00832244">
        <w:t xml:space="preserve">que deberá </w:t>
      </w:r>
      <w:r w:rsidR="00DB6419">
        <w:t>integrar la dimensión social y medioambiental en el gobierno y la gestión de sus modelos de negocio</w:t>
      </w:r>
      <w:r w:rsidR="002B6C4D">
        <w:t xml:space="preserve">; los </w:t>
      </w:r>
      <w:r w:rsidR="006A73EB">
        <w:t xml:space="preserve">denominados </w:t>
      </w:r>
      <w:r w:rsidR="002B6C4D">
        <w:t>aspectos ESG, integrando en esta gestión los indicadores ODS del territorio donde operan.</w:t>
      </w:r>
      <w:r w:rsidR="00113930">
        <w:t xml:space="preserve"> </w:t>
      </w:r>
      <w:r w:rsidR="002E1817">
        <w:t>En este sentido se ha avanzado mucho con los marcos regulatorios i</w:t>
      </w:r>
      <w:r w:rsidR="00D70D9B">
        <w:t>n</w:t>
      </w:r>
      <w:r w:rsidR="002E1817">
        <w:t>ternacion</w:t>
      </w:r>
      <w:r w:rsidR="00D70D9B">
        <w:t>a</w:t>
      </w:r>
      <w:r w:rsidR="002E1817">
        <w:t>les, tanto de la Unión Europea</w:t>
      </w:r>
      <w:r w:rsidR="002E1817">
        <w:rPr>
          <w:rStyle w:val="Refdenotaalpie"/>
        </w:rPr>
        <w:footnoteReference w:id="4"/>
      </w:r>
      <w:r w:rsidR="00446499">
        <w:t xml:space="preserve">como en la normativa contable internacional liderada desde el IFRS (International </w:t>
      </w:r>
      <w:proofErr w:type="spellStart"/>
      <w:r w:rsidR="00446499">
        <w:t>Finance</w:t>
      </w:r>
      <w:proofErr w:type="spellEnd"/>
      <w:r w:rsidR="00446499">
        <w:t xml:space="preserve"> </w:t>
      </w:r>
      <w:proofErr w:type="spellStart"/>
      <w:r w:rsidR="00446499">
        <w:t>Reporting</w:t>
      </w:r>
      <w:proofErr w:type="spellEnd"/>
      <w:r w:rsidR="00446499">
        <w:t xml:space="preserve"> Standard)</w:t>
      </w:r>
      <w:r w:rsidR="00446499">
        <w:rPr>
          <w:rStyle w:val="Refdenotaalpie"/>
        </w:rPr>
        <w:footnoteReference w:id="5"/>
      </w:r>
      <w:r w:rsidR="000C6E8C">
        <w:t xml:space="preserve">; </w:t>
      </w:r>
    </w:p>
    <w:p w14:paraId="66AFDB7E" w14:textId="5133CB9B" w:rsidR="00E058E4" w:rsidRDefault="00CA48BB" w:rsidP="00CF2DDD">
      <w:pPr>
        <w:ind w:left="720"/>
        <w:jc w:val="both"/>
      </w:pPr>
      <w:r>
        <w:t xml:space="preserve">La integración de capacidades en </w:t>
      </w:r>
      <w:r w:rsidR="00812A09">
        <w:t xml:space="preserve">los modelos de negocio que puedan </w:t>
      </w:r>
      <w:r w:rsidR="003955A5">
        <w:t xml:space="preserve">lograr </w:t>
      </w:r>
      <w:r w:rsidR="00642F0E">
        <w:t>que el tejido productivo</w:t>
      </w:r>
      <w:r w:rsidR="00235BA2">
        <w:t xml:space="preserve"> local</w:t>
      </w:r>
      <w:r w:rsidR="00642F0E">
        <w:t xml:space="preserve"> genere impactos pro desarrollo sostenible y se oriente a una colaboración con el resto de actores del territorio</w:t>
      </w:r>
      <w:r w:rsidR="00F54695">
        <w:t xml:space="preserve"> para </w:t>
      </w:r>
      <w:r w:rsidR="00CF2DDD">
        <w:t>atraer financiación sostenible hacia el territorio</w:t>
      </w:r>
      <w:r w:rsidR="00F54695">
        <w:t xml:space="preserve">, con la motivación de ser más productivo y </w:t>
      </w:r>
      <w:r w:rsidR="00CF2DDD">
        <w:t xml:space="preserve">competitivo, es un vector de transformación </w:t>
      </w:r>
      <w:r w:rsidR="005D5C41">
        <w:t xml:space="preserve">muy relevante; </w:t>
      </w:r>
      <w:r w:rsidR="00235BA2">
        <w:t xml:space="preserve">en este punto , los recursos de Fundaciones </w:t>
      </w:r>
      <w:r w:rsidR="00B10723">
        <w:t>Financieras</w:t>
      </w:r>
      <w:r w:rsidR="007556A6">
        <w:t xml:space="preserve"> podrán combinarse con los recursos procedentes de la Cooperación Internacional, con recursos </w:t>
      </w:r>
      <w:proofErr w:type="spellStart"/>
      <w:r w:rsidR="007556A6">
        <w:t>blended</w:t>
      </w:r>
      <w:proofErr w:type="spellEnd"/>
      <w:r w:rsidR="007556A6">
        <w:t xml:space="preserve">, </w:t>
      </w:r>
      <w:r w:rsidR="001A20C6">
        <w:t xml:space="preserve">o los recursos que las </w:t>
      </w:r>
      <w:r w:rsidR="007513F1">
        <w:t>propias</w:t>
      </w:r>
      <w:r w:rsidR="001A20C6">
        <w:t xml:space="preserve"> </w:t>
      </w:r>
      <w:r w:rsidR="00CF5154">
        <w:t xml:space="preserve">empresas </w:t>
      </w:r>
      <w:r w:rsidR="001A20C6">
        <w:t xml:space="preserve">dispongan para </w:t>
      </w:r>
      <w:r w:rsidR="002808E2">
        <w:t xml:space="preserve">fortalecer una gestión ESG competitiva </w:t>
      </w:r>
      <w:r w:rsidR="00CF5154">
        <w:t>a lo largo de todas su cadena de valor global</w:t>
      </w:r>
      <w:r w:rsidR="00655C00">
        <w:t>.</w:t>
      </w:r>
    </w:p>
    <w:p w14:paraId="00444B92" w14:textId="3A47C1C0" w:rsidR="00E75990" w:rsidRDefault="00D50232" w:rsidP="00FF308C">
      <w:pPr>
        <w:ind w:left="720"/>
        <w:jc w:val="both"/>
      </w:pPr>
      <w:r>
        <w:t xml:space="preserve">Otros drivers necesarios para la capilaridad de los procesos de desarrollo hasta el territorio y la movilización de transformaciones ¨bottom up¨, </w:t>
      </w:r>
      <w:r w:rsidR="005F04D7">
        <w:t xml:space="preserve">donde los </w:t>
      </w:r>
      <w:r w:rsidR="00EA7514">
        <w:t>recursos</w:t>
      </w:r>
      <w:r w:rsidR="005F04D7">
        <w:t xml:space="preserve"> de las Fundaciones Financieras podrían generar impactos positivos</w:t>
      </w:r>
      <w:r w:rsidR="008B04CA">
        <w:t xml:space="preserve"> catalíticos</w:t>
      </w:r>
      <w:r w:rsidR="005F04D7">
        <w:t xml:space="preserve">, son aquellos orientados a fortalecer </w:t>
      </w:r>
      <w:r w:rsidR="00356AE8">
        <w:t xml:space="preserve">una apropiación </w:t>
      </w:r>
      <w:r w:rsidR="0001310E">
        <w:t>por parte de la ciudadanía</w:t>
      </w:r>
      <w:r w:rsidR="005F04D7">
        <w:t xml:space="preserve"> de los procesos de desarrollo locales del territorio</w:t>
      </w:r>
      <w:r w:rsidR="0001310E">
        <w:t>: Una ciudadanía activa , consciente y protagonista</w:t>
      </w:r>
      <w:r w:rsidR="005F04D7">
        <w:t xml:space="preserve"> de los procesos de desarrollo sostenible</w:t>
      </w:r>
      <w:r w:rsidR="00950871">
        <w:t xml:space="preserve"> es un elemento que</w:t>
      </w:r>
      <w:r w:rsidR="00047BBC">
        <w:t xml:space="preserve"> reduce la volatilidad y</w:t>
      </w:r>
      <w:r w:rsidR="00950871">
        <w:t xml:space="preserve"> fortalece de manera significativa las condiciones</w:t>
      </w:r>
      <w:r w:rsidR="00D8274B">
        <w:t xml:space="preserve"> de estabilidad y </w:t>
      </w:r>
      <w:r w:rsidR="00EA7514">
        <w:t>predictibilidad</w:t>
      </w:r>
      <w:r w:rsidR="00D8274B">
        <w:t xml:space="preserve"> en el análisis del retorno financiero de cualquier </w:t>
      </w:r>
      <w:r w:rsidR="00047BBC">
        <w:t xml:space="preserve">financiación </w:t>
      </w:r>
      <w:r w:rsidR="00D8274B">
        <w:t>a medio y largo plazo.</w:t>
      </w:r>
      <w:r w:rsidR="00047BBC">
        <w:t xml:space="preserve"> Complementar las acciones y recu</w:t>
      </w:r>
      <w:r w:rsidR="00EA42A6">
        <w:t>r</w:t>
      </w:r>
      <w:r w:rsidR="00047BBC">
        <w:t xml:space="preserve">sos a nivel territorial local de la Cooperación Internacional, Sur </w:t>
      </w:r>
      <w:proofErr w:type="spellStart"/>
      <w:r w:rsidR="00047BBC">
        <w:t>Sur</w:t>
      </w:r>
      <w:proofErr w:type="spellEnd"/>
      <w:r w:rsidR="00047BBC">
        <w:t xml:space="preserve">, Triangular e Interterritorial </w:t>
      </w:r>
      <w:r w:rsidR="003B0723">
        <w:t>en aspectos como la cultura,</w:t>
      </w:r>
      <w:r w:rsidR="009A666C">
        <w:t xml:space="preserve"> </w:t>
      </w:r>
      <w:r w:rsidR="00FC2CC1">
        <w:t>el sentido de pertenencia,</w:t>
      </w:r>
      <w:r w:rsidR="003B0723">
        <w:t xml:space="preserve"> los procesos de participación y rendición de cuentas, </w:t>
      </w:r>
      <w:r w:rsidR="00FC2CC1">
        <w:t xml:space="preserve">las ciencias del comportamiento aplicadas, entre otros, son ámbitos necesarios </w:t>
      </w:r>
      <w:r w:rsidR="00A436FC">
        <w:t>en los que generar capacidades por su re</w:t>
      </w:r>
      <w:r w:rsidR="009A666C">
        <w:t>l</w:t>
      </w:r>
      <w:r w:rsidR="00A436FC">
        <w:t>evancia para la estabilidad y predictibilidad de los procesos de desarrollo sostenible y la</w:t>
      </w:r>
      <w:r w:rsidR="009A666C">
        <w:t>s condiciones favorab</w:t>
      </w:r>
      <w:r w:rsidR="00723798">
        <w:t>l</w:t>
      </w:r>
      <w:r w:rsidR="009A666C">
        <w:t>es para atraer la inversión.</w:t>
      </w:r>
    </w:p>
    <w:p w14:paraId="58A3A50C" w14:textId="4064076C" w:rsidR="0099193E" w:rsidRPr="0099193E" w:rsidRDefault="007A0731" w:rsidP="003825B3">
      <w:pPr>
        <w:pStyle w:val="Prrafodelista"/>
        <w:numPr>
          <w:ilvl w:val="0"/>
          <w:numId w:val="3"/>
        </w:numPr>
        <w:jc w:val="both"/>
      </w:pPr>
      <w:r>
        <w:t xml:space="preserve">Una segunda propuesta es la de </w:t>
      </w:r>
      <w:r w:rsidR="00E75990">
        <w:t>fortalecer el pape</w:t>
      </w:r>
      <w:r w:rsidR="00EA7514">
        <w:t>l</w:t>
      </w:r>
      <w:r w:rsidR="00E75990">
        <w:t xml:space="preserve"> clave d</w:t>
      </w:r>
      <w:r w:rsidR="00EA7514">
        <w:t>e</w:t>
      </w:r>
      <w:r w:rsidR="00E75990">
        <w:t xml:space="preserve"> las Fundaciones Financieras para </w:t>
      </w:r>
      <w:r w:rsidR="003825B3">
        <w:t>contribuir a</w:t>
      </w:r>
      <w:r w:rsidR="00E75990">
        <w:t xml:space="preserve"> </w:t>
      </w:r>
      <w:r w:rsidR="0003497D" w:rsidRPr="003825B3">
        <w:rPr>
          <w:b/>
          <w:bCs/>
        </w:rPr>
        <w:t>Dimensionar los mecanismos de inversión a l</w:t>
      </w:r>
      <w:r w:rsidR="0099193E">
        <w:rPr>
          <w:b/>
          <w:bCs/>
        </w:rPr>
        <w:t xml:space="preserve">a </w:t>
      </w:r>
      <w:proofErr w:type="gramStart"/>
      <w:r w:rsidR="0099193E">
        <w:rPr>
          <w:b/>
          <w:bCs/>
        </w:rPr>
        <w:t xml:space="preserve">escala </w:t>
      </w:r>
      <w:r w:rsidR="0003497D" w:rsidRPr="003825B3">
        <w:rPr>
          <w:b/>
          <w:bCs/>
        </w:rPr>
        <w:t xml:space="preserve"> local</w:t>
      </w:r>
      <w:proofErr w:type="gramEnd"/>
      <w:r w:rsidR="0003497D" w:rsidRPr="003825B3">
        <w:rPr>
          <w:b/>
          <w:bCs/>
        </w:rPr>
        <w:t xml:space="preserve">; </w:t>
      </w:r>
    </w:p>
    <w:p w14:paraId="4004872B" w14:textId="604DB9EA" w:rsidR="00033EE7" w:rsidRDefault="0003497D" w:rsidP="0099193E">
      <w:pPr>
        <w:pStyle w:val="Prrafodelista"/>
        <w:jc w:val="both"/>
      </w:pPr>
      <w:r w:rsidRPr="0003497D">
        <w:t>Existe un ¨</w:t>
      </w:r>
      <w:proofErr w:type="spellStart"/>
      <w:r w:rsidRPr="003825B3">
        <w:rPr>
          <w:b/>
          <w:bCs/>
        </w:rPr>
        <w:t>missing</w:t>
      </w:r>
      <w:proofErr w:type="spellEnd"/>
      <w:r w:rsidRPr="003825B3">
        <w:rPr>
          <w:b/>
          <w:bCs/>
        </w:rPr>
        <w:t xml:space="preserve"> </w:t>
      </w:r>
      <w:proofErr w:type="spellStart"/>
      <w:r w:rsidRPr="003825B3">
        <w:rPr>
          <w:b/>
          <w:bCs/>
        </w:rPr>
        <w:t>middle</w:t>
      </w:r>
      <w:proofErr w:type="spellEnd"/>
      <w:r w:rsidRPr="003825B3">
        <w:rPr>
          <w:b/>
          <w:bCs/>
        </w:rPr>
        <w:t xml:space="preserve">¨ </w:t>
      </w:r>
      <w:r w:rsidRPr="0003497D">
        <w:t>en el acceso a los mecanismos de financiación;</w:t>
      </w:r>
      <w:r w:rsidR="00A43888">
        <w:t xml:space="preserve"> </w:t>
      </w:r>
      <w:r w:rsidR="00033EE7">
        <w:t xml:space="preserve">las grandes empresas pueden acceder a financiarse en mercados internacionales, </w:t>
      </w:r>
      <w:r w:rsidR="0030367C">
        <w:t>y</w:t>
      </w:r>
      <w:r w:rsidR="00847F64">
        <w:t xml:space="preserve"> el nivel </w:t>
      </w:r>
      <w:proofErr w:type="gramStart"/>
      <w:r w:rsidR="00847F64">
        <w:t>micro empresarial</w:t>
      </w:r>
      <w:proofErr w:type="gramEnd"/>
      <w:r w:rsidR="00847F64">
        <w:t xml:space="preserve"> dispone asimismo de herramientas microfinancieras adaptadas</w:t>
      </w:r>
      <w:r w:rsidR="002C15B1">
        <w:t xml:space="preserve">, algo de lo que no dispone </w:t>
      </w:r>
      <w:r w:rsidR="002C15B1" w:rsidRPr="0003497D">
        <w:t xml:space="preserve">que es el tejido de </w:t>
      </w:r>
      <w:r w:rsidR="002C15B1">
        <w:t>P</w:t>
      </w:r>
      <w:r w:rsidR="00A43888">
        <w:t>e</w:t>
      </w:r>
      <w:r w:rsidR="002C15B1">
        <w:t>que</w:t>
      </w:r>
      <w:r w:rsidR="00A43888">
        <w:t>ñ</w:t>
      </w:r>
      <w:r w:rsidR="002C15B1">
        <w:t>a y Mediana empresa</w:t>
      </w:r>
      <w:r w:rsidR="00A43888">
        <w:t>.</w:t>
      </w:r>
      <w:r w:rsidR="002C15B1">
        <w:t xml:space="preserve"> </w:t>
      </w:r>
    </w:p>
    <w:p w14:paraId="10ED3E5F" w14:textId="4ACA49F3" w:rsidR="0003497D" w:rsidRDefault="00A06728" w:rsidP="0030367C">
      <w:pPr>
        <w:jc w:val="both"/>
      </w:pPr>
      <w:r>
        <w:lastRenderedPageBreak/>
        <w:t>Tradicionalmente l</w:t>
      </w:r>
      <w:r w:rsidR="0003497D" w:rsidRPr="0003497D">
        <w:t xml:space="preserve">a </w:t>
      </w:r>
      <w:r w:rsidR="006F3DAF">
        <w:t xml:space="preserve">pequeña </w:t>
      </w:r>
      <w:r w:rsidR="0003497D" w:rsidRPr="0003497D">
        <w:t>escala de las operaciones y el coste marginal de los análisis de inversión</w:t>
      </w:r>
      <w:r w:rsidR="006F3DAF">
        <w:t xml:space="preserve"> a nivel local</w:t>
      </w:r>
      <w:r w:rsidR="0003497D" w:rsidRPr="0003497D">
        <w:t xml:space="preserve"> ha sido un desincentivo para optimizar los retornos de </w:t>
      </w:r>
      <w:proofErr w:type="gramStart"/>
      <w:r w:rsidR="0003497D" w:rsidRPr="0003497D">
        <w:t xml:space="preserve">corto </w:t>
      </w:r>
      <w:r w:rsidR="0030367C">
        <w:t xml:space="preserve"> </w:t>
      </w:r>
      <w:r w:rsidR="0003497D" w:rsidRPr="0003497D">
        <w:t>plazo</w:t>
      </w:r>
      <w:proofErr w:type="gramEnd"/>
      <w:r w:rsidR="0003497D" w:rsidRPr="0003497D">
        <w:t xml:space="preserve">. El tejido empresarial </w:t>
      </w:r>
      <w:proofErr w:type="spellStart"/>
      <w:r w:rsidR="0003497D" w:rsidRPr="0003497D">
        <w:t>PyMES</w:t>
      </w:r>
      <w:proofErr w:type="spellEnd"/>
      <w:r w:rsidR="0003497D" w:rsidRPr="0003497D">
        <w:t xml:space="preserve"> emplea más del 75% de la población activa mundial, depende la cohesión social, la innovación y la estabilidad de la economía. </w:t>
      </w:r>
      <w:r w:rsidR="00734F24">
        <w:rPr>
          <w:rStyle w:val="Refdenotaalpie"/>
        </w:rPr>
        <w:footnoteReference w:id="6"/>
      </w:r>
    </w:p>
    <w:p w14:paraId="07C0018C" w14:textId="326C96C2" w:rsidR="00896CD0" w:rsidRDefault="00896CD0" w:rsidP="0030367C">
      <w:pPr>
        <w:jc w:val="both"/>
      </w:pPr>
      <w:r>
        <w:t xml:space="preserve">Un impacto trascendental para </w:t>
      </w:r>
      <w:r w:rsidR="00EC1CF8">
        <w:t>poder localizar la Agenda de Financiación para el Desarrollo será el de trabajar para generar mecanismos de financiación innovadores a nivel local</w:t>
      </w:r>
      <w:r w:rsidR="00BA5C3C">
        <w:t>, por el impacto en desarrollo humanos sostenible mencionado en la primera parte del documento.</w:t>
      </w:r>
      <w:r w:rsidR="00A04469">
        <w:t xml:space="preserve"> </w:t>
      </w:r>
    </w:p>
    <w:p w14:paraId="36FC2B62" w14:textId="5D0D996C" w:rsidR="0003497D" w:rsidRDefault="0003497D" w:rsidP="009F1C2D">
      <w:pPr>
        <w:jc w:val="both"/>
      </w:pPr>
      <w:r w:rsidRPr="0003497D">
        <w:t xml:space="preserve">El sector Fundaciones </w:t>
      </w:r>
      <w:r w:rsidR="009F1C2D">
        <w:t xml:space="preserve">Financieras </w:t>
      </w:r>
      <w:r w:rsidRPr="0003497D">
        <w:t>p</w:t>
      </w:r>
      <w:r w:rsidR="009F1C2D">
        <w:t xml:space="preserve">odría </w:t>
      </w:r>
      <w:r w:rsidRPr="0003497D">
        <w:t xml:space="preserve"> aportar </w:t>
      </w:r>
      <w:r w:rsidRPr="0003497D">
        <w:rPr>
          <w:b/>
          <w:bCs/>
        </w:rPr>
        <w:t>recursos blandos críticos</w:t>
      </w:r>
      <w:r w:rsidRPr="0003497D">
        <w:t xml:space="preserve"> para poder</w:t>
      </w:r>
      <w:r w:rsidR="00784C02">
        <w:t>,</w:t>
      </w:r>
      <w:r w:rsidRPr="0003497D">
        <w:t xml:space="preserve"> </w:t>
      </w:r>
      <w:r w:rsidR="00784C02">
        <w:t>p</w:t>
      </w:r>
      <w:r w:rsidRPr="0003497D">
        <w:t>or un lado</w:t>
      </w:r>
      <w:r w:rsidR="00784C02">
        <w:t>,</w:t>
      </w:r>
      <w:r w:rsidRPr="0003497D">
        <w:t xml:space="preserve"> </w:t>
      </w:r>
      <w:r w:rsidR="003D3387">
        <w:t xml:space="preserve">dotar de capacidades </w:t>
      </w:r>
      <w:r w:rsidRPr="0003497D">
        <w:t>a los proyectos de inversión para integrar y optimizar los impactos sociales y medioambientales en el desarrollo sostenible</w:t>
      </w:r>
      <w:r w:rsidR="00AC749B">
        <w:t>;</w:t>
      </w:r>
      <w:r w:rsidRPr="0003497D">
        <w:t xml:space="preserve"> </w:t>
      </w:r>
      <w:r w:rsidR="00AC749B">
        <w:t>p</w:t>
      </w:r>
      <w:r w:rsidRPr="0003497D">
        <w:t>or otro compensar los riesgos de entrar en operaciones del tejido productivo local que, aun siendo rentables, tienen demasiado riesgo y el sector financiero descartaría,</w:t>
      </w:r>
      <w:r w:rsidR="00AC749B">
        <w:t xml:space="preserve"> bien por</w:t>
      </w:r>
      <w:r w:rsidRPr="0003497D">
        <w:t xml:space="preserve"> los plazos de recuperación demasiado largos</w:t>
      </w:r>
      <w:r w:rsidR="00AC749B">
        <w:t>,</w:t>
      </w:r>
      <w:r w:rsidRPr="0003497D">
        <w:t xml:space="preserve"> o </w:t>
      </w:r>
      <w:r w:rsidR="00AC749B">
        <w:t xml:space="preserve">por </w:t>
      </w:r>
      <w:r w:rsidRPr="0003497D">
        <w:t xml:space="preserve">el coste de oportunidad muy alto. </w:t>
      </w:r>
      <w:r w:rsidR="000E0FD3">
        <w:t xml:space="preserve">Ejemplo de adicionalidad y efecto </w:t>
      </w:r>
      <w:r w:rsidR="00607574">
        <w:t>catalizador</w:t>
      </w:r>
      <w:r w:rsidR="000E0FD3">
        <w:t xml:space="preserve"> podría ser el de </w:t>
      </w:r>
      <w:r w:rsidR="006D6904">
        <w:t>aportar r</w:t>
      </w:r>
      <w:r w:rsidRPr="0003497D">
        <w:t xml:space="preserve">ecursos blandos para un </w:t>
      </w:r>
      <w:r w:rsidRPr="0003497D">
        <w:rPr>
          <w:b/>
          <w:bCs/>
        </w:rPr>
        <w:t>¨</w:t>
      </w:r>
      <w:proofErr w:type="spellStart"/>
      <w:r w:rsidRPr="0003497D">
        <w:rPr>
          <w:b/>
          <w:bCs/>
        </w:rPr>
        <w:t>blended</w:t>
      </w:r>
      <w:proofErr w:type="spellEnd"/>
      <w:r w:rsidRPr="0003497D">
        <w:rPr>
          <w:b/>
          <w:bCs/>
        </w:rPr>
        <w:t xml:space="preserve"> </w:t>
      </w:r>
      <w:proofErr w:type="spellStart"/>
      <w:r w:rsidRPr="0003497D">
        <w:rPr>
          <w:b/>
          <w:bCs/>
        </w:rPr>
        <w:t>finance</w:t>
      </w:r>
      <w:proofErr w:type="spellEnd"/>
      <w:r w:rsidRPr="0003497D">
        <w:rPr>
          <w:b/>
          <w:bCs/>
        </w:rPr>
        <w:t>¨</w:t>
      </w:r>
      <w:r w:rsidRPr="0003497D">
        <w:t xml:space="preserve"> </w:t>
      </w:r>
      <w:r w:rsidR="006D6904">
        <w:t xml:space="preserve">en procesos de inversión estructurados </w:t>
      </w:r>
      <w:r w:rsidRPr="0003497D">
        <w:t>que puede asumir tramos ¨</w:t>
      </w:r>
      <w:proofErr w:type="spellStart"/>
      <w:r w:rsidRPr="0003497D">
        <w:t>first</w:t>
      </w:r>
      <w:proofErr w:type="spellEnd"/>
      <w:r w:rsidRPr="0003497D">
        <w:t xml:space="preserve"> </w:t>
      </w:r>
      <w:proofErr w:type="spellStart"/>
      <w:r w:rsidRPr="0003497D">
        <w:t>loss</w:t>
      </w:r>
      <w:proofErr w:type="spellEnd"/>
      <w:r w:rsidRPr="0003497D">
        <w:t>¨ que hagan atractiva la entrada de capital privado en operaciones, o que permita recuperar antes la inversión.</w:t>
      </w:r>
    </w:p>
    <w:p w14:paraId="1DC5BB9A" w14:textId="77777777" w:rsidR="00AA7BDD" w:rsidRDefault="00B73442" w:rsidP="00AA7BDD">
      <w:pPr>
        <w:jc w:val="both"/>
      </w:pPr>
      <w:r>
        <w:t>En paralelo, otro efecto de adicionalidad y cataliz</w:t>
      </w:r>
      <w:r w:rsidR="00E72AA6">
        <w:t>a</w:t>
      </w:r>
      <w:r>
        <w:t xml:space="preserve">dor podría ser el de destinar recursos blandos que acompañen diferentes fases del proceso de financiación de operaciones locales </w:t>
      </w:r>
      <w:r w:rsidR="000A155B">
        <w:t xml:space="preserve">con objeto de </w:t>
      </w:r>
      <w:r>
        <w:t xml:space="preserve">dotar de capacidades </w:t>
      </w:r>
      <w:r w:rsidR="0081445A">
        <w:t>que permitan conectar la oferta y la demanda financiera</w:t>
      </w:r>
      <w:r w:rsidR="00C534FD">
        <w:t xml:space="preserve"> a nivel local, diseñar los proyectos o planes </w:t>
      </w:r>
      <w:r w:rsidR="00B27F86">
        <w:t>empr</w:t>
      </w:r>
      <w:r w:rsidR="003E5F53">
        <w:t>e</w:t>
      </w:r>
      <w:r w:rsidR="00B27F86">
        <w:t>sariales locales con la necesaria información, datos, indicadores para que puedan ser analizados desde el prisma financiero</w:t>
      </w:r>
      <w:r w:rsidR="003E5F53">
        <w:t>, incluyendo los aspectos ESG</w:t>
      </w:r>
      <w:r w:rsidR="00970708">
        <w:t>.</w:t>
      </w:r>
    </w:p>
    <w:p w14:paraId="6C9AFA2D" w14:textId="62742BEB" w:rsidR="00185C69" w:rsidRDefault="00185C69" w:rsidP="00AA7BDD">
      <w:pPr>
        <w:pStyle w:val="Prrafodelista"/>
        <w:numPr>
          <w:ilvl w:val="0"/>
          <w:numId w:val="3"/>
        </w:numPr>
        <w:jc w:val="both"/>
      </w:pPr>
      <w:proofErr w:type="spellStart"/>
      <w:r w:rsidRPr="00AA7BDD">
        <w:rPr>
          <w:b/>
          <w:bCs/>
        </w:rPr>
        <w:t>Walk</w:t>
      </w:r>
      <w:proofErr w:type="spellEnd"/>
      <w:r w:rsidRPr="00AA7BDD">
        <w:rPr>
          <w:b/>
          <w:bCs/>
        </w:rPr>
        <w:t xml:space="preserve"> </w:t>
      </w:r>
      <w:proofErr w:type="spellStart"/>
      <w:r w:rsidRPr="00AA7BDD">
        <w:rPr>
          <w:b/>
          <w:bCs/>
        </w:rPr>
        <w:t>the</w:t>
      </w:r>
      <w:proofErr w:type="spellEnd"/>
      <w:r w:rsidRPr="00AA7BDD">
        <w:rPr>
          <w:b/>
          <w:bCs/>
        </w:rPr>
        <w:t xml:space="preserve"> </w:t>
      </w:r>
      <w:proofErr w:type="spellStart"/>
      <w:r w:rsidRPr="00AA7BDD">
        <w:rPr>
          <w:b/>
          <w:bCs/>
        </w:rPr>
        <w:t>talk</w:t>
      </w:r>
      <w:proofErr w:type="spellEnd"/>
      <w:r w:rsidRPr="00AA7BDD">
        <w:rPr>
          <w:b/>
          <w:bCs/>
        </w:rPr>
        <w:t>:</w:t>
      </w:r>
      <w:r>
        <w:t xml:space="preserve"> Necesidad de </w:t>
      </w:r>
      <w:r w:rsidR="00FC41D2">
        <w:t>contar con instituciones filantrópicas financieras que están trabajando en la Agenda de Financiación para el Desarrollo Sostenible a nivel local.</w:t>
      </w:r>
    </w:p>
    <w:p w14:paraId="58B9E278" w14:textId="623B99A8" w:rsidR="00C65880" w:rsidRDefault="00C65880" w:rsidP="00185C69">
      <w:pPr>
        <w:jc w:val="both"/>
      </w:pPr>
      <w:r>
        <w:t>Proponemos movilizar todo el ¨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>¨ d</w:t>
      </w:r>
      <w:r w:rsidR="00AA7BDD">
        <w:t>e</w:t>
      </w:r>
      <w:r>
        <w:t xml:space="preserve"> instituciones filantrópicas </w:t>
      </w:r>
      <w:r w:rsidR="00734409">
        <w:t xml:space="preserve">movilicen </w:t>
      </w:r>
      <w:r w:rsidR="00850655">
        <w:t>recursos</w:t>
      </w:r>
      <w:r w:rsidR="00734409">
        <w:t xml:space="preserve"> financieros para el desarrollo sostenible a nivel local, y </w:t>
      </w:r>
      <w:r w:rsidR="00850655">
        <w:t xml:space="preserve">generar masa crítica para jugar un papel de </w:t>
      </w:r>
      <w:proofErr w:type="gramStart"/>
      <w:r w:rsidR="00850655">
        <w:t>interface</w:t>
      </w:r>
      <w:proofErr w:type="gramEnd"/>
      <w:r w:rsidR="00850655">
        <w:t xml:space="preserve"> entre la Agenda de Financiación para el Desarrollo y la Agenda de Localización de los ODS, con objeto de escalar la capacidad de </w:t>
      </w:r>
      <w:proofErr w:type="spellStart"/>
      <w:r w:rsidR="00E64D22">
        <w:t>capilarizar</w:t>
      </w:r>
      <w:proofErr w:type="spellEnd"/>
      <w:r w:rsidR="00E64D22">
        <w:t xml:space="preserve"> la movilización de recursos financieros hacia el impacto en los procesos de transformación del territorio y las condiciones de vida de las personas.</w:t>
      </w:r>
    </w:p>
    <w:p w14:paraId="5056210E" w14:textId="12C2BFF8" w:rsidR="00C21AB1" w:rsidRDefault="00CC4B1A" w:rsidP="00185C69">
      <w:pPr>
        <w:jc w:val="both"/>
      </w:pPr>
      <w:r>
        <w:t xml:space="preserve">En este sentido nuestra </w:t>
      </w:r>
      <w:r w:rsidR="00C21AB1">
        <w:t xml:space="preserve">Fundación Bilbao Bizkaia Kutxa es una Fundación Financiera, propietaria de un negocio financiero bancario, que tiene como mandato principal garantizar la cohesión social, la competitividad y la </w:t>
      </w:r>
      <w:r w:rsidR="007C2000">
        <w:t>prosperidad</w:t>
      </w:r>
      <w:r w:rsidR="00C21AB1">
        <w:t xml:space="preserve"> del territorio</w:t>
      </w:r>
      <w:r w:rsidR="007C2000">
        <w:t xml:space="preserve"> de Bilbao y de Bizkaia, una provincia del País Vasco </w:t>
      </w:r>
      <w:r w:rsidR="00CC0168">
        <w:t xml:space="preserve">de </w:t>
      </w:r>
      <w:r w:rsidR="00960443">
        <w:t>aproximadamente 1.</w:t>
      </w:r>
      <w:r w:rsidR="004C7C2F">
        <w:t>158</w:t>
      </w:r>
      <w:r w:rsidR="00960443">
        <w:t>.</w:t>
      </w:r>
      <w:r w:rsidR="00061C2C">
        <w:t>891</w:t>
      </w:r>
      <w:r w:rsidR="00960443">
        <w:t xml:space="preserve"> habitantes y </w:t>
      </w:r>
      <w:r w:rsidR="00960443" w:rsidRPr="00960443">
        <w:t>2.217 km²</w:t>
      </w:r>
      <w:r w:rsidR="00960443">
        <w:t xml:space="preserve"> de superficie</w:t>
      </w:r>
      <w:r w:rsidR="002F61CF">
        <w:t xml:space="preserve"> </w:t>
      </w:r>
      <w:r w:rsidR="009937FC">
        <w:t xml:space="preserve">y un PIB </w:t>
      </w:r>
      <w:proofErr w:type="gramStart"/>
      <w:r w:rsidR="009937FC">
        <w:t>de ,</w:t>
      </w:r>
      <w:proofErr w:type="gramEnd"/>
      <w:r w:rsidR="009937FC">
        <w:t xml:space="preserve"> en torno a </w:t>
      </w:r>
      <w:r w:rsidR="00C92F35">
        <w:t>46</w:t>
      </w:r>
      <w:r w:rsidR="009937FC">
        <w:t xml:space="preserve"> millones de euros </w:t>
      </w:r>
      <w:r w:rsidR="00960443">
        <w:t>.</w:t>
      </w:r>
    </w:p>
    <w:p w14:paraId="0E342393" w14:textId="4B97E65D" w:rsidR="00D813E3" w:rsidRDefault="007C2000" w:rsidP="00090380">
      <w:pPr>
        <w:ind w:left="720"/>
        <w:jc w:val="both"/>
      </w:pPr>
      <w:r>
        <w:lastRenderedPageBreak/>
        <w:t xml:space="preserve">Es una Fundación </w:t>
      </w:r>
      <w:proofErr w:type="gramStart"/>
      <w:r>
        <w:t>financiera  que</w:t>
      </w:r>
      <w:proofErr w:type="gramEnd"/>
      <w:r>
        <w:t>, desde su</w:t>
      </w:r>
      <w:r w:rsidR="00334A1C">
        <w:t xml:space="preserve"> origen</w:t>
      </w:r>
      <w:r>
        <w:t xml:space="preserve">, ha jugado un papel crucial en canalizar </w:t>
      </w:r>
      <w:r w:rsidR="002F61CF">
        <w:t xml:space="preserve">el </w:t>
      </w:r>
      <w:r>
        <w:t xml:space="preserve">ahorro de la economía </w:t>
      </w:r>
      <w:r w:rsidR="002C58C9">
        <w:t xml:space="preserve">de Bizkaia hacia el tejido productivo </w:t>
      </w:r>
      <w:r w:rsidR="00B06E20">
        <w:t xml:space="preserve"> y la economía real </w:t>
      </w:r>
      <w:r w:rsidR="002C58C9">
        <w:t>de</w:t>
      </w:r>
      <w:r w:rsidR="00B06E20">
        <w:t>l territori</w:t>
      </w:r>
      <w:r w:rsidR="000740A7">
        <w:t xml:space="preserve">o, </w:t>
      </w:r>
      <w:r w:rsidR="00922B3F">
        <w:t>donde se estimula la generación de actividad económica, em</w:t>
      </w:r>
      <w:r w:rsidR="002C7569">
        <w:t>pleo decente, innovación</w:t>
      </w:r>
      <w:r w:rsidR="00D813E3">
        <w:t xml:space="preserve">, </w:t>
      </w:r>
      <w:r w:rsidR="002C7569">
        <w:t xml:space="preserve">prosperidad </w:t>
      </w:r>
      <w:r w:rsidR="00D813E3">
        <w:t>y competitividad.</w:t>
      </w:r>
    </w:p>
    <w:p w14:paraId="3BA333DC" w14:textId="1D6D6171" w:rsidR="00085689" w:rsidRDefault="00DF40A4" w:rsidP="00090380">
      <w:pPr>
        <w:ind w:left="720"/>
        <w:jc w:val="both"/>
      </w:pPr>
      <w:r>
        <w:t xml:space="preserve">Asimismo la Fundación Bilbao Bizkaia tiene como mandato destinar </w:t>
      </w:r>
      <w:r w:rsidR="00323BC3">
        <w:t xml:space="preserve">recursos blandos y de donación </w:t>
      </w:r>
      <w:r w:rsidR="00136B4F">
        <w:t xml:space="preserve">para la generación de capacidades </w:t>
      </w:r>
      <w:r w:rsidR="00A051AE">
        <w:t>en el territorio necesarias par</w:t>
      </w:r>
      <w:r w:rsidR="00E9546F">
        <w:t xml:space="preserve">a </w:t>
      </w:r>
      <w:r w:rsidR="00C97FF0">
        <w:t xml:space="preserve">estimular la </w:t>
      </w:r>
      <w:r w:rsidR="00A051AE">
        <w:t xml:space="preserve"> </w:t>
      </w:r>
      <w:r w:rsidR="00C34862">
        <w:t xml:space="preserve">cohesión social, la innovación, la </w:t>
      </w:r>
      <w:r w:rsidR="00A051AE">
        <w:t xml:space="preserve">colaboración público privada </w:t>
      </w:r>
      <w:r w:rsidR="00C97FF0">
        <w:t xml:space="preserve"> y la </w:t>
      </w:r>
      <w:proofErr w:type="spellStart"/>
      <w:r w:rsidR="00C97FF0">
        <w:t>co</w:t>
      </w:r>
      <w:r w:rsidR="009C41A9">
        <w:t>-</w:t>
      </w:r>
      <w:r w:rsidR="00C97FF0">
        <w:t>cr</w:t>
      </w:r>
      <w:r w:rsidR="009C41A9">
        <w:t>e</w:t>
      </w:r>
      <w:r w:rsidR="00C97FF0">
        <w:t>ación</w:t>
      </w:r>
      <w:proofErr w:type="spellEnd"/>
      <w:r w:rsidR="00C97FF0">
        <w:t xml:space="preserve"> de proyectos y visiones compartidas de futuro que </w:t>
      </w:r>
      <w:r w:rsidR="009C41A9">
        <w:t xml:space="preserve">generen condiciones </w:t>
      </w:r>
      <w:r w:rsidR="00B50EA5">
        <w:t>para un desarrollo sostenible del territorio a largo plazo, atractivo para seguir derivando financiación rentable y de impacto social , medioambiental y sobre l</w:t>
      </w:r>
      <w:r w:rsidR="00334A1C">
        <w:t>a</w:t>
      </w:r>
      <w:r w:rsidR="00B50EA5">
        <w:t xml:space="preserve"> vida de las personas.</w:t>
      </w:r>
    </w:p>
    <w:p w14:paraId="37061FE3" w14:textId="0193EEC0" w:rsidR="0003497D" w:rsidRDefault="0003497D" w:rsidP="00557C54">
      <w:pPr>
        <w:pStyle w:val="Prrafodelista"/>
        <w:jc w:val="both"/>
      </w:pPr>
    </w:p>
    <w:sectPr w:rsidR="00034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C5A4" w14:textId="77777777" w:rsidR="000C7523" w:rsidRDefault="000C7523" w:rsidP="00F50F46">
      <w:pPr>
        <w:spacing w:after="0" w:line="240" w:lineRule="auto"/>
      </w:pPr>
      <w:r>
        <w:separator/>
      </w:r>
    </w:p>
  </w:endnote>
  <w:endnote w:type="continuationSeparator" w:id="0">
    <w:p w14:paraId="429CEDD9" w14:textId="77777777" w:rsidR="000C7523" w:rsidRDefault="000C7523" w:rsidP="00F5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1D7BB" w14:textId="77777777" w:rsidR="002C5A6A" w:rsidRDefault="002C5A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16A5" w14:textId="77777777" w:rsidR="002C5A6A" w:rsidRDefault="002C5A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F740" w14:textId="77777777" w:rsidR="002C5A6A" w:rsidRDefault="002C5A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4221" w14:textId="77777777" w:rsidR="000C7523" w:rsidRDefault="000C7523" w:rsidP="00F50F46">
      <w:pPr>
        <w:spacing w:after="0" w:line="240" w:lineRule="auto"/>
      </w:pPr>
      <w:r>
        <w:separator/>
      </w:r>
    </w:p>
  </w:footnote>
  <w:footnote w:type="continuationSeparator" w:id="0">
    <w:p w14:paraId="2F71C847" w14:textId="77777777" w:rsidR="000C7523" w:rsidRDefault="000C7523" w:rsidP="00F50F46">
      <w:pPr>
        <w:spacing w:after="0" w:line="240" w:lineRule="auto"/>
      </w:pPr>
      <w:r>
        <w:continuationSeparator/>
      </w:r>
    </w:p>
  </w:footnote>
  <w:footnote w:id="1">
    <w:p w14:paraId="44D0DC9A" w14:textId="1DCA3528" w:rsidR="00EB1CCE" w:rsidRDefault="00EB1CC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B1CCE">
        <w:t xml:space="preserve">https://www.sdgphilanthropy.org/home  </w:t>
      </w:r>
    </w:p>
  </w:footnote>
  <w:footnote w:id="2">
    <w:p w14:paraId="55054EE6" w14:textId="65832B15" w:rsidR="00F50F46" w:rsidRDefault="00F50F46">
      <w:pPr>
        <w:pStyle w:val="Textonotapie"/>
      </w:pPr>
      <w:r>
        <w:rPr>
          <w:rStyle w:val="Refdenotaalpie"/>
        </w:rPr>
        <w:footnoteRef/>
      </w:r>
      <w:r>
        <w:t xml:space="preserve"> Misiones Compartidas. Mariana Mazzucato.</w:t>
      </w:r>
    </w:p>
  </w:footnote>
  <w:footnote w:id="3">
    <w:p w14:paraId="4F9C04CD" w14:textId="0247EA0F" w:rsidR="005A63A9" w:rsidRPr="005A63A9" w:rsidRDefault="00763C8B" w:rsidP="005A63A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A63A9" w:rsidRPr="005A63A9">
        <w:t>The Entrepreneurial State</w:t>
      </w:r>
      <w:r w:rsidR="005A63A9">
        <w:t>;</w:t>
      </w:r>
      <w:hyperlink r:id="rId1" w:tooltip="Mazzucato, Mariana" w:history="1">
        <w:r w:rsidR="005A63A9" w:rsidRPr="005A63A9">
          <w:rPr>
            <w:rStyle w:val="Hipervnculo"/>
            <w:b/>
            <w:bCs/>
          </w:rPr>
          <w:t>Mazzucato, Mariana</w:t>
        </w:r>
      </w:hyperlink>
      <w:r w:rsidR="005A63A9">
        <w:rPr>
          <w:b/>
          <w:bCs/>
        </w:rPr>
        <w:t xml:space="preserve"> </w:t>
      </w:r>
      <w:r w:rsidR="005A63A9" w:rsidRPr="005A63A9">
        <w:t>ISBN 10: </w:t>
      </w:r>
      <w:hyperlink r:id="rId2" w:tooltip="ISBN 10: 0141986107" w:history="1">
        <w:r w:rsidR="005A63A9" w:rsidRPr="005A63A9">
          <w:rPr>
            <w:rStyle w:val="Hipervnculo"/>
          </w:rPr>
          <w:t>0141986107</w:t>
        </w:r>
      </w:hyperlink>
      <w:r w:rsidR="005A63A9" w:rsidRPr="005A63A9">
        <w:t> Editorial: Penguin, 2018</w:t>
      </w:r>
    </w:p>
    <w:p w14:paraId="76F17B00" w14:textId="2F711DB1" w:rsidR="00763C8B" w:rsidRDefault="00763C8B">
      <w:pPr>
        <w:pStyle w:val="Textonotapie"/>
      </w:pPr>
    </w:p>
  </w:footnote>
  <w:footnote w:id="4">
    <w:p w14:paraId="57A24D9B" w14:textId="1E28DBBC" w:rsidR="002E1817" w:rsidRDefault="002E1817">
      <w:pPr>
        <w:pStyle w:val="Textonotapie"/>
      </w:pPr>
      <w:r>
        <w:rPr>
          <w:rStyle w:val="Refdenotaalpie"/>
        </w:rPr>
        <w:footnoteRef/>
      </w:r>
      <w:r>
        <w:t xml:space="preserve"> Directiva Europea de Reporting en Sostenibilidad Corporativa CSRD </w:t>
      </w:r>
      <w:r w:rsidR="004E77A9">
        <w:t>, o Directiva Europea en Diligencia Debida en Sosten</w:t>
      </w:r>
      <w:r w:rsidR="007E1FEB">
        <w:t>i</w:t>
      </w:r>
      <w:r w:rsidR="004E77A9">
        <w:t>bilidad Corporativa CSDDD</w:t>
      </w:r>
      <w:r w:rsidR="007E1FEB">
        <w:t>, entre otras.</w:t>
      </w:r>
    </w:p>
  </w:footnote>
  <w:footnote w:id="5">
    <w:p w14:paraId="1468F112" w14:textId="4EAEA412" w:rsidR="00446499" w:rsidRPr="002C5A6A" w:rsidRDefault="00446499">
      <w:pPr>
        <w:pStyle w:val="Textonotapie"/>
        <w:rPr>
          <w:lang w:val="en-GB"/>
        </w:rPr>
      </w:pPr>
      <w:r>
        <w:rPr>
          <w:rStyle w:val="Refdenotaalpie"/>
        </w:rPr>
        <w:footnoteRef/>
      </w:r>
      <w:r>
        <w:t xml:space="preserve"> Nuevos Estándares Internacionales de Reporting en Sostenibilidad</w:t>
      </w:r>
      <w:r w:rsidR="00B45753">
        <w:t xml:space="preserve"> IFRS</w:t>
      </w:r>
      <w:r>
        <w:t xml:space="preserve">; </w:t>
      </w:r>
      <w:r w:rsidR="00BC57AD">
        <w:t>NIIF (ISSB)</w:t>
      </w:r>
      <w:r>
        <w:t xml:space="preserve">1 </w:t>
      </w:r>
      <w:r w:rsidR="00BC57AD">
        <w:t>y 2</w:t>
      </w:r>
      <w:r>
        <w:t>.</w:t>
      </w:r>
      <w:hyperlink r:id="rId3" w:history="1">
        <w:r w:rsidR="0080541C" w:rsidRPr="002C5A6A">
          <w:rPr>
            <w:rStyle w:val="Hipervnculo"/>
            <w:lang w:val="en-GB"/>
          </w:rPr>
          <w:t>www.ifrs.org</w:t>
        </w:r>
      </w:hyperlink>
    </w:p>
  </w:footnote>
  <w:footnote w:id="6">
    <w:p w14:paraId="716D024D" w14:textId="0B528BB0" w:rsidR="00734F24" w:rsidRPr="002C5A6A" w:rsidRDefault="00734F24" w:rsidP="00734F24">
      <w:pPr>
        <w:jc w:val="both"/>
        <w:rPr>
          <w:lang w:val="en-GB"/>
        </w:rPr>
      </w:pPr>
      <w:r>
        <w:rPr>
          <w:rStyle w:val="Refdenotaalpie"/>
        </w:rPr>
        <w:footnoteRef/>
      </w:r>
      <w:r w:rsidRPr="002C5A6A">
        <w:rPr>
          <w:lang w:val="en-GB"/>
        </w:rPr>
        <w:t xml:space="preserve"> </w:t>
      </w:r>
      <w:r w:rsidR="0098469D" w:rsidRPr="002C5A6A">
        <w:rPr>
          <w:lang w:val="en-GB"/>
        </w:rPr>
        <w:t xml:space="preserve">Dahlberg Institute; Closing gaps </w:t>
      </w:r>
      <w:r w:rsidR="00BC4844" w:rsidRPr="002C5A6A">
        <w:rPr>
          <w:lang w:val="en-GB"/>
        </w:rPr>
        <w:t>on finance ways pathways serving missing middles.</w:t>
      </w:r>
      <w:r w:rsidR="009F1C2D" w:rsidRPr="002C5A6A">
        <w:rPr>
          <w:lang w:val="en-GB"/>
        </w:rPr>
        <w:t>2022.</w:t>
      </w:r>
      <w:r w:rsidR="0098469D" w:rsidRPr="002C5A6A">
        <w:rPr>
          <w:lang w:val="en-GB"/>
        </w:rPr>
        <w:t xml:space="preserve"> </w:t>
      </w:r>
      <w:r w:rsidRPr="002C5A6A">
        <w:rPr>
          <w:lang w:val="en-GB"/>
        </w:rPr>
        <w:t>(https://dalberg.com/our-ideas/closing-gaps-finance-pathways-serving-missing-middles/)</w:t>
      </w:r>
    </w:p>
    <w:p w14:paraId="22D21C76" w14:textId="7DFE3F00" w:rsidR="00734F24" w:rsidRPr="002C5A6A" w:rsidRDefault="00734F24">
      <w:pPr>
        <w:pStyle w:val="Textonotapie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04489" w14:textId="77777777" w:rsidR="002C5A6A" w:rsidRDefault="002C5A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530B" w14:textId="23F9F38B" w:rsidR="002C5A6A" w:rsidRDefault="002C5A6A">
    <w:pPr>
      <w:pStyle w:val="Encabezado"/>
    </w:pPr>
    <w:r>
      <w:rPr>
        <w:noProof/>
      </w:rPr>
      <w:drawing>
        <wp:inline distT="0" distB="0" distL="0" distR="0" wp14:anchorId="27015E30" wp14:editId="2C292329">
          <wp:extent cx="1496290" cy="636592"/>
          <wp:effectExtent l="0" t="0" r="8890" b="0"/>
          <wp:docPr id="818680936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680936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812" cy="640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DC923D" w14:textId="77777777" w:rsidR="002C5A6A" w:rsidRDefault="002C5A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489A" w14:textId="77777777" w:rsidR="002C5A6A" w:rsidRDefault="002C5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01666"/>
    <w:multiLevelType w:val="hybridMultilevel"/>
    <w:tmpl w:val="F3D269C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6734D2"/>
    <w:multiLevelType w:val="hybridMultilevel"/>
    <w:tmpl w:val="1E3C5216"/>
    <w:lvl w:ilvl="0" w:tplc="0C0A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13FB39D4"/>
    <w:multiLevelType w:val="hybridMultilevel"/>
    <w:tmpl w:val="82765C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51A4"/>
    <w:multiLevelType w:val="hybridMultilevel"/>
    <w:tmpl w:val="A436515A"/>
    <w:lvl w:ilvl="0" w:tplc="59047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6F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2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0EA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2C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6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24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C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CC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03756"/>
    <w:multiLevelType w:val="hybridMultilevel"/>
    <w:tmpl w:val="D7462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3521"/>
    <w:multiLevelType w:val="hybridMultilevel"/>
    <w:tmpl w:val="789A42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B5058"/>
    <w:multiLevelType w:val="hybridMultilevel"/>
    <w:tmpl w:val="FCBA1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85E4B"/>
    <w:multiLevelType w:val="hybridMultilevel"/>
    <w:tmpl w:val="8A0C93CA"/>
    <w:lvl w:ilvl="0" w:tplc="D774F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8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2D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6CD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5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A8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C5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8E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5684720">
    <w:abstractNumId w:val="3"/>
  </w:num>
  <w:num w:numId="2" w16cid:durableId="1679890419">
    <w:abstractNumId w:val="7"/>
  </w:num>
  <w:num w:numId="3" w16cid:durableId="291986195">
    <w:abstractNumId w:val="4"/>
  </w:num>
  <w:num w:numId="4" w16cid:durableId="283659325">
    <w:abstractNumId w:val="2"/>
  </w:num>
  <w:num w:numId="5" w16cid:durableId="1213033612">
    <w:abstractNumId w:val="0"/>
  </w:num>
  <w:num w:numId="6" w16cid:durableId="2012029387">
    <w:abstractNumId w:val="1"/>
  </w:num>
  <w:num w:numId="7" w16cid:durableId="254217328">
    <w:abstractNumId w:val="5"/>
  </w:num>
  <w:num w:numId="8" w16cid:durableId="179814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D3"/>
    <w:rsid w:val="00006784"/>
    <w:rsid w:val="00010183"/>
    <w:rsid w:val="0001310E"/>
    <w:rsid w:val="00033B61"/>
    <w:rsid w:val="00033EE7"/>
    <w:rsid w:val="0003497D"/>
    <w:rsid w:val="00047BBC"/>
    <w:rsid w:val="00061C2C"/>
    <w:rsid w:val="00073A98"/>
    <w:rsid w:val="000740A7"/>
    <w:rsid w:val="00082822"/>
    <w:rsid w:val="00085689"/>
    <w:rsid w:val="00090380"/>
    <w:rsid w:val="000920DE"/>
    <w:rsid w:val="000A155B"/>
    <w:rsid w:val="000C6AD0"/>
    <w:rsid w:val="000C6E8C"/>
    <w:rsid w:val="000C7523"/>
    <w:rsid w:val="000E0FD3"/>
    <w:rsid w:val="000E2734"/>
    <w:rsid w:val="000F0E79"/>
    <w:rsid w:val="00110953"/>
    <w:rsid w:val="00113930"/>
    <w:rsid w:val="00126F5D"/>
    <w:rsid w:val="00130A5A"/>
    <w:rsid w:val="00136B4F"/>
    <w:rsid w:val="00145688"/>
    <w:rsid w:val="00185C69"/>
    <w:rsid w:val="00191DEA"/>
    <w:rsid w:val="001A20C6"/>
    <w:rsid w:val="001A6F87"/>
    <w:rsid w:val="001B15A8"/>
    <w:rsid w:val="001B48D5"/>
    <w:rsid w:val="001C2D05"/>
    <w:rsid w:val="001E6AD1"/>
    <w:rsid w:val="001F4FD6"/>
    <w:rsid w:val="002268EC"/>
    <w:rsid w:val="00235BA2"/>
    <w:rsid w:val="002503B1"/>
    <w:rsid w:val="0026260B"/>
    <w:rsid w:val="002808E2"/>
    <w:rsid w:val="0029378E"/>
    <w:rsid w:val="002B6C4D"/>
    <w:rsid w:val="002C15B1"/>
    <w:rsid w:val="002C58C9"/>
    <w:rsid w:val="002C5A6A"/>
    <w:rsid w:val="002C7569"/>
    <w:rsid w:val="002D13C7"/>
    <w:rsid w:val="002D6528"/>
    <w:rsid w:val="002E1817"/>
    <w:rsid w:val="002F61CF"/>
    <w:rsid w:val="00301464"/>
    <w:rsid w:val="0030367C"/>
    <w:rsid w:val="00306284"/>
    <w:rsid w:val="00317F24"/>
    <w:rsid w:val="00323BC3"/>
    <w:rsid w:val="00325C54"/>
    <w:rsid w:val="00326DC5"/>
    <w:rsid w:val="00333690"/>
    <w:rsid w:val="00334984"/>
    <w:rsid w:val="00334A1C"/>
    <w:rsid w:val="0034231A"/>
    <w:rsid w:val="003457B9"/>
    <w:rsid w:val="00345F27"/>
    <w:rsid w:val="00356AE8"/>
    <w:rsid w:val="003825B3"/>
    <w:rsid w:val="00387E95"/>
    <w:rsid w:val="003949ED"/>
    <w:rsid w:val="003955A5"/>
    <w:rsid w:val="003B0723"/>
    <w:rsid w:val="003C1800"/>
    <w:rsid w:val="003D3387"/>
    <w:rsid w:val="003E2D18"/>
    <w:rsid w:val="003E5F53"/>
    <w:rsid w:val="003F27C2"/>
    <w:rsid w:val="00421EB9"/>
    <w:rsid w:val="00434D2D"/>
    <w:rsid w:val="00437967"/>
    <w:rsid w:val="00446499"/>
    <w:rsid w:val="00450171"/>
    <w:rsid w:val="00491FDE"/>
    <w:rsid w:val="00497CDD"/>
    <w:rsid w:val="004A3399"/>
    <w:rsid w:val="004C4D79"/>
    <w:rsid w:val="004C7C2F"/>
    <w:rsid w:val="004D130D"/>
    <w:rsid w:val="004D292A"/>
    <w:rsid w:val="004E18C1"/>
    <w:rsid w:val="004E77A9"/>
    <w:rsid w:val="004F20BA"/>
    <w:rsid w:val="00501EF6"/>
    <w:rsid w:val="005027B3"/>
    <w:rsid w:val="00510912"/>
    <w:rsid w:val="005149EB"/>
    <w:rsid w:val="0052015D"/>
    <w:rsid w:val="005574E7"/>
    <w:rsid w:val="00557C54"/>
    <w:rsid w:val="00575CF4"/>
    <w:rsid w:val="00577DEC"/>
    <w:rsid w:val="00587066"/>
    <w:rsid w:val="005A2DF2"/>
    <w:rsid w:val="005A63A9"/>
    <w:rsid w:val="005D5C41"/>
    <w:rsid w:val="005E0200"/>
    <w:rsid w:val="005F04D7"/>
    <w:rsid w:val="00600FE7"/>
    <w:rsid w:val="00607574"/>
    <w:rsid w:val="006208F0"/>
    <w:rsid w:val="00623A87"/>
    <w:rsid w:val="00640BD4"/>
    <w:rsid w:val="00642018"/>
    <w:rsid w:val="00642F0E"/>
    <w:rsid w:val="006443C8"/>
    <w:rsid w:val="00647794"/>
    <w:rsid w:val="00654142"/>
    <w:rsid w:val="0065586F"/>
    <w:rsid w:val="00655C00"/>
    <w:rsid w:val="00657409"/>
    <w:rsid w:val="006646A2"/>
    <w:rsid w:val="00683ED9"/>
    <w:rsid w:val="006A4E16"/>
    <w:rsid w:val="006A73EB"/>
    <w:rsid w:val="006B2BFE"/>
    <w:rsid w:val="006B75E4"/>
    <w:rsid w:val="006C2079"/>
    <w:rsid w:val="006C7DBD"/>
    <w:rsid w:val="006D6904"/>
    <w:rsid w:val="006F22F0"/>
    <w:rsid w:val="006F3DAF"/>
    <w:rsid w:val="007032D0"/>
    <w:rsid w:val="007059E6"/>
    <w:rsid w:val="00723798"/>
    <w:rsid w:val="00734409"/>
    <w:rsid w:val="00734F24"/>
    <w:rsid w:val="00737694"/>
    <w:rsid w:val="007476AD"/>
    <w:rsid w:val="007513F1"/>
    <w:rsid w:val="00752407"/>
    <w:rsid w:val="007556A6"/>
    <w:rsid w:val="00762943"/>
    <w:rsid w:val="00763C8B"/>
    <w:rsid w:val="00776B13"/>
    <w:rsid w:val="007801CD"/>
    <w:rsid w:val="00780ECC"/>
    <w:rsid w:val="00784C02"/>
    <w:rsid w:val="00785B71"/>
    <w:rsid w:val="007A0731"/>
    <w:rsid w:val="007A77E6"/>
    <w:rsid w:val="007C2000"/>
    <w:rsid w:val="007C5C81"/>
    <w:rsid w:val="007D6DDE"/>
    <w:rsid w:val="007E1FEB"/>
    <w:rsid w:val="007E6A86"/>
    <w:rsid w:val="007F1D67"/>
    <w:rsid w:val="0080541C"/>
    <w:rsid w:val="00812A09"/>
    <w:rsid w:val="0081445A"/>
    <w:rsid w:val="008229B6"/>
    <w:rsid w:val="00832244"/>
    <w:rsid w:val="00847F64"/>
    <w:rsid w:val="00850655"/>
    <w:rsid w:val="0085727C"/>
    <w:rsid w:val="00870876"/>
    <w:rsid w:val="00896CD0"/>
    <w:rsid w:val="008B04CA"/>
    <w:rsid w:val="008D6469"/>
    <w:rsid w:val="008F195C"/>
    <w:rsid w:val="00922B3F"/>
    <w:rsid w:val="00934495"/>
    <w:rsid w:val="0094126C"/>
    <w:rsid w:val="00950871"/>
    <w:rsid w:val="00952F31"/>
    <w:rsid w:val="00954922"/>
    <w:rsid w:val="00960443"/>
    <w:rsid w:val="0096676B"/>
    <w:rsid w:val="00970708"/>
    <w:rsid w:val="009729BA"/>
    <w:rsid w:val="00977379"/>
    <w:rsid w:val="0098469D"/>
    <w:rsid w:val="0099193E"/>
    <w:rsid w:val="009937FC"/>
    <w:rsid w:val="009A5F33"/>
    <w:rsid w:val="009A666C"/>
    <w:rsid w:val="009C41A9"/>
    <w:rsid w:val="009C64E5"/>
    <w:rsid w:val="009D28B1"/>
    <w:rsid w:val="009D7E75"/>
    <w:rsid w:val="009F1C2D"/>
    <w:rsid w:val="00A04469"/>
    <w:rsid w:val="00A051AE"/>
    <w:rsid w:val="00A06728"/>
    <w:rsid w:val="00A3762F"/>
    <w:rsid w:val="00A436FC"/>
    <w:rsid w:val="00A43888"/>
    <w:rsid w:val="00A5240A"/>
    <w:rsid w:val="00A53A1C"/>
    <w:rsid w:val="00A6312A"/>
    <w:rsid w:val="00A67985"/>
    <w:rsid w:val="00A719EB"/>
    <w:rsid w:val="00A903F6"/>
    <w:rsid w:val="00A97FBB"/>
    <w:rsid w:val="00AA7BDD"/>
    <w:rsid w:val="00AC749B"/>
    <w:rsid w:val="00AE14B0"/>
    <w:rsid w:val="00AF3139"/>
    <w:rsid w:val="00AF4AE3"/>
    <w:rsid w:val="00B06E20"/>
    <w:rsid w:val="00B10723"/>
    <w:rsid w:val="00B114B4"/>
    <w:rsid w:val="00B12063"/>
    <w:rsid w:val="00B20C39"/>
    <w:rsid w:val="00B27F86"/>
    <w:rsid w:val="00B42075"/>
    <w:rsid w:val="00B45753"/>
    <w:rsid w:val="00B50EA5"/>
    <w:rsid w:val="00B73442"/>
    <w:rsid w:val="00B8464C"/>
    <w:rsid w:val="00B8614B"/>
    <w:rsid w:val="00BA444F"/>
    <w:rsid w:val="00BA47BB"/>
    <w:rsid w:val="00BA5C3C"/>
    <w:rsid w:val="00BC4844"/>
    <w:rsid w:val="00BC57AD"/>
    <w:rsid w:val="00BC64D3"/>
    <w:rsid w:val="00BF41CF"/>
    <w:rsid w:val="00C05543"/>
    <w:rsid w:val="00C15DD1"/>
    <w:rsid w:val="00C21AB1"/>
    <w:rsid w:val="00C22C53"/>
    <w:rsid w:val="00C23DBB"/>
    <w:rsid w:val="00C34862"/>
    <w:rsid w:val="00C405E5"/>
    <w:rsid w:val="00C42100"/>
    <w:rsid w:val="00C4450C"/>
    <w:rsid w:val="00C4611C"/>
    <w:rsid w:val="00C513ED"/>
    <w:rsid w:val="00C534FD"/>
    <w:rsid w:val="00C63A4F"/>
    <w:rsid w:val="00C646FC"/>
    <w:rsid w:val="00C65880"/>
    <w:rsid w:val="00C92E62"/>
    <w:rsid w:val="00C92F35"/>
    <w:rsid w:val="00C97FF0"/>
    <w:rsid w:val="00CA22B5"/>
    <w:rsid w:val="00CA48BB"/>
    <w:rsid w:val="00CC0168"/>
    <w:rsid w:val="00CC4B1A"/>
    <w:rsid w:val="00CF2DDD"/>
    <w:rsid w:val="00CF5154"/>
    <w:rsid w:val="00D04F3D"/>
    <w:rsid w:val="00D235CA"/>
    <w:rsid w:val="00D27C2B"/>
    <w:rsid w:val="00D37C27"/>
    <w:rsid w:val="00D50232"/>
    <w:rsid w:val="00D6400B"/>
    <w:rsid w:val="00D70D9B"/>
    <w:rsid w:val="00D813E3"/>
    <w:rsid w:val="00D8274B"/>
    <w:rsid w:val="00DB6419"/>
    <w:rsid w:val="00DD38B7"/>
    <w:rsid w:val="00DE3BC5"/>
    <w:rsid w:val="00DE7B85"/>
    <w:rsid w:val="00DF0839"/>
    <w:rsid w:val="00DF40A4"/>
    <w:rsid w:val="00E058E4"/>
    <w:rsid w:val="00E07A79"/>
    <w:rsid w:val="00E25629"/>
    <w:rsid w:val="00E64D22"/>
    <w:rsid w:val="00E65852"/>
    <w:rsid w:val="00E72AA6"/>
    <w:rsid w:val="00E75990"/>
    <w:rsid w:val="00E9546F"/>
    <w:rsid w:val="00EA42A6"/>
    <w:rsid w:val="00EA7514"/>
    <w:rsid w:val="00EA75E4"/>
    <w:rsid w:val="00EB1CCE"/>
    <w:rsid w:val="00EB457A"/>
    <w:rsid w:val="00EB66BB"/>
    <w:rsid w:val="00EB67AA"/>
    <w:rsid w:val="00EC1CF8"/>
    <w:rsid w:val="00EE3FC6"/>
    <w:rsid w:val="00F43AA7"/>
    <w:rsid w:val="00F50F46"/>
    <w:rsid w:val="00F54695"/>
    <w:rsid w:val="00F60346"/>
    <w:rsid w:val="00F62DDE"/>
    <w:rsid w:val="00F6546D"/>
    <w:rsid w:val="00F76770"/>
    <w:rsid w:val="00F80AE6"/>
    <w:rsid w:val="00F82E56"/>
    <w:rsid w:val="00F9078E"/>
    <w:rsid w:val="00F9342F"/>
    <w:rsid w:val="00FA0670"/>
    <w:rsid w:val="00FC2CC1"/>
    <w:rsid w:val="00FC41D2"/>
    <w:rsid w:val="00FD689B"/>
    <w:rsid w:val="00FF308C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94D35"/>
  <w15:chartTrackingRefBased/>
  <w15:docId w15:val="{484929D8-920E-4CD5-80BD-373CD380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6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6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6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6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6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6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6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6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6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6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6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6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64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64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6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6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6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6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6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6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6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6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6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6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6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64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6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64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64D3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0F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0F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0F46"/>
    <w:rPr>
      <w:vertAlign w:val="superscript"/>
    </w:rPr>
  </w:style>
  <w:style w:type="table" w:styleId="Tablaconcuadrcula">
    <w:name w:val="Table Grid"/>
    <w:basedOn w:val="Tablanormal"/>
    <w:uiPriority w:val="39"/>
    <w:rsid w:val="006A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63A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63A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C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A6A"/>
  </w:style>
  <w:style w:type="paragraph" w:styleId="Piedepgina">
    <w:name w:val="footer"/>
    <w:basedOn w:val="Normal"/>
    <w:link w:val="PiedepginaCar"/>
    <w:uiPriority w:val="99"/>
    <w:unhideWhenUsed/>
    <w:rsid w:val="002C5A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61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00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8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6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69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90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34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rs.org/content/dam/ifrs/publications/pdf-standards-issb/spanish/2023/issued/part-a/es-issb-2023-a-ifrs-s1-general-requirements-for-disclosure-of-sustainability-related-financial-information.pdf?bypass=on" TargetMode="External"/><Relationship Id="rId2" Type="http://schemas.openxmlformats.org/officeDocument/2006/relationships/hyperlink" Target="https://www.iberlibro.com/9780141986104/Entrepreneurial-State-10th-anniversary-edition-0141986107/plp" TargetMode="External"/><Relationship Id="rId1" Type="http://schemas.openxmlformats.org/officeDocument/2006/relationships/hyperlink" Target="https://www.iberlibro.com/buscar-libro/autor/mazzucato-marian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85585-99DE-4FB1-B49C-A999958759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771A0-2F63-41A9-9765-EC290FA3007C}"/>
</file>

<file path=customXml/itemProps3.xml><?xml version="1.0" encoding="utf-8"?>
<ds:datastoreItem xmlns:ds="http://schemas.openxmlformats.org/officeDocument/2006/customXml" ds:itemID="{527B85B5-3CDD-4143-98E3-97DAA66A4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2312</Words>
  <Characters>12721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Ruiz</dc:creator>
  <cp:keywords/>
  <dc:description/>
  <cp:lastModifiedBy>Kristian Prieto Vicio</cp:lastModifiedBy>
  <cp:revision>37</cp:revision>
  <cp:lastPrinted>2024-10-14T15:39:00Z</cp:lastPrinted>
  <dcterms:created xsi:type="dcterms:W3CDTF">2024-10-14T11:04:00Z</dcterms:created>
  <dcterms:modified xsi:type="dcterms:W3CDTF">2024-10-15T13:01:00Z</dcterms:modified>
</cp:coreProperties>
</file>