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9EBF" w14:textId="65B2701A" w:rsidR="00B37572" w:rsidRDefault="00B37572" w:rsidP="00B37572">
      <w:pPr>
        <w:pStyle w:val="Heading1"/>
        <w:jc w:val="center"/>
      </w:pPr>
      <w:r w:rsidRPr="004929D3">
        <w:t xml:space="preserve">Financing </w:t>
      </w:r>
      <w:r w:rsidR="00251A33">
        <w:t>Po</w:t>
      </w:r>
      <w:r w:rsidR="002C6D77">
        <w:t xml:space="preserve">licy </w:t>
      </w:r>
      <w:r w:rsidRPr="004929D3">
        <w:t>Brief</w:t>
      </w:r>
      <w:r w:rsidR="00174569">
        <w:t xml:space="preserve"> Series </w:t>
      </w:r>
      <w:r w:rsidRPr="004929D3">
        <w:t xml:space="preserve">– </w:t>
      </w:r>
      <w:r w:rsidR="00B52F12">
        <w:t>Recommendations for</w:t>
      </w:r>
      <w:r w:rsidRPr="004929D3">
        <w:t xml:space="preserve"> FfD4</w:t>
      </w:r>
    </w:p>
    <w:p w14:paraId="33D102E9" w14:textId="51366384" w:rsidR="00174569" w:rsidRPr="00174569" w:rsidRDefault="00270D45" w:rsidP="00174569">
      <w:pPr>
        <w:pStyle w:val="Heading1"/>
        <w:jc w:val="center"/>
      </w:pPr>
      <w:r>
        <w:t xml:space="preserve">The role of </w:t>
      </w:r>
      <w:r w:rsidR="00FA22FC">
        <w:t xml:space="preserve">Domestic Revenue Mobilization </w:t>
      </w:r>
      <w:r>
        <w:t>in achieving the SDGs</w:t>
      </w:r>
      <w:r w:rsidR="00EC08BE">
        <w:t xml:space="preserve"> (joint submission by IMF, OECD and WBG)</w:t>
      </w:r>
    </w:p>
    <w:p w14:paraId="3759A8D8" w14:textId="77777777" w:rsidR="00B37572" w:rsidRDefault="00B37572" w:rsidP="00B37572"/>
    <w:p w14:paraId="4931A488" w14:textId="24731287" w:rsidR="00B37572" w:rsidRDefault="00174569" w:rsidP="00B37572">
      <w:pPr>
        <w:pStyle w:val="Heading2"/>
      </w:pPr>
      <w:r>
        <w:t xml:space="preserve">Key messages </w:t>
      </w:r>
    </w:p>
    <w:p w14:paraId="2EB31CFC" w14:textId="128A6E00" w:rsidR="00174569" w:rsidRDefault="001008FF" w:rsidP="00601D90">
      <w:pPr>
        <w:pStyle w:val="ListParagraph"/>
        <w:numPr>
          <w:ilvl w:val="0"/>
          <w:numId w:val="6"/>
        </w:numPr>
      </w:pPr>
      <w:bookmarkStart w:id="0" w:name="_Hlk179202417"/>
      <w:r w:rsidRPr="0086102C">
        <w:t xml:space="preserve">Effective </w:t>
      </w:r>
      <w:r w:rsidRPr="0086102C">
        <w:rPr>
          <w:b/>
          <w:bCs/>
        </w:rPr>
        <w:t>D</w:t>
      </w:r>
      <w:r w:rsidRPr="00E94657">
        <w:rPr>
          <w:b/>
          <w:bCs/>
        </w:rPr>
        <w:t>omestic Re</w:t>
      </w:r>
      <w:r w:rsidR="00210422">
        <w:rPr>
          <w:b/>
          <w:bCs/>
        </w:rPr>
        <w:t>venue</w:t>
      </w:r>
      <w:r w:rsidRPr="00E94657">
        <w:rPr>
          <w:b/>
          <w:bCs/>
        </w:rPr>
        <w:t xml:space="preserve"> </w:t>
      </w:r>
      <w:r w:rsidRPr="0086102C">
        <w:rPr>
          <w:b/>
          <w:bCs/>
        </w:rPr>
        <w:t>M</w:t>
      </w:r>
      <w:r w:rsidRPr="00E94657">
        <w:rPr>
          <w:b/>
          <w:bCs/>
        </w:rPr>
        <w:t>obilization (DRM)</w:t>
      </w:r>
      <w:r w:rsidRPr="0086102C">
        <w:t xml:space="preserve"> is crucial for financing the Sustainable Development Goals (SDGs) in low-income countries. </w:t>
      </w:r>
      <w:r w:rsidR="002E6F24">
        <w:t>DRM</w:t>
      </w:r>
      <w:r w:rsidRPr="0086102C">
        <w:t xml:space="preserve"> enhances state capacity to provide essential public services and aligns tax reforms with national development plans to address pressing challenges</w:t>
      </w:r>
      <w:r>
        <w:t>.</w:t>
      </w:r>
    </w:p>
    <w:p w14:paraId="6FB917C2" w14:textId="26D9B3AC" w:rsidR="001008FF" w:rsidRDefault="001008FF" w:rsidP="00174569">
      <w:pPr>
        <w:pStyle w:val="ListParagraph"/>
        <w:numPr>
          <w:ilvl w:val="0"/>
          <w:numId w:val="6"/>
        </w:numPr>
      </w:pPr>
      <w:r w:rsidRPr="0086102C">
        <w:t xml:space="preserve">To bridge the </w:t>
      </w:r>
      <w:r w:rsidRPr="0086102C">
        <w:rPr>
          <w:b/>
          <w:bCs/>
        </w:rPr>
        <w:t>significant financing gap for achieving the SDGs</w:t>
      </w:r>
      <w:r w:rsidRPr="0086102C">
        <w:t xml:space="preserve">, countries must implement comprehensive tax </w:t>
      </w:r>
      <w:r w:rsidR="00DB2480">
        <w:t xml:space="preserve">system </w:t>
      </w:r>
      <w:r w:rsidRPr="0086102C">
        <w:t>reforms. This includes improving tax structures, enhancing compliance</w:t>
      </w:r>
      <w:r w:rsidR="00A150E2">
        <w:t xml:space="preserve"> and enforcement</w:t>
      </w:r>
      <w:r w:rsidRPr="0086102C">
        <w:t>, utilizing digital technologies, and broadening tax bases to increase revenue</w:t>
      </w:r>
      <w:r>
        <w:t>.</w:t>
      </w:r>
    </w:p>
    <w:p w14:paraId="1221FCBB" w14:textId="0C965C9A" w:rsidR="00174569" w:rsidRDefault="001008FF" w:rsidP="00174569">
      <w:pPr>
        <w:pStyle w:val="ListParagraph"/>
        <w:numPr>
          <w:ilvl w:val="0"/>
          <w:numId w:val="6"/>
        </w:numPr>
      </w:pPr>
      <w:r w:rsidRPr="0086102C">
        <w:rPr>
          <w:b/>
          <w:bCs/>
        </w:rPr>
        <w:t>International cooperation</w:t>
      </w:r>
      <w:r w:rsidR="00C15831">
        <w:rPr>
          <w:b/>
          <w:bCs/>
        </w:rPr>
        <w:t xml:space="preserve"> on tax matters</w:t>
      </w:r>
      <w:r w:rsidRPr="0086102C">
        <w:t xml:space="preserve"> is essential to support developing countries in strengthening their taxation systems. Initiatives like the Platform for Collaboration on Tax (PCT) and the upcoming Financing for Development Conference (FFD4) emphasize the importance of global norms and collaborative efforts to achieve sustainable development through effective taxatio</w:t>
      </w:r>
      <w:r>
        <w:t>n.</w:t>
      </w:r>
    </w:p>
    <w:bookmarkEnd w:id="0"/>
    <w:p w14:paraId="2B511B58" w14:textId="01ABCE58" w:rsidR="00174569" w:rsidRDefault="00A150E2" w:rsidP="00174569">
      <w:pPr>
        <w:pStyle w:val="Heading2"/>
      </w:pPr>
      <w:r>
        <w:t xml:space="preserve">Issue </w:t>
      </w:r>
      <w:proofErr w:type="gramStart"/>
      <w:r w:rsidR="00174569">
        <w:t>statement</w:t>
      </w:r>
      <w:proofErr w:type="gramEnd"/>
      <w:r w:rsidR="00174569">
        <w:t xml:space="preserve"> </w:t>
      </w:r>
    </w:p>
    <w:p w14:paraId="1A46B8DF" w14:textId="1B002E3F" w:rsidR="00174569" w:rsidRPr="00EC08BE" w:rsidRDefault="00EC08BE" w:rsidP="00E94657">
      <w:pPr>
        <w:rPr>
          <w:rFonts w:cstheme="minorHAnsi"/>
        </w:rPr>
      </w:pPr>
      <w:bookmarkStart w:id="1" w:name="_Hlk179202933"/>
      <w:bookmarkStart w:id="2" w:name="_Hlk179204069"/>
      <w:r w:rsidRPr="00EC08BE">
        <w:rPr>
          <w:rFonts w:cstheme="minorHAnsi"/>
          <w:color w:val="222222"/>
          <w:lang w:val="en-GB"/>
        </w:rPr>
        <w:t xml:space="preserve">Since the pandemic, the SDG financing gap has grown to </w:t>
      </w:r>
      <w:r w:rsidRPr="00EC08BE">
        <w:rPr>
          <w:rFonts w:cstheme="minorHAnsi"/>
          <w:color w:val="000000"/>
          <w:lang w:val="en-GB"/>
        </w:rPr>
        <w:t xml:space="preserve">USD 4 trillion </w:t>
      </w:r>
      <w:r w:rsidRPr="00EC08BE">
        <w:rPr>
          <w:rFonts w:cstheme="minorHAnsi"/>
          <w:color w:val="222222"/>
          <w:lang w:val="en-GB"/>
        </w:rPr>
        <w:t xml:space="preserve">a year according to </w:t>
      </w:r>
      <w:hyperlink r:id="rId7" w:tgtFrame="_blank" w:history="1">
        <w:r w:rsidRPr="00EC08BE">
          <w:rPr>
            <w:rStyle w:val="Hyperlink"/>
            <w:rFonts w:cstheme="minorHAnsi"/>
            <w:lang w:val="en-GB"/>
          </w:rPr>
          <w:t>UN estimates</w:t>
        </w:r>
      </w:hyperlink>
      <w:r w:rsidR="00DB2480">
        <w:rPr>
          <w:rStyle w:val="Hyperlink"/>
          <w:rFonts w:cstheme="minorHAnsi"/>
          <w:lang w:val="en-GB"/>
        </w:rPr>
        <w:t>.</w:t>
      </w:r>
      <w:r w:rsidRPr="00EC08BE">
        <w:rPr>
          <w:rStyle w:val="Hyperlink"/>
          <w:rFonts w:cstheme="minorHAnsi"/>
          <w:lang w:val="en-GB"/>
        </w:rPr>
        <w:t xml:space="preserve"> </w:t>
      </w:r>
      <w:r w:rsidR="00DB2480">
        <w:rPr>
          <w:rFonts w:cstheme="minorHAnsi"/>
          <w:color w:val="222222"/>
          <w:lang w:val="en-GB"/>
        </w:rPr>
        <w:t xml:space="preserve">Moreover, </w:t>
      </w:r>
      <w:r w:rsidRPr="00EC08BE">
        <w:rPr>
          <w:rFonts w:cstheme="minorHAnsi"/>
          <w:color w:val="222222"/>
          <w:lang w:val="en-GB"/>
        </w:rPr>
        <w:t xml:space="preserve">it is widely recognized that without large-scale investments, the world faces catastrophic climate consequences. </w:t>
      </w:r>
      <w:r w:rsidR="00291D26">
        <w:rPr>
          <w:rFonts w:cstheme="minorHAnsi"/>
          <w:color w:val="222222"/>
          <w:lang w:val="en-GB"/>
        </w:rPr>
        <w:t>L</w:t>
      </w:r>
      <w:r w:rsidR="001008FF" w:rsidRPr="00EC08BE">
        <w:rPr>
          <w:rFonts w:cstheme="minorHAnsi"/>
        </w:rPr>
        <w:t xml:space="preserve">ow-income countries </w:t>
      </w:r>
      <w:r w:rsidR="00291D26">
        <w:rPr>
          <w:rFonts w:cstheme="minorHAnsi"/>
        </w:rPr>
        <w:t xml:space="preserve">especially </w:t>
      </w:r>
      <w:r w:rsidR="001008FF" w:rsidRPr="00EC08BE">
        <w:rPr>
          <w:rFonts w:cstheme="minorHAnsi"/>
        </w:rPr>
        <w:t xml:space="preserve">face </w:t>
      </w:r>
      <w:r w:rsidR="001008FF" w:rsidRPr="00EC08BE">
        <w:rPr>
          <w:rStyle w:val="Strong"/>
          <w:rFonts w:cstheme="minorHAnsi"/>
          <w:b w:val="0"/>
          <w:bCs w:val="0"/>
        </w:rPr>
        <w:t>significant financing gaps</w:t>
      </w:r>
      <w:r w:rsidR="001008FF" w:rsidRPr="00EC08BE">
        <w:rPr>
          <w:rFonts w:cstheme="minorHAnsi"/>
        </w:rPr>
        <w:t xml:space="preserve"> in achieving the SDGs. </w:t>
      </w:r>
      <w:bookmarkStart w:id="3" w:name="_Hlk177452951"/>
      <w:r w:rsidRPr="00EC08BE">
        <w:rPr>
          <w:rFonts w:cstheme="minorHAnsi"/>
        </w:rPr>
        <w:t>For the</w:t>
      </w:r>
      <w:r w:rsidR="00DB2480">
        <w:rPr>
          <w:rFonts w:cstheme="minorHAnsi"/>
        </w:rPr>
        <w:t>m</w:t>
      </w:r>
      <w:r w:rsidRPr="00EC08BE">
        <w:rPr>
          <w:rFonts w:cstheme="minorHAnsi"/>
        </w:rPr>
        <w:t xml:space="preserve">, achieving SDGs </w:t>
      </w:r>
      <w:r w:rsidR="00DB2480" w:rsidRPr="00EC08BE">
        <w:rPr>
          <w:rFonts w:cstheme="minorHAnsi"/>
        </w:rPr>
        <w:t>relat</w:t>
      </w:r>
      <w:r w:rsidR="00DB2480">
        <w:rPr>
          <w:rFonts w:cstheme="minorHAnsi"/>
        </w:rPr>
        <w:t>ed</w:t>
      </w:r>
      <w:r w:rsidR="00DB2480" w:rsidRPr="00EC08BE">
        <w:rPr>
          <w:rFonts w:cstheme="minorHAnsi"/>
        </w:rPr>
        <w:t xml:space="preserve"> </w:t>
      </w:r>
      <w:r w:rsidRPr="00EC08BE">
        <w:rPr>
          <w:rFonts w:cstheme="minorHAnsi"/>
        </w:rPr>
        <w:t xml:space="preserve">to investment in health and education (building human capital), as well as water and sanitation, electricity, and road infrastructure (building physical capital), is </w:t>
      </w:r>
      <w:hyperlink r:id="rId8" w:history="1">
        <w:r w:rsidRPr="00EC08BE">
          <w:rPr>
            <w:rFonts w:cstheme="minorHAnsi"/>
          </w:rPr>
          <w:t>estimated</w:t>
        </w:r>
      </w:hyperlink>
      <w:r w:rsidRPr="00EC08BE">
        <w:rPr>
          <w:rFonts w:cstheme="minorHAnsi"/>
        </w:rPr>
        <w:t xml:space="preserve"> by the </w:t>
      </w:r>
      <w:hyperlink r:id="rId9" w:history="1">
        <w:r w:rsidRPr="00EC08BE">
          <w:rPr>
            <w:rStyle w:val="Hyperlink"/>
            <w:rFonts w:cstheme="minorHAnsi"/>
          </w:rPr>
          <w:t>IMF</w:t>
        </w:r>
      </w:hyperlink>
      <w:r w:rsidRPr="00EC08BE">
        <w:rPr>
          <w:rFonts w:cstheme="minorHAnsi"/>
        </w:rPr>
        <w:t xml:space="preserve"> to cost 16.1 percent of their GDP. This compares to 4.8 percent in emerging economies and less than 0.2 percent in advanced economies.</w:t>
      </w:r>
      <w:r w:rsidRPr="00EC08BE">
        <w:rPr>
          <w:rFonts w:cstheme="minorHAnsi"/>
          <w:color w:val="222222"/>
          <w:lang w:val="en-GB"/>
        </w:rPr>
        <w:t xml:space="preserve"> </w:t>
      </w:r>
      <w:bookmarkEnd w:id="3"/>
      <w:r w:rsidR="001008FF" w:rsidRPr="00EC08BE">
        <w:rPr>
          <w:rFonts w:cstheme="minorHAnsi"/>
        </w:rPr>
        <w:t xml:space="preserve">Many low-income </w:t>
      </w:r>
      <w:r w:rsidRPr="00EC08BE">
        <w:rPr>
          <w:rFonts w:cstheme="minorHAnsi"/>
        </w:rPr>
        <w:t>countries</w:t>
      </w:r>
      <w:r w:rsidR="001008FF" w:rsidRPr="00EC08BE">
        <w:rPr>
          <w:rFonts w:cstheme="minorHAnsi"/>
        </w:rPr>
        <w:t xml:space="preserve"> are unable to collect sufficient tax revenues, with nearly 80</w:t>
      </w:r>
      <w:r w:rsidR="00210422">
        <w:rPr>
          <w:rFonts w:cstheme="minorHAnsi"/>
        </w:rPr>
        <w:t> percent</w:t>
      </w:r>
      <w:r w:rsidR="001008FF" w:rsidRPr="00EC08BE">
        <w:rPr>
          <w:rFonts w:cstheme="minorHAnsi"/>
        </w:rPr>
        <w:t xml:space="preserve"> </w:t>
      </w:r>
      <w:r w:rsidR="00DB2480">
        <w:rPr>
          <w:rFonts w:cstheme="minorHAnsi"/>
        </w:rPr>
        <w:t xml:space="preserve">currently </w:t>
      </w:r>
      <w:r w:rsidR="001008FF" w:rsidRPr="00EC08BE">
        <w:rPr>
          <w:rFonts w:cstheme="minorHAnsi"/>
        </w:rPr>
        <w:t>collecting less than 15</w:t>
      </w:r>
      <w:r w:rsidR="00210422">
        <w:rPr>
          <w:rFonts w:cstheme="minorHAnsi"/>
        </w:rPr>
        <w:t> percent</w:t>
      </w:r>
      <w:r w:rsidR="001008FF" w:rsidRPr="00EC08BE">
        <w:rPr>
          <w:rFonts w:cstheme="minorHAnsi"/>
        </w:rPr>
        <w:t xml:space="preserve"> of GDP in taxes. </w:t>
      </w:r>
      <w:r w:rsidRPr="00EC08BE">
        <w:rPr>
          <w:rFonts w:cstheme="minorHAnsi"/>
          <w:color w:val="222222"/>
          <w:lang w:val="en-GB"/>
        </w:rPr>
        <w:t>Based on historical and cross-country data</w:t>
      </w:r>
      <w:r w:rsidR="00DB2480">
        <w:rPr>
          <w:rFonts w:cstheme="minorHAnsi"/>
          <w:color w:val="222222"/>
          <w:lang w:val="en-GB"/>
        </w:rPr>
        <w:t>,</w:t>
      </w:r>
      <w:r w:rsidRPr="00EC08BE">
        <w:rPr>
          <w:rFonts w:cstheme="minorHAnsi"/>
          <w:color w:val="222222"/>
          <w:lang w:val="en-GB"/>
        </w:rPr>
        <w:t xml:space="preserve"> IMF </w:t>
      </w:r>
      <w:r w:rsidR="00DB2480">
        <w:rPr>
          <w:rFonts w:cstheme="minorHAnsi"/>
          <w:color w:val="222222"/>
          <w:lang w:val="en-GB"/>
        </w:rPr>
        <w:t xml:space="preserve">staff </w:t>
      </w:r>
      <w:r w:rsidRPr="00EC08BE">
        <w:rPr>
          <w:rFonts w:cstheme="minorHAnsi"/>
          <w:color w:val="222222"/>
          <w:lang w:val="en-GB"/>
        </w:rPr>
        <w:t xml:space="preserve">estimated that there is a </w:t>
      </w:r>
      <w:hyperlink r:id="rId10" w:history="1">
        <w:r w:rsidRPr="00EC08BE">
          <w:rPr>
            <w:rStyle w:val="Hyperlink"/>
            <w:rFonts w:cstheme="minorHAnsi"/>
            <w:lang w:val="en-GB"/>
          </w:rPr>
          <w:t>tipping point</w:t>
        </w:r>
      </w:hyperlink>
      <w:r w:rsidRPr="00EC08BE">
        <w:rPr>
          <w:rFonts w:cstheme="minorHAnsi"/>
          <w:color w:val="222222"/>
          <w:lang w:val="en-GB"/>
        </w:rPr>
        <w:t xml:space="preserve"> of around 15</w:t>
      </w:r>
      <w:r w:rsidR="00210422">
        <w:rPr>
          <w:rFonts w:cstheme="minorHAnsi"/>
          <w:color w:val="222222"/>
          <w:lang w:val="en-GB"/>
        </w:rPr>
        <w:t> </w:t>
      </w:r>
      <w:r w:rsidRPr="00EC08BE">
        <w:rPr>
          <w:rFonts w:cstheme="minorHAnsi"/>
          <w:color w:val="222222"/>
          <w:lang w:val="en-GB"/>
        </w:rPr>
        <w:t>percent of tax-to-GDP above which countries experience significant</w:t>
      </w:r>
      <w:r w:rsidR="00DB2480">
        <w:rPr>
          <w:rFonts w:cstheme="minorHAnsi"/>
          <w:color w:val="222222"/>
          <w:lang w:val="en-GB"/>
        </w:rPr>
        <w:t>ly</w:t>
      </w:r>
      <w:r w:rsidRPr="00EC08BE">
        <w:rPr>
          <w:rFonts w:cstheme="minorHAnsi"/>
          <w:color w:val="222222"/>
          <w:lang w:val="en-GB"/>
        </w:rPr>
        <w:t xml:space="preserve"> </w:t>
      </w:r>
      <w:r w:rsidR="00DB2480">
        <w:rPr>
          <w:rFonts w:cstheme="minorHAnsi"/>
          <w:color w:val="222222"/>
          <w:lang w:val="en-GB"/>
        </w:rPr>
        <w:t xml:space="preserve">higher </w:t>
      </w:r>
      <w:r w:rsidRPr="00EC08BE">
        <w:rPr>
          <w:rFonts w:cstheme="minorHAnsi"/>
          <w:color w:val="222222"/>
          <w:lang w:val="en-GB"/>
        </w:rPr>
        <w:t>economic growth</w:t>
      </w:r>
      <w:r w:rsidR="005F370E">
        <w:rPr>
          <w:rFonts w:cstheme="minorHAnsi"/>
          <w:color w:val="222222"/>
          <w:lang w:val="en-GB"/>
        </w:rPr>
        <w:t>.</w:t>
      </w:r>
      <w:r w:rsidR="005F370E" w:rsidRPr="005F370E">
        <w:rPr>
          <w:rFonts w:ascii="Arial" w:eastAsia="Arial" w:hAnsi="Arial" w:cs="Arial"/>
          <w:color w:val="222222"/>
          <w:kern w:val="0"/>
          <w:sz w:val="24"/>
          <w:szCs w:val="24"/>
          <w:lang w:val="en-GB" w:eastAsia="en-US"/>
          <w14:ligatures w14:val="none"/>
        </w:rPr>
        <w:t xml:space="preserve"> </w:t>
      </w:r>
      <w:r w:rsidR="005F370E" w:rsidRPr="00E1558E">
        <w:rPr>
          <w:rFonts w:eastAsia="Arial" w:cstheme="minorHAnsi"/>
          <w:color w:val="222222"/>
          <w:kern w:val="0"/>
          <w:lang w:val="en-GB" w:eastAsia="en-US"/>
          <w14:ligatures w14:val="none"/>
        </w:rPr>
        <w:t xml:space="preserve">More recently, the </w:t>
      </w:r>
      <w:hyperlink r:id="rId11" w:history="1">
        <w:r w:rsidR="005F370E" w:rsidRPr="00E1558E">
          <w:rPr>
            <w:rFonts w:eastAsia="Arial" w:cstheme="minorHAnsi"/>
            <w:color w:val="0000FF"/>
            <w:kern w:val="0"/>
            <w:u w:val="single"/>
            <w:lang w:val="en-GB" w:eastAsia="en-US"/>
            <w14:ligatures w14:val="none"/>
          </w:rPr>
          <w:t>World Bank</w:t>
        </w:r>
      </w:hyperlink>
      <w:r w:rsidR="005F370E" w:rsidRPr="00E1558E">
        <w:rPr>
          <w:rFonts w:eastAsia="Arial" w:cstheme="minorHAnsi"/>
          <w:color w:val="222222"/>
          <w:kern w:val="0"/>
          <w:lang w:val="en-GB" w:eastAsia="en-US"/>
          <w14:ligatures w14:val="none"/>
        </w:rPr>
        <w:t xml:space="preserve"> has extended this analysis and confirmed  that tax revenues of at least 15 percent of GDP can boost economic growth. Moreover, the analysis has found additional positive effects on enhanced stability and inequality reduction through higher public spending and progressive taxation.</w:t>
      </w:r>
    </w:p>
    <w:bookmarkEnd w:id="1"/>
    <w:p w14:paraId="67C533ED" w14:textId="11F90E04" w:rsidR="00174569" w:rsidRDefault="00174569" w:rsidP="00174569">
      <w:pPr>
        <w:pStyle w:val="Heading2"/>
      </w:pPr>
      <w:r>
        <w:t>Policy solutions</w:t>
      </w:r>
    </w:p>
    <w:p w14:paraId="30400BA4" w14:textId="66D4B418" w:rsidR="00EC08BE" w:rsidRPr="00EC08BE" w:rsidRDefault="00EC08BE" w:rsidP="00EC08BE">
      <w:pPr>
        <w:rPr>
          <w:rFonts w:cstheme="minorHAnsi"/>
        </w:rPr>
      </w:pPr>
      <w:bookmarkStart w:id="4" w:name="_Hlk179204100"/>
      <w:r w:rsidRPr="00EC08BE">
        <w:rPr>
          <w:rFonts w:cstheme="minorHAnsi"/>
        </w:rPr>
        <w:t>Increasing</w:t>
      </w:r>
      <w:r w:rsidRPr="00EC08BE">
        <w:rPr>
          <w:rFonts w:cstheme="minorHAnsi"/>
          <w:color w:val="222222"/>
          <w:lang w:val="en-GB"/>
        </w:rPr>
        <w:t xml:space="preserve"> tax revenues is both vital and feasible. </w:t>
      </w:r>
      <w:r w:rsidRPr="00EC08BE">
        <w:rPr>
          <w:rFonts w:cstheme="minorHAnsi"/>
          <w:color w:val="222222"/>
        </w:rPr>
        <w:t xml:space="preserve">The </w:t>
      </w:r>
      <w:hyperlink r:id="rId12" w:history="1">
        <w:r w:rsidRPr="00EC08BE">
          <w:rPr>
            <w:rStyle w:val="Hyperlink"/>
            <w:rFonts w:cstheme="minorHAnsi"/>
          </w:rPr>
          <w:t>IMF</w:t>
        </w:r>
      </w:hyperlink>
      <w:r w:rsidRPr="00EC08BE">
        <w:rPr>
          <w:rFonts w:cstheme="minorHAnsi"/>
          <w:color w:val="222222"/>
        </w:rPr>
        <w:t xml:space="preserve"> estimates that low-income countries’ revenue raising potential is around </w:t>
      </w:r>
      <w:r w:rsidR="00210422">
        <w:rPr>
          <w:rFonts w:cstheme="minorHAnsi"/>
          <w:color w:val="222222"/>
        </w:rPr>
        <w:t>9 </w:t>
      </w:r>
      <w:r w:rsidRPr="00EC08BE">
        <w:rPr>
          <w:rFonts w:cstheme="minorHAnsi"/>
          <w:color w:val="222222"/>
        </w:rPr>
        <w:t>percentage points of GDP, increasing their current 13</w:t>
      </w:r>
      <w:r w:rsidR="00210422">
        <w:rPr>
          <w:rFonts w:cstheme="minorHAnsi"/>
          <w:color w:val="222222"/>
        </w:rPr>
        <w:t> </w:t>
      </w:r>
      <w:r w:rsidRPr="00EC08BE">
        <w:rPr>
          <w:rFonts w:cstheme="minorHAnsi"/>
          <w:color w:val="222222"/>
        </w:rPr>
        <w:t>percent average to 22 percent and bringing the low-income countries closer to the level of emerging market economies.</w:t>
      </w:r>
      <w:r w:rsidRPr="00EC08BE">
        <w:rPr>
          <w:rFonts w:cstheme="minorHAnsi"/>
          <w:color w:val="000000"/>
          <w:lang w:val="en-GB"/>
        </w:rPr>
        <w:t xml:space="preserve"> Achieving this is difficult and requires sustained, comprehensive tax system reforms, including </w:t>
      </w:r>
      <w:r w:rsidR="00DB2480">
        <w:rPr>
          <w:rFonts w:cstheme="minorHAnsi"/>
          <w:color w:val="000000"/>
          <w:lang w:val="en-GB"/>
        </w:rPr>
        <w:t xml:space="preserve">in </w:t>
      </w:r>
      <w:r w:rsidRPr="00EC08BE">
        <w:rPr>
          <w:rFonts w:cstheme="minorHAnsi"/>
          <w:color w:val="000000"/>
          <w:lang w:val="en-GB"/>
        </w:rPr>
        <w:t xml:space="preserve">tax policies, institutions, and legal frameworks. It also requires strong political support for such comprehensive reforms, including efforts to limit the expansion of inefficient tax exemptions and to promote compliance across all taxpayers. Leveraging digital technology in tax collection is critical to improving compliance while mitigating costs to taxpayers. </w:t>
      </w:r>
    </w:p>
    <w:p w14:paraId="240B63F4" w14:textId="3210EF46" w:rsidR="00EC08BE" w:rsidRPr="00EC08BE" w:rsidRDefault="00EC08BE" w:rsidP="00EC08BE">
      <w:pPr>
        <w:spacing w:before="100" w:beforeAutospacing="1" w:after="100" w:afterAutospacing="1"/>
        <w:jc w:val="both"/>
        <w:rPr>
          <w:rFonts w:cstheme="minorHAnsi"/>
        </w:rPr>
      </w:pPr>
      <w:r w:rsidRPr="00EC08BE">
        <w:rPr>
          <w:rFonts w:cstheme="minorHAnsi"/>
          <w:color w:val="222222"/>
          <w:lang w:val="en-GB"/>
        </w:rPr>
        <w:lastRenderedPageBreak/>
        <w:t>Developing countries can make significant revenue gains by improving the way they tax consumption (such as value added taxes</w:t>
      </w:r>
      <w:r>
        <w:rPr>
          <w:rFonts w:cstheme="minorHAnsi"/>
          <w:color w:val="222222"/>
          <w:lang w:val="en-GB"/>
        </w:rPr>
        <w:t>—</w:t>
      </w:r>
      <w:r w:rsidRPr="00EC08BE">
        <w:rPr>
          <w:rFonts w:cstheme="minorHAnsi"/>
          <w:color w:val="222222"/>
          <w:lang w:val="en-GB"/>
        </w:rPr>
        <w:t xml:space="preserve">VATs), individual incomes, and wealth. For instance, VAT compliance gaps—the difference between expected and actual tax collection—are larger in developing countries. Closing those gaps could raise considerable additional revenues. Countries are encouraged to broaden their tax bases, for instance by reducing VAT exemptions, and better taxing professionals, high wealth individuals and capital. Moreover, beyond increasing revenue collection, such reforms can also be redistributive, especially when combined with targeted spending measures to support the poor. Countries may also want to explore other </w:t>
      </w:r>
      <w:r w:rsidRPr="00EC08BE">
        <w:rPr>
          <w:rFonts w:cstheme="minorHAnsi"/>
          <w:color w:val="000000"/>
          <w:lang w:val="en-GB"/>
        </w:rPr>
        <w:t xml:space="preserve">taxes that can raise revenues while contributing to </w:t>
      </w:r>
      <w:r w:rsidRPr="00EC08BE">
        <w:rPr>
          <w:rFonts w:cstheme="minorHAnsi"/>
          <w:color w:val="222222"/>
          <w:lang w:val="en-GB"/>
        </w:rPr>
        <w:t xml:space="preserve">human development—such as those that discourage </w:t>
      </w:r>
      <w:hyperlink r:id="rId13" w:history="1">
        <w:r w:rsidRPr="00EC08BE">
          <w:rPr>
            <w:rStyle w:val="Hyperlink"/>
            <w:rFonts w:cstheme="minorHAnsi"/>
            <w:lang w:val="en-GB"/>
          </w:rPr>
          <w:t>unhealthy activities</w:t>
        </w:r>
      </w:hyperlink>
      <w:r w:rsidRPr="00EC08BE">
        <w:rPr>
          <w:rFonts w:cstheme="minorHAnsi"/>
          <w:color w:val="222222"/>
          <w:lang w:val="en-GB"/>
        </w:rPr>
        <w:t xml:space="preserve"> like smoking or </w:t>
      </w:r>
      <w:hyperlink r:id="rId14" w:tgtFrame="_blank" w:history="1">
        <w:r w:rsidRPr="00EC08BE">
          <w:rPr>
            <w:rStyle w:val="Hyperlink"/>
            <w:rFonts w:cstheme="minorHAnsi"/>
            <w:lang w:val="en-GB"/>
          </w:rPr>
          <w:t>encourage lower carbon emissions</w:t>
        </w:r>
      </w:hyperlink>
      <w:r w:rsidRPr="00EC08BE">
        <w:rPr>
          <w:rFonts w:cstheme="minorHAnsi"/>
          <w:color w:val="000000"/>
        </w:rPr>
        <w:t>.</w:t>
      </w:r>
    </w:p>
    <w:p w14:paraId="273B352F" w14:textId="0BFD1BCF" w:rsidR="00244B40" w:rsidRPr="00E1558E" w:rsidRDefault="00244B40" w:rsidP="00E1558E">
      <w:pPr>
        <w:shd w:val="clear" w:color="auto" w:fill="FFFFFF"/>
        <w:spacing w:before="100" w:beforeAutospacing="1" w:after="100" w:afterAutospacing="1"/>
        <w:rPr>
          <w:rFonts w:cstheme="minorHAnsi"/>
          <w:color w:val="222222"/>
          <w:lang w:val="en-GB"/>
        </w:rPr>
      </w:pPr>
      <w:r w:rsidRPr="00E1558E">
        <w:rPr>
          <w:rFonts w:cstheme="minorHAnsi"/>
          <w:color w:val="222222"/>
          <w:lang w:val="en-GB"/>
        </w:rPr>
        <w:t>The past decade has seen great progress in reforming the international tax</w:t>
      </w:r>
      <w:r>
        <w:rPr>
          <w:rFonts w:cstheme="minorHAnsi"/>
          <w:color w:val="222222"/>
          <w:lang w:val="en-GB"/>
        </w:rPr>
        <w:t>ation</w:t>
      </w:r>
      <w:r w:rsidRPr="00E1558E">
        <w:rPr>
          <w:rFonts w:cstheme="minorHAnsi"/>
          <w:color w:val="222222"/>
          <w:lang w:val="en-GB"/>
        </w:rPr>
        <w:t xml:space="preserve">. </w:t>
      </w:r>
      <w:r w:rsidRPr="00EC08BE">
        <w:rPr>
          <w:rFonts w:cstheme="minorHAnsi"/>
          <w:color w:val="222222"/>
        </w:rPr>
        <w:t>Since 2009, and especially since the Addis Abba Action Agenda in 2015, there has been an acceleration of and participation in international cooperation on tax matters</w:t>
      </w:r>
      <w:r>
        <w:rPr>
          <w:rFonts w:cstheme="minorHAnsi"/>
          <w:color w:val="222222"/>
        </w:rPr>
        <w:t>.</w:t>
      </w:r>
      <w:r w:rsidR="005438BE">
        <w:rPr>
          <w:rFonts w:cstheme="minorHAnsi"/>
          <w:color w:val="222222"/>
        </w:rPr>
        <w:t xml:space="preserve"> </w:t>
      </w:r>
      <w:r>
        <w:rPr>
          <w:rFonts w:cstheme="minorHAnsi"/>
          <w:color w:val="222222"/>
          <w:lang w:val="en-GB"/>
        </w:rPr>
        <w:t>T</w:t>
      </w:r>
      <w:r w:rsidRPr="00E1558E">
        <w:rPr>
          <w:rFonts w:cstheme="minorHAnsi"/>
          <w:color w:val="222222"/>
          <w:lang w:val="en-GB"/>
        </w:rPr>
        <w:t>his includes addressing bank secrecy</w:t>
      </w:r>
      <w:r w:rsidRPr="00E1558E">
        <w:rPr>
          <w:rFonts w:cstheme="minorHAnsi"/>
          <w:color w:val="FF0000"/>
          <w:lang w:val="en-GB"/>
        </w:rPr>
        <w:t xml:space="preserve"> </w:t>
      </w:r>
      <w:r w:rsidRPr="00E1558E">
        <w:rPr>
          <w:rFonts w:cstheme="minorHAnsi"/>
          <w:color w:val="000000"/>
          <w:lang w:val="en-GB"/>
        </w:rPr>
        <w:t>through</w:t>
      </w:r>
      <w:r w:rsidRPr="00E1558E">
        <w:rPr>
          <w:rFonts w:cstheme="minorHAnsi"/>
          <w:color w:val="FF0000"/>
          <w:lang w:val="en-GB"/>
        </w:rPr>
        <w:t xml:space="preserve"> </w:t>
      </w:r>
      <w:hyperlink r:id="rId15" w:tgtFrame="_blank" w:history="1">
        <w:r w:rsidRPr="00E1558E">
          <w:rPr>
            <w:rStyle w:val="Hyperlink"/>
            <w:rFonts w:cstheme="minorHAnsi"/>
            <w:lang w:val="en-GB"/>
          </w:rPr>
          <w:t>exchange of information</w:t>
        </w:r>
      </w:hyperlink>
      <w:r w:rsidRPr="00E1558E">
        <w:rPr>
          <w:rFonts w:cstheme="minorHAnsi"/>
          <w:color w:val="222222"/>
          <w:lang w:val="en-GB"/>
        </w:rPr>
        <w:t xml:space="preserve"> and </w:t>
      </w:r>
      <w:hyperlink r:id="rId16" w:tgtFrame="_blank" w:history="1">
        <w:r w:rsidRPr="00E1558E">
          <w:rPr>
            <w:rStyle w:val="Hyperlink"/>
            <w:rFonts w:cstheme="minorHAnsi"/>
            <w:lang w:val="en-GB"/>
          </w:rPr>
          <w:t>mitigating profit shifting</w:t>
        </w:r>
      </w:hyperlink>
      <w:r w:rsidRPr="00E1558E">
        <w:rPr>
          <w:rFonts w:cstheme="minorHAnsi"/>
          <w:color w:val="222222"/>
        </w:rPr>
        <w:t xml:space="preserve"> </w:t>
      </w:r>
      <w:r w:rsidRPr="00E1558E">
        <w:rPr>
          <w:rFonts w:cstheme="minorHAnsi"/>
          <w:color w:val="222222"/>
          <w:lang w:val="en-GB"/>
        </w:rPr>
        <w:t xml:space="preserve">by big companies </w:t>
      </w:r>
      <w:r w:rsidR="00A150E2">
        <w:rPr>
          <w:rFonts w:cstheme="minorHAnsi"/>
          <w:color w:val="222222"/>
          <w:lang w:val="en-GB"/>
        </w:rPr>
        <w:t xml:space="preserve">as a result of the OECD initiative to address Base Erosion and Profit Shifting (BEPS), including </w:t>
      </w:r>
      <w:r w:rsidRPr="00E1558E">
        <w:rPr>
          <w:rFonts w:cstheme="minorHAnsi"/>
          <w:color w:val="000000"/>
          <w:lang w:val="en-GB"/>
        </w:rPr>
        <w:t xml:space="preserve">the </w:t>
      </w:r>
      <w:hyperlink r:id="rId17" w:history="1">
        <w:r w:rsidRPr="00FE3946">
          <w:rPr>
            <w:rStyle w:val="Hyperlink"/>
            <w:rFonts w:cstheme="minorHAnsi"/>
            <w:lang w:val="en-GB"/>
          </w:rPr>
          <w:t>global minimum tax</w:t>
        </w:r>
      </w:hyperlink>
      <w:r w:rsidR="00A150E2">
        <w:rPr>
          <w:rStyle w:val="Hyperlink"/>
          <w:rFonts w:cstheme="minorHAnsi"/>
          <w:lang w:val="en-GB"/>
        </w:rPr>
        <w:t xml:space="preserve"> </w:t>
      </w:r>
      <w:r w:rsidR="00A150E2" w:rsidRPr="00F334D1">
        <w:rPr>
          <w:color w:val="000000"/>
        </w:rPr>
        <w:t>recently agreed by consensus by the G20/OECD Inclusive Framework on BEPS</w:t>
      </w:r>
      <w:r w:rsidRPr="00E1558E">
        <w:rPr>
          <w:rFonts w:cstheme="minorHAnsi"/>
          <w:color w:val="000000"/>
          <w:lang w:val="en-GB"/>
        </w:rPr>
        <w:t xml:space="preserve">. While these efforts help fight tax avoidance and tax evasion, and mitigate harmful tax competition, they are not the panacea </w:t>
      </w:r>
      <w:r w:rsidRPr="00E1558E">
        <w:rPr>
          <w:rFonts w:cstheme="minorHAnsi"/>
          <w:color w:val="222222"/>
          <w:lang w:val="en-GB"/>
        </w:rPr>
        <w:t xml:space="preserve">for financing development. Revenues from corporate income tax average only around </w:t>
      </w:r>
      <w:hyperlink r:id="rId18" w:tgtFrame="_blank" w:history="1">
        <w:r w:rsidRPr="00E1558E">
          <w:rPr>
            <w:rStyle w:val="Hyperlink"/>
            <w:rFonts w:cstheme="minorHAnsi"/>
            <w:lang w:val="en-GB"/>
          </w:rPr>
          <w:t>3 percent of countries’ GDP</w:t>
        </w:r>
      </w:hyperlink>
      <w:r w:rsidR="00601D90">
        <w:rPr>
          <w:rStyle w:val="Hyperlink"/>
          <w:rFonts w:cstheme="minorHAnsi"/>
          <w:lang w:val="en-GB"/>
        </w:rPr>
        <w:t>.</w:t>
      </w:r>
      <w:r>
        <w:rPr>
          <w:rStyle w:val="Hyperlink"/>
          <w:rFonts w:cstheme="minorHAnsi"/>
          <w:lang w:val="en-GB"/>
        </w:rPr>
        <w:t xml:space="preserve"> </w:t>
      </w:r>
      <w:r w:rsidR="00601D90">
        <w:rPr>
          <w:rStyle w:val="Hyperlink"/>
          <w:rFonts w:cstheme="minorHAnsi"/>
          <w:color w:val="auto"/>
          <w:u w:val="none"/>
          <w:lang w:val="en-GB"/>
        </w:rPr>
        <w:t>W</w:t>
      </w:r>
      <w:r w:rsidRPr="00FE3946">
        <w:rPr>
          <w:rStyle w:val="Hyperlink"/>
          <w:rFonts w:cstheme="minorHAnsi"/>
          <w:color w:val="auto"/>
          <w:u w:val="none"/>
          <w:lang w:val="en-GB"/>
        </w:rPr>
        <w:t>hile there is some scope to increase these revenues, for example through implementation of the global minimum tax, which the</w:t>
      </w:r>
      <w:r w:rsidRPr="00FE3946">
        <w:rPr>
          <w:rStyle w:val="Hyperlink"/>
          <w:rFonts w:cstheme="minorHAnsi"/>
          <w:color w:val="auto"/>
          <w:lang w:val="en-GB"/>
        </w:rPr>
        <w:t xml:space="preserve"> </w:t>
      </w:r>
      <w:hyperlink r:id="rId19" w:anchor=":~:text=It%20has%20four%20key%20findings,estimated%20to%20increase%20CIT%20revenues." w:history="1">
        <w:r w:rsidRPr="00244B40">
          <w:rPr>
            <w:rStyle w:val="Hyperlink"/>
            <w:rFonts w:cstheme="minorHAnsi"/>
            <w:lang w:val="en-GB"/>
          </w:rPr>
          <w:t>OECD estimates</w:t>
        </w:r>
      </w:hyperlink>
      <w:r>
        <w:rPr>
          <w:rStyle w:val="Hyperlink"/>
          <w:rFonts w:cstheme="minorHAnsi"/>
          <w:lang w:val="en-GB"/>
        </w:rPr>
        <w:t xml:space="preserve"> </w:t>
      </w:r>
      <w:r w:rsidRPr="00FE3946">
        <w:rPr>
          <w:rStyle w:val="Hyperlink"/>
          <w:rFonts w:cstheme="minorHAnsi"/>
          <w:color w:val="auto"/>
          <w:u w:val="none"/>
          <w:lang w:val="en-GB"/>
        </w:rPr>
        <w:t>could increase global CIT revenues by 6.5-8.1%, ultimately</w:t>
      </w:r>
      <w:r w:rsidR="00FE3946">
        <w:rPr>
          <w:rStyle w:val="Hyperlink"/>
          <w:rFonts w:cstheme="minorHAnsi"/>
          <w:color w:val="auto"/>
          <w:u w:val="none"/>
          <w:lang w:val="en-GB"/>
        </w:rPr>
        <w:t xml:space="preserve"> </w:t>
      </w:r>
      <w:r w:rsidRPr="00E1558E">
        <w:rPr>
          <w:rFonts w:cstheme="minorHAnsi"/>
          <w:color w:val="222222"/>
          <w:lang w:val="en-GB"/>
        </w:rPr>
        <w:t>the scope to increase tax collection from this source is limited</w:t>
      </w:r>
      <w:r>
        <w:rPr>
          <w:rFonts w:cstheme="minorHAnsi"/>
          <w:color w:val="222222"/>
          <w:lang w:val="en-GB"/>
        </w:rPr>
        <w:t xml:space="preserve"> in comparison to the scale of revenues required</w:t>
      </w:r>
      <w:r w:rsidRPr="00E1558E">
        <w:rPr>
          <w:rFonts w:cstheme="minorHAnsi"/>
          <w:color w:val="222222"/>
          <w:lang w:val="en-GB"/>
        </w:rPr>
        <w:t>. Therefore, the bulk of additional tax revenues will need to come from domestic tax systems as a whole.</w:t>
      </w:r>
    </w:p>
    <w:bookmarkEnd w:id="2"/>
    <w:bookmarkEnd w:id="4"/>
    <w:p w14:paraId="3A9CA2B1" w14:textId="6C412504" w:rsidR="00174569" w:rsidRDefault="081A7F1C" w:rsidP="00174569">
      <w:pPr>
        <w:pStyle w:val="Heading2"/>
      </w:pPr>
      <w:r>
        <w:t xml:space="preserve">Specific </w:t>
      </w:r>
      <w:r w:rsidR="7BC9008D">
        <w:t>r</w:t>
      </w:r>
      <w:r w:rsidR="00174569">
        <w:t>ecommendations for FFD4</w:t>
      </w:r>
      <w:r w:rsidR="002F4A33">
        <w:t xml:space="preserve"> </w:t>
      </w:r>
    </w:p>
    <w:p w14:paraId="2EE91774" w14:textId="60E3F273" w:rsidR="00EC08BE" w:rsidRDefault="00DB2480" w:rsidP="00EC08BE">
      <w:pPr>
        <w:spacing w:before="100" w:beforeAutospacing="1" w:after="100" w:afterAutospacing="1"/>
        <w:jc w:val="both"/>
        <w:rPr>
          <w:rFonts w:cstheme="minorHAnsi"/>
          <w:color w:val="222222"/>
          <w:lang w:val="en-GB"/>
        </w:rPr>
      </w:pPr>
      <w:r w:rsidRPr="00EC08BE">
        <w:rPr>
          <w:rFonts w:cstheme="minorHAnsi"/>
          <w:color w:val="222222"/>
          <w:lang w:val="en-GB"/>
        </w:rPr>
        <w:t xml:space="preserve">Taxation, finance and development are closely linked. Building developing countries’ tax capacity is an essential building block of healthy public finances and economic development. </w:t>
      </w:r>
      <w:r w:rsidR="00C15831">
        <w:rPr>
          <w:rFonts w:cstheme="minorHAnsi"/>
          <w:color w:val="222222"/>
          <w:lang w:val="en-GB"/>
        </w:rPr>
        <w:t>The evidence is clear that achieving tax to GDP ratios of at least 15% can be a catalyst for growth and stability</w:t>
      </w:r>
      <w:r w:rsidR="00601D90">
        <w:rPr>
          <w:rFonts w:cstheme="minorHAnsi"/>
          <w:color w:val="222222"/>
          <w:lang w:val="en-GB"/>
        </w:rPr>
        <w:t>, and that the bulk of those revenues will need to come from domestic tax reforms</w:t>
      </w:r>
      <w:r w:rsidR="00694D93">
        <w:rPr>
          <w:rFonts w:cstheme="minorHAnsi"/>
          <w:color w:val="222222"/>
          <w:lang w:val="en-GB"/>
        </w:rPr>
        <w:t xml:space="preserve">. </w:t>
      </w:r>
      <w:r w:rsidRPr="00EC08BE">
        <w:rPr>
          <w:rFonts w:cstheme="minorHAnsi"/>
          <w:color w:val="222222"/>
          <w:lang w:val="en-GB"/>
        </w:rPr>
        <w:t xml:space="preserve">The July 2025 Financing for Development conference in </w:t>
      </w:r>
      <w:r>
        <w:rPr>
          <w:rFonts w:cstheme="minorHAnsi"/>
          <w:color w:val="222222"/>
          <w:lang w:val="en-GB"/>
        </w:rPr>
        <w:t>Sevilla</w:t>
      </w:r>
      <w:r w:rsidRPr="00EC08BE">
        <w:rPr>
          <w:rFonts w:cstheme="minorHAnsi"/>
          <w:color w:val="222222"/>
          <w:lang w:val="en-GB"/>
        </w:rPr>
        <w:t xml:space="preserve"> </w:t>
      </w:r>
      <w:r w:rsidR="00555235">
        <w:rPr>
          <w:rFonts w:cstheme="minorHAnsi"/>
          <w:color w:val="222222"/>
          <w:lang w:val="en-GB"/>
        </w:rPr>
        <w:t>presents an</w:t>
      </w:r>
      <w:r w:rsidRPr="00EC08BE">
        <w:rPr>
          <w:rFonts w:cstheme="minorHAnsi"/>
          <w:color w:val="222222"/>
          <w:lang w:val="en-GB"/>
        </w:rPr>
        <w:t xml:space="preserve"> opportunity to recogniz</w:t>
      </w:r>
      <w:r>
        <w:rPr>
          <w:rFonts w:cstheme="minorHAnsi"/>
          <w:color w:val="222222"/>
          <w:lang w:val="en-GB"/>
        </w:rPr>
        <w:t>e</w:t>
      </w:r>
      <w:r w:rsidRPr="00EC08BE">
        <w:rPr>
          <w:rFonts w:cstheme="minorHAnsi"/>
          <w:color w:val="222222"/>
          <w:lang w:val="en-GB"/>
        </w:rPr>
        <w:t xml:space="preserve"> </w:t>
      </w:r>
      <w:r w:rsidR="00EC08BE" w:rsidRPr="00EC08BE">
        <w:rPr>
          <w:rFonts w:cstheme="minorHAnsi"/>
          <w:color w:val="222222"/>
          <w:lang w:val="en-GB"/>
        </w:rPr>
        <w:t>the urgent need to fully implement the Sustainable Development Goals</w:t>
      </w:r>
      <w:r w:rsidR="00FC5BF5">
        <w:rPr>
          <w:rFonts w:cstheme="minorHAnsi"/>
          <w:color w:val="222222"/>
          <w:lang w:val="en-GB"/>
        </w:rPr>
        <w:t xml:space="preserve"> and </w:t>
      </w:r>
      <w:r w:rsidR="00EC08BE" w:rsidRPr="00EC08BE">
        <w:rPr>
          <w:rFonts w:cstheme="minorHAnsi"/>
          <w:color w:val="222222"/>
          <w:lang w:val="en-GB"/>
        </w:rPr>
        <w:t>the importance of DRM in all its dimensions</w:t>
      </w:r>
      <w:r w:rsidR="00586C41">
        <w:rPr>
          <w:rFonts w:cstheme="minorHAnsi"/>
          <w:color w:val="222222"/>
          <w:lang w:val="en-GB"/>
        </w:rPr>
        <w:t xml:space="preserve"> to achieving them</w:t>
      </w:r>
      <w:r w:rsidR="00EC08BE" w:rsidRPr="00EC08BE">
        <w:rPr>
          <w:rFonts w:cstheme="minorHAnsi"/>
          <w:color w:val="222222"/>
          <w:lang w:val="en-GB"/>
        </w:rPr>
        <w:t xml:space="preserve">. </w:t>
      </w:r>
      <w:r w:rsidR="00601D90">
        <w:rPr>
          <w:rFonts w:cstheme="minorHAnsi"/>
          <w:color w:val="222222"/>
          <w:lang w:val="en-GB"/>
        </w:rPr>
        <w:t xml:space="preserve">International cooperation on tax matters is important but in itself insufficient to meet countries’ spending needs. </w:t>
      </w:r>
      <w:r w:rsidR="00EC08BE">
        <w:rPr>
          <w:rFonts w:cstheme="minorHAnsi"/>
          <w:color w:val="222222"/>
          <w:lang w:val="en-GB"/>
        </w:rPr>
        <w:t xml:space="preserve">We </w:t>
      </w:r>
      <w:r w:rsidR="00EC08BE" w:rsidRPr="00EC08BE">
        <w:rPr>
          <w:rFonts w:cstheme="minorHAnsi"/>
          <w:color w:val="222222"/>
          <w:lang w:val="en-GB"/>
        </w:rPr>
        <w:t>reiterate our commitment, both independently, and collectively, to support the FFD</w:t>
      </w:r>
      <w:r w:rsidR="00FC5BF5">
        <w:rPr>
          <w:rFonts w:cstheme="minorHAnsi"/>
          <w:color w:val="222222"/>
          <w:lang w:val="en-GB"/>
        </w:rPr>
        <w:t>4</w:t>
      </w:r>
      <w:r w:rsidR="00EC08BE" w:rsidRPr="00EC08BE">
        <w:rPr>
          <w:rFonts w:cstheme="minorHAnsi"/>
          <w:color w:val="222222"/>
          <w:lang w:val="en-GB"/>
        </w:rPr>
        <w:t xml:space="preserve"> process and </w:t>
      </w:r>
      <w:r w:rsidR="00F01D3A">
        <w:rPr>
          <w:rFonts w:cstheme="minorHAnsi"/>
          <w:color w:val="222222"/>
          <w:lang w:val="en-GB"/>
        </w:rPr>
        <w:t>to continue o</w:t>
      </w:r>
      <w:r w:rsidR="006C05A7">
        <w:rPr>
          <w:rFonts w:cstheme="minorHAnsi"/>
          <w:color w:val="222222"/>
          <w:lang w:val="en-GB"/>
        </w:rPr>
        <w:t>u</w:t>
      </w:r>
      <w:r w:rsidR="00F01D3A">
        <w:rPr>
          <w:rFonts w:cstheme="minorHAnsi"/>
          <w:color w:val="222222"/>
          <w:lang w:val="en-GB"/>
        </w:rPr>
        <w:t xml:space="preserve">r work to </w:t>
      </w:r>
      <w:r w:rsidR="00EC08BE" w:rsidRPr="00EC08BE">
        <w:rPr>
          <w:rFonts w:cstheme="minorHAnsi"/>
          <w:color w:val="222222"/>
          <w:lang w:val="en-GB"/>
        </w:rPr>
        <w:t xml:space="preserve">help countries strengthen their taxation frameworks, with a view to achieving the </w:t>
      </w:r>
      <w:r w:rsidR="00FC5BF5">
        <w:rPr>
          <w:rFonts w:cstheme="minorHAnsi"/>
          <w:color w:val="222222"/>
          <w:lang w:val="en-GB"/>
        </w:rPr>
        <w:t>S</w:t>
      </w:r>
      <w:r w:rsidR="00FC5BF5" w:rsidRPr="00EC08BE">
        <w:rPr>
          <w:rFonts w:cstheme="minorHAnsi"/>
          <w:color w:val="222222"/>
          <w:lang w:val="en-GB"/>
        </w:rPr>
        <w:t xml:space="preserve">ustainable </w:t>
      </w:r>
      <w:r w:rsidR="00FC5BF5">
        <w:rPr>
          <w:rFonts w:cstheme="minorHAnsi"/>
          <w:color w:val="222222"/>
          <w:lang w:val="en-GB"/>
        </w:rPr>
        <w:t>D</w:t>
      </w:r>
      <w:r w:rsidR="00FC5BF5" w:rsidRPr="00EC08BE">
        <w:rPr>
          <w:rFonts w:cstheme="minorHAnsi"/>
          <w:color w:val="222222"/>
          <w:lang w:val="en-GB"/>
        </w:rPr>
        <w:t xml:space="preserve">evelopment </w:t>
      </w:r>
      <w:r w:rsidR="00FC5BF5">
        <w:rPr>
          <w:rFonts w:cstheme="minorHAnsi"/>
          <w:color w:val="222222"/>
          <w:lang w:val="en-GB"/>
        </w:rPr>
        <w:t>Go</w:t>
      </w:r>
      <w:r w:rsidR="00FC5BF5" w:rsidRPr="00EC08BE">
        <w:rPr>
          <w:rFonts w:cstheme="minorHAnsi"/>
          <w:color w:val="222222"/>
          <w:lang w:val="en-GB"/>
        </w:rPr>
        <w:t>als</w:t>
      </w:r>
      <w:r w:rsidR="00EC08BE" w:rsidRPr="00EC08BE">
        <w:rPr>
          <w:rFonts w:cstheme="minorHAnsi"/>
          <w:color w:val="222222"/>
          <w:lang w:val="en-GB"/>
        </w:rPr>
        <w:t xml:space="preserve">. </w:t>
      </w:r>
    </w:p>
    <w:p w14:paraId="67DFA725" w14:textId="70DB8196" w:rsidR="00EC08BE" w:rsidRPr="00EC08BE" w:rsidRDefault="00EC08BE" w:rsidP="00EC08BE">
      <w:pPr>
        <w:spacing w:before="100" w:beforeAutospacing="1" w:after="100" w:afterAutospacing="1"/>
        <w:jc w:val="both"/>
        <w:rPr>
          <w:rFonts w:cstheme="minorHAnsi"/>
          <w:color w:val="222222"/>
          <w:lang w:val="en-GB"/>
        </w:rPr>
      </w:pPr>
    </w:p>
    <w:p w14:paraId="5F4FBDCA" w14:textId="498C9ECB" w:rsidR="002F6B6C" w:rsidRPr="00FE3946" w:rsidRDefault="00EC08BE" w:rsidP="002F6B6C">
      <w:pPr>
        <w:rPr>
          <w:b/>
          <w:bCs/>
          <w:lang w:val="es-ES"/>
        </w:rPr>
      </w:pPr>
      <w:r w:rsidRPr="00FE3946">
        <w:rPr>
          <w:b/>
          <w:bCs/>
          <w:u w:val="single"/>
          <w:lang w:val="es-ES"/>
        </w:rPr>
        <w:t>References</w:t>
      </w:r>
      <w:r w:rsidRPr="00FE3946">
        <w:rPr>
          <w:b/>
          <w:bCs/>
          <w:lang w:val="es-ES"/>
        </w:rPr>
        <w:t>:</w:t>
      </w:r>
    </w:p>
    <w:p w14:paraId="10994089" w14:textId="77777777" w:rsidR="003C6C4E" w:rsidRDefault="003C6C4E" w:rsidP="003C6C4E">
      <w:r w:rsidRPr="00E1558E">
        <w:rPr>
          <w:lang w:val="es-ES"/>
        </w:rPr>
        <w:t xml:space="preserve">Benitez, Juan Carlos, </w:t>
      </w:r>
      <w:hyperlink r:id="rId20" w:history="1">
        <w:r w:rsidRPr="00E1558E">
          <w:rPr>
            <w:lang w:val="es-ES"/>
          </w:rPr>
          <w:t>Mario Mansour,</w:t>
        </w:r>
      </w:hyperlink>
      <w:r w:rsidRPr="00E1558E">
        <w:rPr>
          <w:lang w:val="es-ES"/>
        </w:rPr>
        <w:t xml:space="preserve"> </w:t>
      </w:r>
      <w:hyperlink r:id="rId21" w:history="1">
        <w:r w:rsidRPr="00E1558E">
          <w:rPr>
            <w:lang w:val="es-ES"/>
          </w:rPr>
          <w:t>Miguel Pecho,</w:t>
        </w:r>
      </w:hyperlink>
      <w:r w:rsidRPr="00E1558E">
        <w:rPr>
          <w:lang w:val="es-ES"/>
        </w:rPr>
        <w:t xml:space="preserve"> and </w:t>
      </w:r>
      <w:hyperlink r:id="rId22" w:history="1">
        <w:r w:rsidRPr="00E1558E">
          <w:rPr>
            <w:lang w:val="es-ES"/>
          </w:rPr>
          <w:t>Charles Vellutini</w:t>
        </w:r>
      </w:hyperlink>
      <w:r w:rsidRPr="00E1558E">
        <w:rPr>
          <w:lang w:val="es-ES"/>
        </w:rPr>
        <w:t xml:space="preserve">. </w:t>
      </w:r>
      <w:r>
        <w:t>2023. “Building Tax Capacity in Developing Countries.” IMF Staff Discussion Note SDN 2023/006 (</w:t>
      </w:r>
      <w:hyperlink r:id="rId23" w:history="1">
        <w:r w:rsidRPr="00C27E57">
          <w:rPr>
            <w:rStyle w:val="Hyperlink"/>
          </w:rPr>
          <w:t>https://www.imf.org/en/Publications/Staff-Discussion-Notes/Issues/2023/09/15/Building-Tax-Capacity-in-Developing-Countries-535449</w:t>
        </w:r>
      </w:hyperlink>
      <w:r>
        <w:t>).</w:t>
      </w:r>
    </w:p>
    <w:p w14:paraId="7A5A9944" w14:textId="64DCF0B9" w:rsidR="005F370E" w:rsidRDefault="005F370E" w:rsidP="002F6B6C">
      <w:r w:rsidRPr="005F370E">
        <w:lastRenderedPageBreak/>
        <w:t>Choudhary,Rishabh; Ruch,Franz Ulrich; Skrok,Emilia.</w:t>
      </w:r>
      <w:r>
        <w:t xml:space="preserve"> </w:t>
      </w:r>
      <w:r w:rsidR="00601D90">
        <w:t xml:space="preserve">2024. </w:t>
      </w:r>
      <w:r>
        <w:t>“</w:t>
      </w:r>
      <w:r w:rsidRPr="00130EA9">
        <w:t>Taxing for Growth: Revisiting the 15 Percent Threshold (English)”</w:t>
      </w:r>
      <w:r w:rsidRPr="005F370E">
        <w:rPr>
          <w:i/>
          <w:iCs/>
        </w:rPr>
        <w:t>. </w:t>
      </w:r>
      <w:r w:rsidRPr="005F370E">
        <w:t>Washington, D.C. : World Bank Group</w:t>
      </w:r>
      <w:r>
        <w:t xml:space="preserve"> </w:t>
      </w:r>
      <w:hyperlink r:id="rId24" w:history="1">
        <w:r w:rsidRPr="00A518BB">
          <w:rPr>
            <w:rStyle w:val="Hyperlink"/>
          </w:rPr>
          <w:t>http://documents.worldbank.org/curated/en/099062724151523023/P1778861e0c40b081186a61ced16cac6cde</w:t>
        </w:r>
      </w:hyperlink>
      <w:r>
        <w:t xml:space="preserve"> </w:t>
      </w:r>
    </w:p>
    <w:p w14:paraId="2BA3EED1" w14:textId="39187559" w:rsidR="005E2A7D" w:rsidRDefault="005E2A7D" w:rsidP="002F6B6C">
      <w:r w:rsidRPr="005E2A7D">
        <w:t>Gaspar</w:t>
      </w:r>
      <w:r>
        <w:t>, Vito</w:t>
      </w:r>
      <w:r w:rsidR="00F1053D">
        <w:t>r</w:t>
      </w:r>
      <w:r>
        <w:t>, Laura Jaramillo, and Philippe Wingender</w:t>
      </w:r>
      <w:r w:rsidRPr="005E2A7D">
        <w:t>.</w:t>
      </w:r>
      <w:r>
        <w:t xml:space="preserve"> </w:t>
      </w:r>
      <w:r w:rsidR="00F1053D">
        <w:t xml:space="preserve">2016. </w:t>
      </w:r>
      <w:r>
        <w:t>“</w:t>
      </w:r>
      <w:r w:rsidRPr="005E2A7D">
        <w:t>Tax Capacity and</w:t>
      </w:r>
      <w:r>
        <w:t xml:space="preserve"> Growth: Is There a Tipping Point?” IMF Working Paper WP/16/234 (</w:t>
      </w:r>
      <w:hyperlink r:id="rId25" w:history="1">
        <w:r w:rsidRPr="00C27E57">
          <w:rPr>
            <w:rStyle w:val="Hyperlink"/>
          </w:rPr>
          <w:t>https://www.imf.org/external/pubs/ft/wp/2016/wp16234.pdf</w:t>
        </w:r>
      </w:hyperlink>
      <w:r>
        <w:t>)</w:t>
      </w:r>
      <w:r w:rsidR="00F1053D">
        <w:t>.</w:t>
      </w:r>
    </w:p>
    <w:p w14:paraId="66ED732D" w14:textId="4F6901C1" w:rsidR="00244B40" w:rsidRPr="00244B40" w:rsidRDefault="00244B40" w:rsidP="003C6C4E">
      <w:pPr>
        <w:rPr>
          <w:rFonts w:cstheme="minorHAnsi"/>
        </w:rPr>
      </w:pPr>
      <w:r w:rsidRPr="00130EA9">
        <w:t>Hugger, F. et al. 2024</w:t>
      </w:r>
      <w:r w:rsidR="00601D90">
        <w:t>.</w:t>
      </w:r>
      <w:r w:rsidRPr="00130EA9">
        <w:t xml:space="preserve"> “The Global Minimum Tax and the taxation of MNE profit”, OECD Taxation Working Papers, No. 68, OECD Publishing, Paris,</w:t>
      </w:r>
      <w:r w:rsidRPr="00E1558E">
        <w:rPr>
          <w:rFonts w:cstheme="minorHAnsi"/>
          <w:color w:val="586179"/>
          <w:shd w:val="clear" w:color="auto" w:fill="FFFFFF"/>
        </w:rPr>
        <w:t> </w:t>
      </w:r>
      <w:hyperlink r:id="rId26" w:history="1">
        <w:r w:rsidRPr="00E1558E">
          <w:rPr>
            <w:rStyle w:val="Hyperlink"/>
            <w:rFonts w:cstheme="minorHAnsi"/>
            <w:bdr w:val="none" w:sz="0" w:space="0" w:color="auto" w:frame="1"/>
            <w:shd w:val="clear" w:color="auto" w:fill="FFFFFF"/>
          </w:rPr>
          <w:t>https://doi.org/10.1787/9a815d6b-en</w:t>
        </w:r>
      </w:hyperlink>
      <w:r w:rsidRPr="00E1558E">
        <w:rPr>
          <w:rFonts w:cstheme="minorHAnsi"/>
          <w:color w:val="586179"/>
          <w:shd w:val="clear" w:color="auto" w:fill="FFFFFF"/>
        </w:rPr>
        <w:t>.</w:t>
      </w:r>
    </w:p>
    <w:p w14:paraId="05F97CFA" w14:textId="48A1169D" w:rsidR="003C6C4E" w:rsidRDefault="003C6C4E" w:rsidP="003C6C4E">
      <w:r>
        <w:t>IMF. 2024. “Alternative Options for Revenue Mobilization.” Note for the G-20 (</w:t>
      </w:r>
      <w:hyperlink r:id="rId27" w:history="1">
        <w:r w:rsidRPr="00C27E57">
          <w:rPr>
            <w:rStyle w:val="Hyperlink"/>
          </w:rPr>
          <w:t>https://www.imf.org/external/np/g20/062424.htm</w:t>
        </w:r>
      </w:hyperlink>
      <w:r>
        <w:t>).</w:t>
      </w:r>
    </w:p>
    <w:p w14:paraId="323E6D20" w14:textId="7D2C96E1" w:rsidR="00F1053D" w:rsidRDefault="00626941" w:rsidP="005E2A7D">
      <w:hyperlink r:id="rId28" w:history="1">
        <w:r w:rsidR="005E2A7D" w:rsidRPr="005E2A7D">
          <w:t>Junquera-Varela</w:t>
        </w:r>
      </w:hyperlink>
      <w:r w:rsidR="005E2A7D">
        <w:t xml:space="preserve">, </w:t>
      </w:r>
      <w:r w:rsidR="005E2A7D" w:rsidRPr="005E2A7D">
        <w:t>Raul Felix</w:t>
      </w:r>
      <w:r w:rsidR="005E2A7D">
        <w:t xml:space="preserve">, and </w:t>
      </w:r>
      <w:hyperlink r:id="rId29" w:history="1">
        <w:r w:rsidR="005E2A7D" w:rsidRPr="005E2A7D">
          <w:t>Bernard Haven</w:t>
        </w:r>
      </w:hyperlink>
      <w:r w:rsidR="005E2A7D">
        <w:t xml:space="preserve">. </w:t>
      </w:r>
      <w:r w:rsidR="00F1053D">
        <w:t xml:space="preserve">2018. </w:t>
      </w:r>
      <w:r w:rsidR="005E2A7D">
        <w:t>“Getting to 15 percent: addressing the largest tax gaps</w:t>
      </w:r>
      <w:r w:rsidR="00422ACC">
        <w:t>.</w:t>
      </w:r>
      <w:r w:rsidR="005E2A7D">
        <w:t>” (</w:t>
      </w:r>
      <w:hyperlink r:id="rId30" w:anchor=":~:text=Using%20historical%20data%20from%20139,15%20percent%20%E2%80%9Ctipping%20point.%E2%80%9D" w:history="1">
        <w:r w:rsidR="005E2A7D" w:rsidRPr="00C27E57">
          <w:rPr>
            <w:rStyle w:val="Hyperlink"/>
          </w:rPr>
          <w:t>https://blogs.worldbank.org/en/governance/getting-15-percent-addressing-largest-tax-gaps#:~:text=Using%20historical%20data%20from%20139,15%20percent%20%E2%80%9Ctipping%20point.%E2%80%9D</w:t>
        </w:r>
      </w:hyperlink>
      <w:r w:rsidR="005E2A7D">
        <w:t>)</w:t>
      </w:r>
      <w:r w:rsidR="00F1053D">
        <w:t>.</w:t>
      </w:r>
    </w:p>
    <w:p w14:paraId="17227822" w14:textId="34DDF6C6" w:rsidR="00422ACC" w:rsidRDefault="00422ACC" w:rsidP="00422ACC">
      <w:r>
        <w:t>Platform for Collaboration on Tax (PCT). 2023. “Carbon Pricing Metrics. Analyzing Existing Tools and Databases of PCT Partners.” (</w:t>
      </w:r>
      <w:hyperlink r:id="rId31" w:history="1">
        <w:r w:rsidRPr="00C27E57">
          <w:rPr>
            <w:rStyle w:val="Hyperlink"/>
          </w:rPr>
          <w:t>https://www.tax-platform.org/sites/pct/files/publications/PCT-CPM-Report.pdf</w:t>
        </w:r>
      </w:hyperlink>
      <w:r>
        <w:t>).</w:t>
      </w:r>
    </w:p>
    <w:p w14:paraId="1B75C04B" w14:textId="77777777" w:rsidR="003C6C4E" w:rsidRDefault="003C6C4E" w:rsidP="003C6C4E">
      <w:r>
        <w:t>UNCTAD. 2023. “World Investment Report 2023” (</w:t>
      </w:r>
      <w:hyperlink r:id="rId32" w:history="1">
        <w:r w:rsidRPr="00C27E57">
          <w:rPr>
            <w:rStyle w:val="Hyperlink"/>
          </w:rPr>
          <w:t>https://unctad.org/publication/world-investment-report-2023</w:t>
        </w:r>
      </w:hyperlink>
      <w:r>
        <w:t>).</w:t>
      </w:r>
    </w:p>
    <w:p w14:paraId="7C0AD8E8" w14:textId="77777777" w:rsidR="00601D90" w:rsidRDefault="00601D90" w:rsidP="00601D90">
      <w:r>
        <w:t>United Nations. Inter-agency Task Force on Financing for Development. 2021. “Financing for Sustainable Development Report 2021” (</w:t>
      </w:r>
      <w:hyperlink r:id="rId33" w:history="1">
        <w:r w:rsidRPr="00A969EA">
          <w:rPr>
            <w:rStyle w:val="Hyperlink"/>
          </w:rPr>
          <w:t>https://financing.desa.un.org/sites/default/files/2022-02/FSDR_2021.pdf</w:t>
        </w:r>
      </w:hyperlink>
      <w:r>
        <w:t xml:space="preserve">). </w:t>
      </w:r>
    </w:p>
    <w:p w14:paraId="083B2DE2" w14:textId="511E9CB2" w:rsidR="00E42F8F" w:rsidRPr="00E42F8F" w:rsidRDefault="00E42F8F" w:rsidP="00E42F8F">
      <w:r>
        <w:t>UN General Assembly. 2024. “</w:t>
      </w:r>
      <w:r w:rsidRPr="00E42F8F">
        <w:t>Report on the Second Session of the Ad Hoc Committee to Draft Terms of Reference for a United Nations Framework Convention on International Tax Cooperation</w:t>
      </w:r>
      <w:r>
        <w:t>.” A/79/333 (</w:t>
      </w:r>
      <w:hyperlink r:id="rId34" w:history="1">
        <w:r w:rsidRPr="00C27E57">
          <w:rPr>
            <w:rStyle w:val="Hyperlink"/>
          </w:rPr>
          <w:t>https://financing.desa.un.org/sites/default/files/2024-09/2415701E.pdf</w:t>
        </w:r>
      </w:hyperlink>
      <w:r>
        <w:t>).</w:t>
      </w:r>
    </w:p>
    <w:p w14:paraId="42351245" w14:textId="77777777" w:rsidR="003C6C4E" w:rsidRDefault="003C6C4E" w:rsidP="003C6C4E">
      <w:r>
        <w:t>WBG. 2023. “</w:t>
      </w:r>
      <w:r w:rsidRPr="00422ACC">
        <w:t>The Global Tax Program Health Taxes Knowledge Note Series</w:t>
      </w:r>
      <w:r>
        <w:t>” (</w:t>
      </w:r>
      <w:hyperlink r:id="rId35" w:history="1">
        <w:r w:rsidRPr="00C27E57">
          <w:rPr>
            <w:rStyle w:val="Hyperlink"/>
          </w:rPr>
          <w:t>https://www.worldbank.org/en/programs/the-global-tax-program/publication/gtp-health-taxes-kn-series</w:t>
        </w:r>
      </w:hyperlink>
      <w:r>
        <w:t>).</w:t>
      </w:r>
    </w:p>
    <w:p w14:paraId="6F280583" w14:textId="77777777" w:rsidR="005E2A7D" w:rsidRPr="00F1053D" w:rsidRDefault="005E2A7D" w:rsidP="002F6B6C"/>
    <w:p w14:paraId="7E70A74E" w14:textId="569B63A7" w:rsidR="00E71CDC" w:rsidRDefault="002F6B6C" w:rsidP="002F6B6C">
      <w:r w:rsidRPr="6C6142F7">
        <w:rPr>
          <w:highlight w:val="yellow"/>
        </w:rPr>
        <w:t>NB please also provide a 75-word summary of the brief for the website.</w:t>
      </w:r>
    </w:p>
    <w:p w14:paraId="126DAA3F" w14:textId="44A5E909" w:rsidR="00210422" w:rsidRPr="00E71CDC" w:rsidRDefault="00E71CDC" w:rsidP="002F6B6C">
      <w:pPr>
        <w:rPr>
          <w:i/>
          <w:iCs/>
        </w:rPr>
      </w:pPr>
      <w:r w:rsidRPr="00E71CDC">
        <w:rPr>
          <w:i/>
          <w:iCs/>
        </w:rPr>
        <w:t>Th</w:t>
      </w:r>
      <w:r w:rsidR="00FA22FC">
        <w:rPr>
          <w:i/>
          <w:iCs/>
        </w:rPr>
        <w:t>is</w:t>
      </w:r>
      <w:r w:rsidRPr="00E71CDC">
        <w:rPr>
          <w:i/>
          <w:iCs/>
        </w:rPr>
        <w:t xml:space="preserve"> joint Brief by IMF, OECD and WBG emphasizes the critical role of Domestic Revenue Mobilization (DRM) in addressing the financing gap for the Sustainable Development Goals (SDGs) in low-income countries. It highlights the need for comprehensive tax reforms, enhanced compliance, and international cooperation to increase tax revenues. The brief advocates for utilizing the upcoming FFD4 conference to strengthen tax capacity and align policies with sustainable development objectives.</w:t>
      </w:r>
    </w:p>
    <w:sectPr w:rsidR="00210422" w:rsidRPr="00E71CDC">
      <w:footerReference w:type="even" r:id="rId36"/>
      <w:footerReference w:type="defaul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BEDE" w14:textId="77777777" w:rsidR="008645FF" w:rsidRDefault="008645FF" w:rsidP="003A03B5">
      <w:pPr>
        <w:spacing w:after="0" w:line="240" w:lineRule="auto"/>
      </w:pPr>
      <w:r>
        <w:separator/>
      </w:r>
    </w:p>
  </w:endnote>
  <w:endnote w:type="continuationSeparator" w:id="0">
    <w:p w14:paraId="076E6709" w14:textId="77777777" w:rsidR="008645FF" w:rsidRDefault="008645FF"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9086" w14:textId="5784AD1D" w:rsidR="00244B40" w:rsidRDefault="00DC5496">
    <w:pPr>
      <w:pStyle w:val="Footer"/>
    </w:pPr>
    <w:r>
      <w:rPr>
        <w:noProof/>
      </w:rPr>
      <mc:AlternateContent>
        <mc:Choice Requires="wps">
          <w:drawing>
            <wp:anchor distT="0" distB="0" distL="0" distR="0" simplePos="0" relativeHeight="251659264" behindDoc="0" locked="0" layoutInCell="1" allowOverlap="1" wp14:anchorId="17F22574" wp14:editId="39F8D7FF">
              <wp:simplePos x="635" y="635"/>
              <wp:positionH relativeFrom="page">
                <wp:align>center</wp:align>
              </wp:positionH>
              <wp:positionV relativeFrom="page">
                <wp:align>bottom</wp:align>
              </wp:positionV>
              <wp:extent cx="443865" cy="443865"/>
              <wp:effectExtent l="0" t="0" r="6350" b="0"/>
              <wp:wrapNone/>
              <wp:docPr id="2"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D4D34" w14:textId="42A77B0A" w:rsidR="00DC5496" w:rsidRPr="00DC5496" w:rsidRDefault="00DC5496" w:rsidP="00DC5496">
                          <w:pPr>
                            <w:spacing w:after="0"/>
                            <w:rPr>
                              <w:rFonts w:ascii="Calibri" w:eastAsia="Calibri" w:hAnsi="Calibri" w:cs="Calibri"/>
                              <w:noProof/>
                              <w:color w:val="0000FF"/>
                              <w:sz w:val="20"/>
                              <w:szCs w:val="20"/>
                            </w:rPr>
                          </w:pPr>
                          <w:r w:rsidRPr="00DC5496">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22574" id="_x0000_t202" coordsize="21600,21600" o:spt="202" path="m,l,21600r21600,l21600,xe">
              <v:stroke joinstyle="miter"/>
              <v:path gradientshapeok="t" o:connecttype="rect"/>
            </v:shapetype>
            <v:shape id="Text Box 2" o:spid="_x0000_s1026" type="#_x0000_t202" alt="Restricted Use - À usage restrein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99D4D34" w14:textId="42A77B0A" w:rsidR="00DC5496" w:rsidRPr="00DC5496" w:rsidRDefault="00DC5496" w:rsidP="00DC5496">
                    <w:pPr>
                      <w:spacing w:after="0"/>
                      <w:rPr>
                        <w:rFonts w:ascii="Calibri" w:eastAsia="Calibri" w:hAnsi="Calibri" w:cs="Calibri"/>
                        <w:noProof/>
                        <w:color w:val="0000FF"/>
                        <w:sz w:val="20"/>
                        <w:szCs w:val="20"/>
                      </w:rPr>
                    </w:pPr>
                    <w:r w:rsidRPr="00DC5496">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EEDC" w14:textId="318A22A3" w:rsidR="00244B40" w:rsidRDefault="00DC5496">
    <w:pPr>
      <w:pStyle w:val="Footer"/>
    </w:pPr>
    <w:r>
      <w:rPr>
        <w:noProof/>
      </w:rPr>
      <mc:AlternateContent>
        <mc:Choice Requires="wps">
          <w:drawing>
            <wp:anchor distT="0" distB="0" distL="0" distR="0" simplePos="0" relativeHeight="251660288" behindDoc="0" locked="0" layoutInCell="1" allowOverlap="1" wp14:anchorId="1B5F90DF" wp14:editId="6615C1D2">
              <wp:simplePos x="635" y="635"/>
              <wp:positionH relativeFrom="page">
                <wp:align>center</wp:align>
              </wp:positionH>
              <wp:positionV relativeFrom="page">
                <wp:align>bottom</wp:align>
              </wp:positionV>
              <wp:extent cx="443865" cy="443865"/>
              <wp:effectExtent l="0" t="0" r="6350" b="0"/>
              <wp:wrapNone/>
              <wp:docPr id="3"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9FE7B" w14:textId="3304A514" w:rsidR="00DC5496" w:rsidRPr="00DC5496" w:rsidRDefault="00DC5496" w:rsidP="00DC5496">
                          <w:pPr>
                            <w:spacing w:after="0"/>
                            <w:rPr>
                              <w:rFonts w:ascii="Calibri" w:eastAsia="Calibri" w:hAnsi="Calibri" w:cs="Calibri"/>
                              <w:noProof/>
                              <w:color w:val="0000FF"/>
                              <w:sz w:val="20"/>
                              <w:szCs w:val="20"/>
                            </w:rPr>
                          </w:pPr>
                          <w:r w:rsidRPr="00DC5496">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5F90DF" id="_x0000_t202" coordsize="21600,21600" o:spt="202" path="m,l,21600r21600,l21600,xe">
              <v:stroke joinstyle="miter"/>
              <v:path gradientshapeok="t" o:connecttype="rect"/>
            </v:shapetype>
            <v:shape id="Text Box 3" o:spid="_x0000_s1027" type="#_x0000_t202" alt="Restricted Use - À usage restrein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1D9FE7B" w14:textId="3304A514" w:rsidR="00DC5496" w:rsidRPr="00DC5496" w:rsidRDefault="00DC5496" w:rsidP="00DC5496">
                    <w:pPr>
                      <w:spacing w:after="0"/>
                      <w:rPr>
                        <w:rFonts w:ascii="Calibri" w:eastAsia="Calibri" w:hAnsi="Calibri" w:cs="Calibri"/>
                        <w:noProof/>
                        <w:color w:val="0000FF"/>
                        <w:sz w:val="20"/>
                        <w:szCs w:val="20"/>
                      </w:rPr>
                    </w:pPr>
                    <w:r w:rsidRPr="00DC5496">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CA19" w14:textId="39155291" w:rsidR="00244B40" w:rsidRDefault="00DC5496">
    <w:pPr>
      <w:pStyle w:val="Footer"/>
    </w:pPr>
    <w:r>
      <w:rPr>
        <w:noProof/>
      </w:rPr>
      <mc:AlternateContent>
        <mc:Choice Requires="wps">
          <w:drawing>
            <wp:anchor distT="0" distB="0" distL="0" distR="0" simplePos="0" relativeHeight="251658240" behindDoc="0" locked="0" layoutInCell="1" allowOverlap="1" wp14:anchorId="020D69D5" wp14:editId="46C46C26">
              <wp:simplePos x="635" y="635"/>
              <wp:positionH relativeFrom="page">
                <wp:align>center</wp:align>
              </wp:positionH>
              <wp:positionV relativeFrom="page">
                <wp:align>bottom</wp:align>
              </wp:positionV>
              <wp:extent cx="443865" cy="443865"/>
              <wp:effectExtent l="0" t="0" r="6350" b="0"/>
              <wp:wrapNone/>
              <wp:docPr id="1"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1FAC01" w14:textId="5B1699CC" w:rsidR="00DC5496" w:rsidRPr="00DC5496" w:rsidRDefault="00DC5496" w:rsidP="00DC5496">
                          <w:pPr>
                            <w:spacing w:after="0"/>
                            <w:rPr>
                              <w:rFonts w:ascii="Calibri" w:eastAsia="Calibri" w:hAnsi="Calibri" w:cs="Calibri"/>
                              <w:noProof/>
                              <w:color w:val="0000FF"/>
                              <w:sz w:val="20"/>
                              <w:szCs w:val="20"/>
                            </w:rPr>
                          </w:pPr>
                          <w:r w:rsidRPr="00DC5496">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0D69D5" id="_x0000_t202" coordsize="21600,21600" o:spt="202" path="m,l,21600r21600,l21600,xe">
              <v:stroke joinstyle="miter"/>
              <v:path gradientshapeok="t" o:connecttype="rect"/>
            </v:shapetype>
            <v:shape id="Text Box 1" o:spid="_x0000_s1028" type="#_x0000_t202" alt="Restricted Use - À usage restrei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51FAC01" w14:textId="5B1699CC" w:rsidR="00DC5496" w:rsidRPr="00DC5496" w:rsidRDefault="00DC5496" w:rsidP="00DC5496">
                    <w:pPr>
                      <w:spacing w:after="0"/>
                      <w:rPr>
                        <w:rFonts w:ascii="Calibri" w:eastAsia="Calibri" w:hAnsi="Calibri" w:cs="Calibri"/>
                        <w:noProof/>
                        <w:color w:val="0000FF"/>
                        <w:sz w:val="20"/>
                        <w:szCs w:val="20"/>
                      </w:rPr>
                    </w:pPr>
                    <w:r w:rsidRPr="00DC5496">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FC97" w14:textId="77777777" w:rsidR="008645FF" w:rsidRDefault="008645FF" w:rsidP="003A03B5">
      <w:pPr>
        <w:spacing w:after="0" w:line="240" w:lineRule="auto"/>
      </w:pPr>
      <w:r>
        <w:separator/>
      </w:r>
    </w:p>
  </w:footnote>
  <w:footnote w:type="continuationSeparator" w:id="0">
    <w:p w14:paraId="03195F9C" w14:textId="77777777" w:rsidR="008645FF" w:rsidRDefault="008645FF" w:rsidP="003A0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716E9"/>
    <w:multiLevelType w:val="multilevel"/>
    <w:tmpl w:val="2A9E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7E2"/>
    <w:multiLevelType w:val="hybridMultilevel"/>
    <w:tmpl w:val="35F68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F8E1202"/>
    <w:multiLevelType w:val="multilevel"/>
    <w:tmpl w:val="0F92D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9014310">
    <w:abstractNumId w:val="0"/>
  </w:num>
  <w:num w:numId="2" w16cid:durableId="705714083">
    <w:abstractNumId w:val="7"/>
  </w:num>
  <w:num w:numId="3" w16cid:durableId="1224489899">
    <w:abstractNumId w:val="4"/>
  </w:num>
  <w:num w:numId="4" w16cid:durableId="839007420">
    <w:abstractNumId w:val="5"/>
  </w:num>
  <w:num w:numId="5" w16cid:durableId="1795057800">
    <w:abstractNumId w:val="6"/>
  </w:num>
  <w:num w:numId="6" w16cid:durableId="1539704886">
    <w:abstractNumId w:val="3"/>
  </w:num>
  <w:num w:numId="7" w16cid:durableId="1965765382">
    <w:abstractNumId w:val="2"/>
  </w:num>
  <w:num w:numId="8" w16cid:durableId="618415215">
    <w:abstractNumId w:val="8"/>
  </w:num>
  <w:num w:numId="9" w16cid:durableId="122402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F90D65CB344D72296880724DBA8A4AA99A013A371833177C44D043D070788DCC"/>
  </w:docVars>
  <w:rsids>
    <w:rsidRoot w:val="00B37572"/>
    <w:rsid w:val="00030E3E"/>
    <w:rsid w:val="00041F35"/>
    <w:rsid w:val="00071553"/>
    <w:rsid w:val="000A70C4"/>
    <w:rsid w:val="000C7E94"/>
    <w:rsid w:val="001008FF"/>
    <w:rsid w:val="00130EA9"/>
    <w:rsid w:val="00174569"/>
    <w:rsid w:val="001A71B9"/>
    <w:rsid w:val="001C5FC0"/>
    <w:rsid w:val="00210422"/>
    <w:rsid w:val="00226DDE"/>
    <w:rsid w:val="00230CC0"/>
    <w:rsid w:val="00244439"/>
    <w:rsid w:val="00244B40"/>
    <w:rsid w:val="00251A33"/>
    <w:rsid w:val="00256658"/>
    <w:rsid w:val="002577AB"/>
    <w:rsid w:val="00264832"/>
    <w:rsid w:val="00270D45"/>
    <w:rsid w:val="002723FF"/>
    <w:rsid w:val="00275650"/>
    <w:rsid w:val="00280A5A"/>
    <w:rsid w:val="00291D26"/>
    <w:rsid w:val="002C6D77"/>
    <w:rsid w:val="002E31D3"/>
    <w:rsid w:val="002E6F24"/>
    <w:rsid w:val="002F4A33"/>
    <w:rsid w:val="002F6B6C"/>
    <w:rsid w:val="003151D7"/>
    <w:rsid w:val="00316586"/>
    <w:rsid w:val="00317113"/>
    <w:rsid w:val="00334ACF"/>
    <w:rsid w:val="0034282A"/>
    <w:rsid w:val="003468F0"/>
    <w:rsid w:val="00387992"/>
    <w:rsid w:val="003963B8"/>
    <w:rsid w:val="003A03B5"/>
    <w:rsid w:val="003A1EF7"/>
    <w:rsid w:val="003C6C4E"/>
    <w:rsid w:val="004126AF"/>
    <w:rsid w:val="0042016D"/>
    <w:rsid w:val="00422ACC"/>
    <w:rsid w:val="004278CD"/>
    <w:rsid w:val="004C135B"/>
    <w:rsid w:val="004C5A9A"/>
    <w:rsid w:val="004F4DF5"/>
    <w:rsid w:val="00510309"/>
    <w:rsid w:val="00530E05"/>
    <w:rsid w:val="005438BE"/>
    <w:rsid w:val="00555235"/>
    <w:rsid w:val="00562269"/>
    <w:rsid w:val="00586C41"/>
    <w:rsid w:val="005910B8"/>
    <w:rsid w:val="005A5020"/>
    <w:rsid w:val="005E2A7D"/>
    <w:rsid w:val="005F370E"/>
    <w:rsid w:val="00601D90"/>
    <w:rsid w:val="00623EC0"/>
    <w:rsid w:val="00626941"/>
    <w:rsid w:val="0063460B"/>
    <w:rsid w:val="00694D93"/>
    <w:rsid w:val="006A343D"/>
    <w:rsid w:val="006C05A7"/>
    <w:rsid w:val="006D4D4C"/>
    <w:rsid w:val="006E2FD2"/>
    <w:rsid w:val="0077138E"/>
    <w:rsid w:val="007814DE"/>
    <w:rsid w:val="007D1216"/>
    <w:rsid w:val="007F075C"/>
    <w:rsid w:val="00812F0E"/>
    <w:rsid w:val="00817599"/>
    <w:rsid w:val="008422FD"/>
    <w:rsid w:val="008645FF"/>
    <w:rsid w:val="008D4AB4"/>
    <w:rsid w:val="009C126D"/>
    <w:rsid w:val="009D6678"/>
    <w:rsid w:val="00A150E2"/>
    <w:rsid w:val="00A252C5"/>
    <w:rsid w:val="00AC5120"/>
    <w:rsid w:val="00AC635D"/>
    <w:rsid w:val="00AD1EA1"/>
    <w:rsid w:val="00AE2B30"/>
    <w:rsid w:val="00B16F5C"/>
    <w:rsid w:val="00B303BA"/>
    <w:rsid w:val="00B37572"/>
    <w:rsid w:val="00B52F12"/>
    <w:rsid w:val="00BA3BA4"/>
    <w:rsid w:val="00BD1E2F"/>
    <w:rsid w:val="00C02B63"/>
    <w:rsid w:val="00C15831"/>
    <w:rsid w:val="00C401B3"/>
    <w:rsid w:val="00C67DDF"/>
    <w:rsid w:val="00C70F61"/>
    <w:rsid w:val="00C9157B"/>
    <w:rsid w:val="00D14383"/>
    <w:rsid w:val="00D5534A"/>
    <w:rsid w:val="00D6347F"/>
    <w:rsid w:val="00DB2480"/>
    <w:rsid w:val="00DC5496"/>
    <w:rsid w:val="00E1558E"/>
    <w:rsid w:val="00E2289C"/>
    <w:rsid w:val="00E42F8F"/>
    <w:rsid w:val="00E52E8B"/>
    <w:rsid w:val="00E71CDC"/>
    <w:rsid w:val="00E94657"/>
    <w:rsid w:val="00EA3312"/>
    <w:rsid w:val="00EB44E9"/>
    <w:rsid w:val="00EC08BE"/>
    <w:rsid w:val="00EC70AE"/>
    <w:rsid w:val="00F0085E"/>
    <w:rsid w:val="00F01D3A"/>
    <w:rsid w:val="00F1053D"/>
    <w:rsid w:val="00F236C1"/>
    <w:rsid w:val="00F31841"/>
    <w:rsid w:val="00F31DF6"/>
    <w:rsid w:val="00F334D1"/>
    <w:rsid w:val="00F63348"/>
    <w:rsid w:val="00F96717"/>
    <w:rsid w:val="00FA22FC"/>
    <w:rsid w:val="00FC5BF5"/>
    <w:rsid w:val="00FD3426"/>
    <w:rsid w:val="00FD7E6C"/>
    <w:rsid w:val="00FE3946"/>
    <w:rsid w:val="00FF2D68"/>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Strong">
    <w:name w:val="Strong"/>
    <w:basedOn w:val="DefaultParagraphFont"/>
    <w:uiPriority w:val="22"/>
    <w:qFormat/>
    <w:rsid w:val="001008FF"/>
    <w:rPr>
      <w:b/>
      <w:bCs/>
    </w:rPr>
  </w:style>
  <w:style w:type="character" w:styleId="UnresolvedMention">
    <w:name w:val="Unresolved Mention"/>
    <w:basedOn w:val="DefaultParagraphFont"/>
    <w:uiPriority w:val="99"/>
    <w:semiHidden/>
    <w:unhideWhenUsed/>
    <w:rsid w:val="00EC08BE"/>
    <w:rPr>
      <w:color w:val="605E5C"/>
      <w:shd w:val="clear" w:color="auto" w:fill="E1DFDD"/>
    </w:rPr>
  </w:style>
  <w:style w:type="character" w:styleId="FollowedHyperlink">
    <w:name w:val="FollowedHyperlink"/>
    <w:basedOn w:val="DefaultParagraphFont"/>
    <w:uiPriority w:val="99"/>
    <w:semiHidden/>
    <w:unhideWhenUsed/>
    <w:rsid w:val="00EC0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3102">
      <w:bodyDiv w:val="1"/>
      <w:marLeft w:val="0"/>
      <w:marRight w:val="0"/>
      <w:marTop w:val="0"/>
      <w:marBottom w:val="0"/>
      <w:divBdr>
        <w:top w:val="none" w:sz="0" w:space="0" w:color="auto"/>
        <w:left w:val="none" w:sz="0" w:space="0" w:color="auto"/>
        <w:bottom w:val="none" w:sz="0" w:space="0" w:color="auto"/>
        <w:right w:val="none" w:sz="0" w:space="0" w:color="auto"/>
      </w:divBdr>
    </w:div>
    <w:div w:id="429475947">
      <w:bodyDiv w:val="1"/>
      <w:marLeft w:val="0"/>
      <w:marRight w:val="0"/>
      <w:marTop w:val="0"/>
      <w:marBottom w:val="0"/>
      <w:divBdr>
        <w:top w:val="none" w:sz="0" w:space="0" w:color="auto"/>
        <w:left w:val="none" w:sz="0" w:space="0" w:color="auto"/>
        <w:bottom w:val="none" w:sz="0" w:space="0" w:color="auto"/>
        <w:right w:val="none" w:sz="0" w:space="0" w:color="auto"/>
      </w:divBdr>
      <w:divsChild>
        <w:div w:id="995035102">
          <w:marLeft w:val="0"/>
          <w:marRight w:val="0"/>
          <w:marTop w:val="0"/>
          <w:marBottom w:val="0"/>
          <w:divBdr>
            <w:top w:val="none" w:sz="0" w:space="0" w:color="auto"/>
            <w:left w:val="none" w:sz="0" w:space="0" w:color="auto"/>
            <w:bottom w:val="none" w:sz="0" w:space="0" w:color="auto"/>
            <w:right w:val="none" w:sz="0" w:space="0" w:color="auto"/>
          </w:divBdr>
          <w:divsChild>
            <w:div w:id="2036270942">
              <w:marLeft w:val="0"/>
              <w:marRight w:val="0"/>
              <w:marTop w:val="0"/>
              <w:marBottom w:val="0"/>
              <w:divBdr>
                <w:top w:val="none" w:sz="0" w:space="0" w:color="auto"/>
                <w:left w:val="none" w:sz="0" w:space="0" w:color="auto"/>
                <w:bottom w:val="single" w:sz="6" w:space="24" w:color="E5E5E5"/>
                <w:right w:val="none" w:sz="0" w:space="0" w:color="auto"/>
              </w:divBdr>
              <w:divsChild>
                <w:div w:id="872619123">
                  <w:marLeft w:val="0"/>
                  <w:marRight w:val="0"/>
                  <w:marTop w:val="0"/>
                  <w:marBottom w:val="0"/>
                  <w:divBdr>
                    <w:top w:val="none" w:sz="0" w:space="0" w:color="auto"/>
                    <w:left w:val="none" w:sz="0" w:space="0" w:color="auto"/>
                    <w:bottom w:val="none" w:sz="0" w:space="0" w:color="auto"/>
                    <w:right w:val="none" w:sz="0" w:space="0" w:color="auto"/>
                  </w:divBdr>
                  <w:divsChild>
                    <w:div w:id="729694707">
                      <w:marLeft w:val="0"/>
                      <w:marRight w:val="0"/>
                      <w:marTop w:val="0"/>
                      <w:marBottom w:val="0"/>
                      <w:divBdr>
                        <w:top w:val="none" w:sz="0" w:space="0" w:color="auto"/>
                        <w:left w:val="none" w:sz="0" w:space="0" w:color="auto"/>
                        <w:bottom w:val="none" w:sz="0" w:space="0" w:color="auto"/>
                        <w:right w:val="none" w:sz="0" w:space="0" w:color="auto"/>
                      </w:divBdr>
                      <w:divsChild>
                        <w:div w:id="1223828180">
                          <w:marLeft w:val="0"/>
                          <w:marRight w:val="0"/>
                          <w:marTop w:val="0"/>
                          <w:marBottom w:val="0"/>
                          <w:divBdr>
                            <w:top w:val="none" w:sz="0" w:space="0" w:color="auto"/>
                            <w:left w:val="none" w:sz="0" w:space="0" w:color="auto"/>
                            <w:bottom w:val="none" w:sz="0" w:space="0" w:color="auto"/>
                            <w:right w:val="none" w:sz="0" w:space="0" w:color="auto"/>
                          </w:divBdr>
                          <w:divsChild>
                            <w:div w:id="986980743">
                              <w:marLeft w:val="0"/>
                              <w:marRight w:val="0"/>
                              <w:marTop w:val="0"/>
                              <w:marBottom w:val="0"/>
                              <w:divBdr>
                                <w:top w:val="none" w:sz="0" w:space="0" w:color="auto"/>
                                <w:left w:val="none" w:sz="0" w:space="0" w:color="auto"/>
                                <w:bottom w:val="none" w:sz="0" w:space="0" w:color="auto"/>
                                <w:right w:val="none" w:sz="0" w:space="0" w:color="auto"/>
                              </w:divBdr>
                              <w:divsChild>
                                <w:div w:id="1109080009">
                                  <w:marLeft w:val="-225"/>
                                  <w:marRight w:val="-225"/>
                                  <w:marTop w:val="0"/>
                                  <w:marBottom w:val="0"/>
                                  <w:divBdr>
                                    <w:top w:val="none" w:sz="0" w:space="0" w:color="auto"/>
                                    <w:left w:val="none" w:sz="0" w:space="0" w:color="auto"/>
                                    <w:bottom w:val="none" w:sz="0" w:space="0" w:color="auto"/>
                                    <w:right w:val="none" w:sz="0" w:space="0" w:color="auto"/>
                                  </w:divBdr>
                                  <w:divsChild>
                                    <w:div w:id="77673157">
                                      <w:marLeft w:val="0"/>
                                      <w:marRight w:val="0"/>
                                      <w:marTop w:val="0"/>
                                      <w:marBottom w:val="0"/>
                                      <w:divBdr>
                                        <w:top w:val="none" w:sz="0" w:space="0" w:color="auto"/>
                                        <w:left w:val="none" w:sz="0" w:space="0" w:color="auto"/>
                                        <w:bottom w:val="none" w:sz="0" w:space="0" w:color="auto"/>
                                        <w:right w:val="none" w:sz="0" w:space="0" w:color="auto"/>
                                      </w:divBdr>
                                      <w:divsChild>
                                        <w:div w:id="27225950">
                                          <w:marLeft w:val="0"/>
                                          <w:marRight w:val="0"/>
                                          <w:marTop w:val="0"/>
                                          <w:marBottom w:val="0"/>
                                          <w:divBdr>
                                            <w:top w:val="none" w:sz="0" w:space="0" w:color="auto"/>
                                            <w:left w:val="none" w:sz="0" w:space="0" w:color="auto"/>
                                            <w:bottom w:val="none" w:sz="0" w:space="0" w:color="auto"/>
                                            <w:right w:val="none" w:sz="0" w:space="0" w:color="auto"/>
                                          </w:divBdr>
                                          <w:divsChild>
                                            <w:div w:id="1484422807">
                                              <w:marLeft w:val="0"/>
                                              <w:marRight w:val="0"/>
                                              <w:marTop w:val="0"/>
                                              <w:marBottom w:val="0"/>
                                              <w:divBdr>
                                                <w:top w:val="none" w:sz="0" w:space="0" w:color="auto"/>
                                                <w:left w:val="none" w:sz="0" w:space="0" w:color="auto"/>
                                                <w:bottom w:val="none" w:sz="0" w:space="0" w:color="auto"/>
                                                <w:right w:val="none" w:sz="0" w:space="0" w:color="auto"/>
                                              </w:divBdr>
                                              <w:divsChild>
                                                <w:div w:id="718819946">
                                                  <w:marLeft w:val="0"/>
                                                  <w:marRight w:val="0"/>
                                                  <w:marTop w:val="0"/>
                                                  <w:marBottom w:val="0"/>
                                                  <w:divBdr>
                                                    <w:top w:val="none" w:sz="0" w:space="0" w:color="auto"/>
                                                    <w:left w:val="none" w:sz="0" w:space="0" w:color="auto"/>
                                                    <w:bottom w:val="none" w:sz="0" w:space="0" w:color="auto"/>
                                                    <w:right w:val="none" w:sz="0" w:space="0" w:color="auto"/>
                                                  </w:divBdr>
                                                  <w:divsChild>
                                                    <w:div w:id="2001810550">
                                                      <w:marLeft w:val="0"/>
                                                      <w:marRight w:val="0"/>
                                                      <w:marTop w:val="0"/>
                                                      <w:marBottom w:val="0"/>
                                                      <w:divBdr>
                                                        <w:top w:val="none" w:sz="0" w:space="0" w:color="auto"/>
                                                        <w:left w:val="none" w:sz="0" w:space="0" w:color="auto"/>
                                                        <w:bottom w:val="none" w:sz="0" w:space="0" w:color="auto"/>
                                                        <w:right w:val="none" w:sz="0" w:space="0" w:color="auto"/>
                                                      </w:divBdr>
                                                      <w:divsChild>
                                                        <w:div w:id="4877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680072">
      <w:bodyDiv w:val="1"/>
      <w:marLeft w:val="0"/>
      <w:marRight w:val="0"/>
      <w:marTop w:val="0"/>
      <w:marBottom w:val="0"/>
      <w:divBdr>
        <w:top w:val="none" w:sz="0" w:space="0" w:color="auto"/>
        <w:left w:val="none" w:sz="0" w:space="0" w:color="auto"/>
        <w:bottom w:val="none" w:sz="0" w:space="0" w:color="auto"/>
        <w:right w:val="none" w:sz="0" w:space="0" w:color="auto"/>
      </w:divBdr>
    </w:div>
    <w:div w:id="1131241954">
      <w:bodyDiv w:val="1"/>
      <w:marLeft w:val="0"/>
      <w:marRight w:val="0"/>
      <w:marTop w:val="0"/>
      <w:marBottom w:val="0"/>
      <w:divBdr>
        <w:top w:val="none" w:sz="0" w:space="0" w:color="auto"/>
        <w:left w:val="none" w:sz="0" w:space="0" w:color="auto"/>
        <w:bottom w:val="none" w:sz="0" w:space="0" w:color="auto"/>
        <w:right w:val="none" w:sz="0" w:space="0" w:color="auto"/>
      </w:divBdr>
    </w:div>
    <w:div w:id="1261571350">
      <w:bodyDiv w:val="1"/>
      <w:marLeft w:val="0"/>
      <w:marRight w:val="0"/>
      <w:marTop w:val="0"/>
      <w:marBottom w:val="0"/>
      <w:divBdr>
        <w:top w:val="none" w:sz="0" w:space="0" w:color="auto"/>
        <w:left w:val="none" w:sz="0" w:space="0" w:color="auto"/>
        <w:bottom w:val="none" w:sz="0" w:space="0" w:color="auto"/>
        <w:right w:val="none" w:sz="0" w:space="0" w:color="auto"/>
      </w:divBdr>
    </w:div>
    <w:div w:id="1391922673">
      <w:bodyDiv w:val="1"/>
      <w:marLeft w:val="0"/>
      <w:marRight w:val="0"/>
      <w:marTop w:val="0"/>
      <w:marBottom w:val="0"/>
      <w:divBdr>
        <w:top w:val="none" w:sz="0" w:space="0" w:color="auto"/>
        <w:left w:val="none" w:sz="0" w:space="0" w:color="auto"/>
        <w:bottom w:val="none" w:sz="0" w:space="0" w:color="auto"/>
        <w:right w:val="none" w:sz="0" w:space="0" w:color="auto"/>
      </w:divBdr>
    </w:div>
    <w:div w:id="17009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ldbank.org/en/programs/the-global-tax-program/publication/gtp-health-taxes-kn-series" TargetMode="External"/><Relationship Id="rId18" Type="http://schemas.openxmlformats.org/officeDocument/2006/relationships/hyperlink" Target="https://www.un.org/sustainabledevelopment/wp-content/uploads/2022/03/2021-Report.pdf" TargetMode="External"/><Relationship Id="rId26" Type="http://schemas.openxmlformats.org/officeDocument/2006/relationships/hyperlink" Target="https://doi.org/10.1787/9a815d6b-en" TargetMode="External"/><Relationship Id="rId39" Type="http://schemas.openxmlformats.org/officeDocument/2006/relationships/fontTable" Target="fontTable.xml"/><Relationship Id="rId21" Type="http://schemas.openxmlformats.org/officeDocument/2006/relationships/hyperlink" Target="https://www.imf.org/en/Publications/Publications-By-Author?author=Miguel+Pecho&amp;name=Miguel%20Pecho" TargetMode="External"/><Relationship Id="rId34" Type="http://schemas.openxmlformats.org/officeDocument/2006/relationships/hyperlink" Target="https://financing.desa.un.org/sites/default/files/2024-09/2415701E.pdf" TargetMode="External"/><Relationship Id="rId42" Type="http://schemas.openxmlformats.org/officeDocument/2006/relationships/customXml" Target="../customXml/item2.xml"/><Relationship Id="rId7" Type="http://schemas.openxmlformats.org/officeDocument/2006/relationships/hyperlink" Target="https://nam10.safelinks.protection.outlook.com/?url=https%3A%2F%2Functad.org%2Fpublication%2Fworld-investment-report-2023&amp;data=05%7C02%7CKBaer%40imf.org%7Cfa9ac886fe664c9203a708dca5bf6e5f%7C8085fa43302e45bdb171a6648c3b6be7%7C0%7C0%7C638567488835060475%7CUnknown%7CTWFpbGZsb3d8eyJWIjoiMC4wLjAwMDAiLCJQIjoiV2luMzIiLCJBTiI6Ik1haWwiLCJXVCI6Mn0%3D%7C0%7C%7C%7C&amp;sdata=Ie5edZPKrK19IXKjH%2B8fktmR8ZG5Vit3yYIjMDsVeJM%3D&amp;reserved=0" TargetMode="External"/><Relationship Id="rId2" Type="http://schemas.openxmlformats.org/officeDocument/2006/relationships/styles" Target="styles.xml"/><Relationship Id="rId16" Type="http://schemas.openxmlformats.org/officeDocument/2006/relationships/hyperlink" Target="https://nam10.safelinks.protection.outlook.com/?url=https%3A%2F%2Fwww.oecd.org%2Ftax%2Fbeps%2F&amp;data=05%7C02%7CKBaer%40imf.org%7Cfa9ac886fe664c9203a708dca5bf6e5f%7C8085fa43302e45bdb171a6648c3b6be7%7C0%7C0%7C638567488835081651%7CUnknown%7CTWFpbGZsb3d8eyJWIjoiMC4wLjAwMDAiLCJQIjoiV2luMzIiLCJBTiI6Ik1haWwiLCJXVCI6Mn0%3D%7C0%7C%7C%7C&amp;sdata=TRXKEwtxkoccVKaunOpU4sH0ftE%2BOUKm4eRhpaYejY0%3D&amp;reserved=0" TargetMode="External"/><Relationship Id="rId20" Type="http://schemas.openxmlformats.org/officeDocument/2006/relationships/hyperlink" Target="https://www.imf.org/en/Publications/Publications-By-Author?author=Mario+Mansour&amp;name=Mario%20Mansour" TargetMode="External"/><Relationship Id="rId29" Type="http://schemas.openxmlformats.org/officeDocument/2006/relationships/hyperlink" Target="https://blogs.worldbank.org/en/team/b/bernard-haven"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s.worldbank.org/en/publication/documents-reports/documentdetail/099062724151523023/p1778861e0c40b081186a61ced16cac6cde" TargetMode="External"/><Relationship Id="rId24" Type="http://schemas.openxmlformats.org/officeDocument/2006/relationships/hyperlink" Target="http://documents.worldbank.org/curated/en/099062724151523023/P1778861e0c40b081186a61ced16cac6cde" TargetMode="External"/><Relationship Id="rId32" Type="http://schemas.openxmlformats.org/officeDocument/2006/relationships/hyperlink" Target="https://unctad.org/publication/world-investment-report-202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m10.safelinks.protection.outlook.com/?url=https%3A%2F%2Fwww.oecd.org%2Ftax%2Ftransparency%2F&amp;data=05%7C02%7CKBaer%40imf.org%7Cfa9ac886fe664c9203a708dca5bf6e5f%7C8085fa43302e45bdb171a6648c3b6be7%7C0%7C0%7C638567488835074675%7CUnknown%7CTWFpbGZsb3d8eyJWIjoiMC4wLjAwMDAiLCJQIjoiV2luMzIiLCJBTiI6Ik1haWwiLCJXVCI6Mn0%3D%7C0%7C%7C%7C&amp;sdata=MwwCUvRtuA6k1hoku4Nk%2BV6AXHyDtqs8mlBabSAh%2FPk%3D&amp;reserved=0" TargetMode="External"/><Relationship Id="rId23" Type="http://schemas.openxmlformats.org/officeDocument/2006/relationships/hyperlink" Target="https://www.imf.org/en/Publications/Staff-Discussion-Notes/Issues/2023/09/15/Building-Tax-Capacity-in-Developing-Countries-535449" TargetMode="External"/><Relationship Id="rId28" Type="http://schemas.openxmlformats.org/officeDocument/2006/relationships/hyperlink" Target="https://blogs.worldbank.org/en/team/r/raul-felix-junquera-varela" TargetMode="External"/><Relationship Id="rId36" Type="http://schemas.openxmlformats.org/officeDocument/2006/relationships/footer" Target="footer1.xml"/><Relationship Id="rId10" Type="http://schemas.openxmlformats.org/officeDocument/2006/relationships/hyperlink" Target="https://www.imf.org/external/pubs/ft/wp/2016/wp16234.pdf" TargetMode="External"/><Relationship Id="rId19" Type="http://schemas.openxmlformats.org/officeDocument/2006/relationships/hyperlink" Target="https://www.oecd.org/en/publications/the-global-minimum-tax-and-the-taxation-of-mne-profit_9a815d6b-en.html" TargetMode="External"/><Relationship Id="rId31" Type="http://schemas.openxmlformats.org/officeDocument/2006/relationships/hyperlink" Target="https://www.tax-platform.org/sites/pct/files/publications/PCT-CPM-Report.pdf" TargetMode="External"/><Relationship Id="rId4" Type="http://schemas.openxmlformats.org/officeDocument/2006/relationships/webSettings" Target="webSettings.xml"/><Relationship Id="rId9" Type="http://schemas.openxmlformats.org/officeDocument/2006/relationships/hyperlink" Target="https://www.imf.org/external/np/g20/062424.htm" TargetMode="External"/><Relationship Id="rId14" Type="http://schemas.openxmlformats.org/officeDocument/2006/relationships/hyperlink" Target="https://nam10.safelinks.protection.outlook.com/?url=https%3A%2F%2Fwww.tax-platform.org%2Fsites%2Fpct%2Ffiles%2Fpublications%2FPCT-CPM-Report.pdf&amp;data=05%7C02%7CKBaer%40imf.org%7Cfa9ac886fe664c9203a708dca5bf6e5f%7C8085fa43302e45bdb171a6648c3b6be7%7C0%7C0%7C638567488835095784%7CUnknown%7CTWFpbGZsb3d8eyJWIjoiMC4wLjAwMDAiLCJQIjoiV2luMzIiLCJBTiI6Ik1haWwiLCJXVCI6Mn0%3D%7C0%7C%7C%7C&amp;sdata=NplMi%2BCU3ZKhXPTPKL7b0WLxcuAENQS4qXTbNLauCRk%3D&amp;reserved=0" TargetMode="External"/><Relationship Id="rId22" Type="http://schemas.openxmlformats.org/officeDocument/2006/relationships/hyperlink" Target="https://www.imf.org/en/Publications/Publications-By-Author?author=Charles+Vellutini&amp;name=Charles%20Vellutini" TargetMode="External"/><Relationship Id="rId27" Type="http://schemas.openxmlformats.org/officeDocument/2006/relationships/hyperlink" Target="https://www.imf.org/external/np/g20/062424.htm" TargetMode="External"/><Relationship Id="rId30" Type="http://schemas.openxmlformats.org/officeDocument/2006/relationships/hyperlink" Target="https://blogs.worldbank.org/en/governance/getting-15-percent-addressing-largest-tax-gaps" TargetMode="External"/><Relationship Id="rId35" Type="http://schemas.openxmlformats.org/officeDocument/2006/relationships/hyperlink" Target="https://www.worldbank.org/en/programs/the-global-tax-program/publication/gtp-health-taxes-kn-series" TargetMode="External"/><Relationship Id="rId8" Type="http://schemas.openxmlformats.org/officeDocument/2006/relationships/hyperlink" Target="https://www.imf.org/external/np/g20/062424.htm" TargetMode="External"/><Relationship Id="rId3" Type="http://schemas.openxmlformats.org/officeDocument/2006/relationships/settings" Target="settings.xml"/><Relationship Id="rId12" Type="http://schemas.openxmlformats.org/officeDocument/2006/relationships/hyperlink" Target="https://www.imf.org/en/Publications/Staff-Discussion-Notes/Issues/2023/09/15/Building-Tax-Capacity-in-Developing-Countries-535449" TargetMode="External"/><Relationship Id="rId17" Type="http://schemas.openxmlformats.org/officeDocument/2006/relationships/hyperlink" Target="https://www.oecd.org/en/topics/sub-issues/global-minimum-tax.html" TargetMode="External"/><Relationship Id="rId25" Type="http://schemas.openxmlformats.org/officeDocument/2006/relationships/hyperlink" Target="https://www.imf.org/external/pubs/ft/wp/2016/wp16234.pdf" TargetMode="External"/><Relationship Id="rId33" Type="http://schemas.openxmlformats.org/officeDocument/2006/relationships/hyperlink" Target="https://financing.desa.un.org/sites/default/files/2022-02/FSDR_2021.pdf"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8F4B6-C64A-47E5-B227-30AE48459A29}"/>
</file>

<file path=customXml/itemProps2.xml><?xml version="1.0" encoding="utf-8"?>
<ds:datastoreItem xmlns:ds="http://schemas.openxmlformats.org/officeDocument/2006/customXml" ds:itemID="{D2014F67-21FB-43E5-A05A-0ABD0121AF68}"/>
</file>

<file path=docProps/app.xml><?xml version="1.0" encoding="utf-8"?>
<Properties xmlns="http://schemas.openxmlformats.org/officeDocument/2006/extended-properties" xmlns:vt="http://schemas.openxmlformats.org/officeDocument/2006/docPropsVTypes">
  <Template>Normal</Template>
  <TotalTime>0</TotalTime>
  <Pages>3</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2024-10-15T22:33:00Z</dcterms:created>
  <dcterms:modified xsi:type="dcterms:W3CDTF">2024-10-15T22:36:00Z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#0000ff,10,Calibri</vt:lpwstr>
  </property>
  <property fmtid="{D5CDD505-2E9C-101B-9397-08002B2CF9AE}" pid="4" name="ClassificationContentMarkingFooterText">
    <vt:lpwstr>Restricted Use - À usage restreint</vt:lpwstr>
  </property>
  <property fmtid="{D5CDD505-2E9C-101B-9397-08002B2CF9AE}" pid="5" name="MSIP_Label_0e5510b0-e729-4ef0-a3dd-4ba0dfe56c99_Enabled">
    <vt:lpwstr>true</vt:lpwstr>
  </property>
  <property fmtid="{D5CDD505-2E9C-101B-9397-08002B2CF9AE}" pid="6" name="MSIP_Label_0e5510b0-e729-4ef0-a3dd-4ba0dfe56c99_SetDate">
    <vt:lpwstr>2024-10-15T16:19:51Z</vt:lpwstr>
  </property>
  <property fmtid="{D5CDD505-2E9C-101B-9397-08002B2CF9AE}" pid="7" name="MSIP_Label_0e5510b0-e729-4ef0-a3dd-4ba0dfe56c99_Method">
    <vt:lpwstr>Standard</vt:lpwstr>
  </property>
  <property fmtid="{D5CDD505-2E9C-101B-9397-08002B2CF9AE}" pid="8" name="MSIP_Label_0e5510b0-e729-4ef0-a3dd-4ba0dfe56c99_Name">
    <vt:lpwstr>Restricted Use</vt:lpwstr>
  </property>
  <property fmtid="{D5CDD505-2E9C-101B-9397-08002B2CF9AE}" pid="9" name="MSIP_Label_0e5510b0-e729-4ef0-a3dd-4ba0dfe56c99_SiteId">
    <vt:lpwstr>ac41c7d4-1f61-460d-b0f4-fc925a2b471c</vt:lpwstr>
  </property>
  <property fmtid="{D5CDD505-2E9C-101B-9397-08002B2CF9AE}" pid="10" name="MSIP_Label_0e5510b0-e729-4ef0-a3dd-4ba0dfe56c99_ActionId">
    <vt:lpwstr>26faded0-c2a3-4c25-9fe9-0247747ca869</vt:lpwstr>
  </property>
  <property fmtid="{D5CDD505-2E9C-101B-9397-08002B2CF9AE}" pid="11" name="MSIP_Label_0e5510b0-e729-4ef0-a3dd-4ba0dfe56c99_ContentBits">
    <vt:lpwstr>2</vt:lpwstr>
  </property>
  <property fmtid="{D5CDD505-2E9C-101B-9397-08002B2CF9AE}" pid="12" name="MSIP_Label_0c07ed86-5dc5-4593-ad03-a8684b843815_Enabled">
    <vt:lpwstr>true</vt:lpwstr>
  </property>
  <property fmtid="{D5CDD505-2E9C-101B-9397-08002B2CF9AE}" pid="13" name="MSIP_Label_0c07ed86-5dc5-4593-ad03-a8684b843815_SetDate">
    <vt:lpwstr>2024-10-15T22:33:51Z</vt:lpwstr>
  </property>
  <property fmtid="{D5CDD505-2E9C-101B-9397-08002B2CF9AE}" pid="14" name="MSIP_Label_0c07ed86-5dc5-4593-ad03-a8684b843815_Method">
    <vt:lpwstr>Standard</vt:lpwstr>
  </property>
  <property fmtid="{D5CDD505-2E9C-101B-9397-08002B2CF9AE}" pid="15" name="MSIP_Label_0c07ed86-5dc5-4593-ad03-a8684b843815_Name">
    <vt:lpwstr>0c07ed86-5dc5-4593-ad03-a8684b843815</vt:lpwstr>
  </property>
  <property fmtid="{D5CDD505-2E9C-101B-9397-08002B2CF9AE}" pid="16" name="MSIP_Label_0c07ed86-5dc5-4593-ad03-a8684b843815_SiteId">
    <vt:lpwstr>8085fa43-302e-45bd-b171-a6648c3b6be7</vt:lpwstr>
  </property>
  <property fmtid="{D5CDD505-2E9C-101B-9397-08002B2CF9AE}" pid="17" name="MSIP_Label_0c07ed86-5dc5-4593-ad03-a8684b843815_ActionId">
    <vt:lpwstr>9f7868b6-0dd2-46a4-8b52-1bb85e688d91</vt:lpwstr>
  </property>
  <property fmtid="{D5CDD505-2E9C-101B-9397-08002B2CF9AE}" pid="18" name="MSIP_Label_0c07ed86-5dc5-4593-ad03-a8684b843815_ContentBits">
    <vt:lpwstr>0</vt:lpwstr>
  </property>
</Properties>
</file>