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18272" w14:textId="77777777" w:rsidR="003008E5" w:rsidRPr="0078239C" w:rsidRDefault="003008E5" w:rsidP="003008E5">
      <w:pPr>
        <w:pStyle w:val="Heading1"/>
        <w:jc w:val="center"/>
        <w:rPr>
          <w:lang w:val="en-GB"/>
        </w:rPr>
      </w:pPr>
      <w:r>
        <w:rPr>
          <w:lang w:val="en-GB"/>
        </w:rPr>
        <w:t>UNCTAD Financing Brief for FFD4</w:t>
      </w:r>
    </w:p>
    <w:p w14:paraId="33D102E9" w14:textId="6FB08A75" w:rsidR="00174569" w:rsidRPr="00145F9C" w:rsidRDefault="007B5E94" w:rsidP="006D3C18">
      <w:pPr>
        <w:pStyle w:val="Heading1"/>
        <w:spacing w:line="276" w:lineRule="auto"/>
        <w:jc w:val="center"/>
        <w:rPr>
          <w:rFonts w:ascii="HelveticaNeueLT Std" w:hAnsi="HelveticaNeueLT Std"/>
          <w:color w:val="000000" w:themeColor="text1"/>
          <w:sz w:val="24"/>
          <w:szCs w:val="24"/>
          <w:lang w:val="en-GB"/>
        </w:rPr>
      </w:pPr>
      <w:r w:rsidRPr="002E3EDB">
        <w:rPr>
          <w:rFonts w:ascii="HelveticaNeueLT Std" w:hAnsi="HelveticaNeueLT Std"/>
          <w:color w:val="000000" w:themeColor="text1"/>
          <w:sz w:val="24"/>
          <w:szCs w:val="24"/>
          <w:lang w:val="en-GB"/>
        </w:rPr>
        <w:t xml:space="preserve">Bridging the SDG </w:t>
      </w:r>
      <w:r w:rsidR="0006500F" w:rsidRPr="002E3EDB">
        <w:rPr>
          <w:rFonts w:ascii="HelveticaNeueLT Std" w:hAnsi="HelveticaNeueLT Std"/>
          <w:color w:val="000000" w:themeColor="text1"/>
          <w:sz w:val="24"/>
          <w:szCs w:val="24"/>
          <w:lang w:val="en-GB"/>
        </w:rPr>
        <w:t>i</w:t>
      </w:r>
      <w:r w:rsidRPr="002E3EDB">
        <w:rPr>
          <w:rFonts w:ascii="HelveticaNeueLT Std" w:hAnsi="HelveticaNeueLT Std"/>
          <w:color w:val="000000" w:themeColor="text1"/>
          <w:sz w:val="24"/>
          <w:szCs w:val="24"/>
          <w:lang w:val="en-GB"/>
        </w:rPr>
        <w:t xml:space="preserve">nvestment </w:t>
      </w:r>
      <w:r w:rsidR="0006500F" w:rsidRPr="002E3EDB">
        <w:rPr>
          <w:rFonts w:ascii="HelveticaNeueLT Std" w:hAnsi="HelveticaNeueLT Std"/>
          <w:color w:val="000000" w:themeColor="text1"/>
          <w:sz w:val="24"/>
          <w:szCs w:val="24"/>
          <w:lang w:val="en-GB"/>
        </w:rPr>
        <w:t>g</w:t>
      </w:r>
      <w:r w:rsidRPr="002E3EDB">
        <w:rPr>
          <w:rFonts w:ascii="HelveticaNeueLT Std" w:hAnsi="HelveticaNeueLT Std"/>
          <w:color w:val="000000" w:themeColor="text1"/>
          <w:sz w:val="24"/>
          <w:szCs w:val="24"/>
          <w:lang w:val="en-GB"/>
        </w:rPr>
        <w:t xml:space="preserve">ap: </w:t>
      </w:r>
      <w:r w:rsidR="006D3C18" w:rsidRPr="002E3EDB">
        <w:rPr>
          <w:rFonts w:ascii="HelveticaNeueLT Std" w:hAnsi="HelveticaNeueLT Std"/>
          <w:color w:val="000000" w:themeColor="text1"/>
          <w:sz w:val="24"/>
          <w:szCs w:val="24"/>
          <w:lang w:val="en-GB"/>
        </w:rPr>
        <w:br/>
      </w:r>
      <w:r w:rsidR="00F02C52" w:rsidRPr="002E3EDB">
        <w:rPr>
          <w:rFonts w:ascii="HelveticaNeueLT Std" w:hAnsi="HelveticaNeueLT Std"/>
          <w:color w:val="000000" w:themeColor="text1"/>
          <w:sz w:val="24"/>
          <w:szCs w:val="24"/>
          <w:lang w:val="en-GB"/>
        </w:rPr>
        <w:t>Mobilizing</w:t>
      </w:r>
      <w:r w:rsidRPr="002E3EDB">
        <w:rPr>
          <w:rFonts w:ascii="HelveticaNeueLT Std" w:hAnsi="HelveticaNeueLT Std"/>
          <w:color w:val="000000" w:themeColor="text1"/>
          <w:sz w:val="24"/>
          <w:szCs w:val="24"/>
          <w:lang w:val="en-GB"/>
        </w:rPr>
        <w:t xml:space="preserve"> </w:t>
      </w:r>
      <w:r w:rsidR="0006500F" w:rsidRPr="002E3EDB">
        <w:rPr>
          <w:rFonts w:ascii="HelveticaNeueLT Std" w:hAnsi="HelveticaNeueLT Std"/>
          <w:color w:val="000000" w:themeColor="text1"/>
          <w:sz w:val="24"/>
          <w:szCs w:val="24"/>
          <w:lang w:val="en-GB"/>
        </w:rPr>
        <w:t>i</w:t>
      </w:r>
      <w:r w:rsidR="000D21CE" w:rsidRPr="002E3EDB">
        <w:rPr>
          <w:rFonts w:ascii="HelveticaNeueLT Std" w:hAnsi="HelveticaNeueLT Std"/>
          <w:color w:val="000000" w:themeColor="text1"/>
          <w:sz w:val="24"/>
          <w:szCs w:val="24"/>
          <w:lang w:val="en-GB"/>
        </w:rPr>
        <w:t xml:space="preserve">nternational </w:t>
      </w:r>
      <w:r w:rsidR="0006500F" w:rsidRPr="002E3EDB">
        <w:rPr>
          <w:rFonts w:ascii="HelveticaNeueLT Std" w:hAnsi="HelveticaNeueLT Std"/>
          <w:color w:val="000000" w:themeColor="text1"/>
          <w:sz w:val="24"/>
          <w:szCs w:val="24"/>
          <w:lang w:val="en-GB"/>
        </w:rPr>
        <w:t>i</w:t>
      </w:r>
      <w:r w:rsidR="000D21CE" w:rsidRPr="002E3EDB">
        <w:rPr>
          <w:rFonts w:ascii="HelveticaNeueLT Std" w:hAnsi="HelveticaNeueLT Std"/>
          <w:color w:val="000000" w:themeColor="text1"/>
          <w:sz w:val="24"/>
          <w:szCs w:val="24"/>
          <w:lang w:val="en-GB"/>
        </w:rPr>
        <w:t>nvestment</w:t>
      </w:r>
      <w:r w:rsidRPr="002E3EDB">
        <w:rPr>
          <w:rFonts w:ascii="HelveticaNeueLT Std" w:hAnsi="HelveticaNeueLT Std"/>
          <w:color w:val="000000" w:themeColor="text1"/>
          <w:sz w:val="24"/>
          <w:szCs w:val="24"/>
          <w:lang w:val="en-GB"/>
        </w:rPr>
        <w:t xml:space="preserve"> for </w:t>
      </w:r>
      <w:r w:rsidR="0006500F" w:rsidRPr="002E3EDB">
        <w:rPr>
          <w:rFonts w:ascii="HelveticaNeueLT Std" w:hAnsi="HelveticaNeueLT Std"/>
          <w:color w:val="000000" w:themeColor="text1"/>
          <w:sz w:val="24"/>
          <w:szCs w:val="24"/>
          <w:lang w:val="en-GB"/>
        </w:rPr>
        <w:t>s</w:t>
      </w:r>
      <w:r w:rsidRPr="002E3EDB">
        <w:rPr>
          <w:rFonts w:ascii="HelveticaNeueLT Std" w:hAnsi="HelveticaNeueLT Std"/>
          <w:color w:val="000000" w:themeColor="text1"/>
          <w:sz w:val="24"/>
          <w:szCs w:val="24"/>
          <w:lang w:val="en-GB"/>
        </w:rPr>
        <w:t>ustainable</w:t>
      </w:r>
      <w:r w:rsidRPr="00145F9C">
        <w:rPr>
          <w:rFonts w:ascii="HelveticaNeueLT Std" w:hAnsi="HelveticaNeueLT Std"/>
          <w:color w:val="000000" w:themeColor="text1"/>
          <w:sz w:val="24"/>
          <w:szCs w:val="24"/>
          <w:lang w:val="en-GB"/>
        </w:rPr>
        <w:t xml:space="preserve"> </w:t>
      </w:r>
      <w:r w:rsidR="0006500F" w:rsidRPr="00145F9C">
        <w:rPr>
          <w:rFonts w:ascii="HelveticaNeueLT Std" w:hAnsi="HelveticaNeueLT Std"/>
          <w:color w:val="000000" w:themeColor="text1"/>
          <w:sz w:val="24"/>
          <w:szCs w:val="24"/>
          <w:lang w:val="en-GB"/>
        </w:rPr>
        <w:t>d</w:t>
      </w:r>
      <w:r w:rsidRPr="00145F9C">
        <w:rPr>
          <w:rFonts w:ascii="HelveticaNeueLT Std" w:hAnsi="HelveticaNeueLT Std"/>
          <w:color w:val="000000" w:themeColor="text1"/>
          <w:sz w:val="24"/>
          <w:szCs w:val="24"/>
          <w:lang w:val="en-GB"/>
        </w:rPr>
        <w:t>evelopmen</w:t>
      </w:r>
      <w:r w:rsidR="0072044B" w:rsidRPr="00145F9C">
        <w:rPr>
          <w:rFonts w:ascii="HelveticaNeueLT Std" w:hAnsi="HelveticaNeueLT Std"/>
          <w:color w:val="000000" w:themeColor="text1"/>
          <w:sz w:val="24"/>
          <w:szCs w:val="24"/>
          <w:lang w:val="en-GB"/>
        </w:rPr>
        <w:t>t</w:t>
      </w:r>
    </w:p>
    <w:p w14:paraId="18F905F9" w14:textId="77777777" w:rsidR="003E162F" w:rsidRPr="0069253A" w:rsidRDefault="003E162F" w:rsidP="009F5850">
      <w:pPr>
        <w:spacing w:line="276" w:lineRule="auto"/>
        <w:rPr>
          <w:lang w:val="en-GB"/>
        </w:rPr>
      </w:pPr>
    </w:p>
    <w:p w14:paraId="06FBFB1B" w14:textId="4D3C169B" w:rsidR="00467B3F" w:rsidRPr="0069253A" w:rsidRDefault="00174569" w:rsidP="00570521">
      <w:pPr>
        <w:pStyle w:val="Heading2"/>
        <w:spacing w:after="240" w:line="276" w:lineRule="auto"/>
        <w:rPr>
          <w:rFonts w:ascii="HelveticaNeueLT Std" w:hAnsi="HelveticaNeueLT Std"/>
          <w:color w:val="079FDC"/>
          <w:sz w:val="22"/>
          <w:szCs w:val="22"/>
          <w:lang w:val="en-GB"/>
        </w:rPr>
      </w:pPr>
      <w:r w:rsidRPr="0069253A">
        <w:rPr>
          <w:rFonts w:ascii="HelveticaNeueLT Std" w:hAnsi="HelveticaNeueLT Std"/>
          <w:b/>
          <w:bCs/>
          <w:color w:val="079FDC"/>
          <w:sz w:val="22"/>
          <w:szCs w:val="22"/>
          <w:lang w:val="en-GB"/>
        </w:rPr>
        <w:t>Key messages (</w:t>
      </w:r>
      <w:r w:rsidR="33E8252D" w:rsidRPr="0069253A">
        <w:rPr>
          <w:rFonts w:ascii="HelveticaNeueLT Std" w:hAnsi="HelveticaNeueLT Std"/>
          <w:b/>
          <w:bCs/>
          <w:color w:val="079FDC"/>
          <w:sz w:val="22"/>
          <w:szCs w:val="22"/>
          <w:lang w:val="en-GB"/>
        </w:rPr>
        <w:t>suggested word count: no more than</w:t>
      </w:r>
      <w:r w:rsidRPr="0069253A">
        <w:rPr>
          <w:rFonts w:ascii="HelveticaNeueLT Std" w:hAnsi="HelveticaNeueLT Std"/>
          <w:b/>
          <w:bCs/>
          <w:color w:val="079FDC"/>
          <w:sz w:val="22"/>
          <w:szCs w:val="22"/>
          <w:lang w:val="en-GB"/>
        </w:rPr>
        <w:t xml:space="preserve"> 200 words)</w:t>
      </w:r>
      <w:r w:rsidR="00E4369B" w:rsidRPr="0069253A">
        <w:rPr>
          <w:rFonts w:ascii="HelveticaNeueLT Std" w:hAnsi="HelveticaNeueLT Std"/>
          <w:color w:val="079FDC"/>
          <w:sz w:val="22"/>
          <w:szCs w:val="22"/>
          <w:lang w:val="en-GB"/>
        </w:rPr>
        <w:t>:</w:t>
      </w:r>
    </w:p>
    <w:p w14:paraId="05C3C2FE" w14:textId="721E48AE" w:rsidR="00046EA3" w:rsidRPr="006C659C" w:rsidRDefault="00EB47D2" w:rsidP="00145F9C">
      <w:pPr>
        <w:pStyle w:val="ListParagraph"/>
        <w:numPr>
          <w:ilvl w:val="0"/>
          <w:numId w:val="6"/>
        </w:numPr>
        <w:spacing w:line="276" w:lineRule="auto"/>
        <w:ind w:left="426" w:hanging="357"/>
        <w:contextualSpacing w:val="0"/>
        <w:jc w:val="both"/>
        <w:rPr>
          <w:rFonts w:ascii="HelveticaNeueLT Std" w:hAnsi="HelveticaNeueLT Std"/>
          <w:lang w:val="en-GB"/>
        </w:rPr>
      </w:pPr>
      <w:r w:rsidRPr="006C659C">
        <w:rPr>
          <w:rFonts w:ascii="HelveticaNeueLT Std" w:hAnsi="HelveticaNeueLT Std"/>
          <w:lang w:val="en-GB"/>
        </w:rPr>
        <w:t>The Addis Ababa Action Agenda (AAAA) recognized private capital flows, particularly foreign direct investment (FDI), and a stable international financial system</w:t>
      </w:r>
      <w:r w:rsidR="00ED33FC">
        <w:rPr>
          <w:rFonts w:ascii="HelveticaNeueLT Std" w:hAnsi="HelveticaNeueLT Std"/>
          <w:lang w:val="en-GB"/>
        </w:rPr>
        <w:t xml:space="preserve"> as vital</w:t>
      </w:r>
      <w:r w:rsidRPr="006C659C">
        <w:rPr>
          <w:rFonts w:ascii="HelveticaNeueLT Std" w:hAnsi="HelveticaNeueLT Std"/>
          <w:lang w:val="en-GB"/>
        </w:rPr>
        <w:t xml:space="preserve"> to mobilize development finance</w:t>
      </w:r>
      <w:r w:rsidR="00046EA3" w:rsidRPr="006C659C">
        <w:rPr>
          <w:rFonts w:ascii="HelveticaNeueLT Std" w:hAnsi="HelveticaNeueLT Std"/>
          <w:lang w:val="en-GB"/>
        </w:rPr>
        <w:t>.</w:t>
      </w:r>
    </w:p>
    <w:p w14:paraId="5E09DE55" w14:textId="0345DFF9" w:rsidR="006C7D2A" w:rsidRPr="00AC5441" w:rsidRDefault="00096B9C" w:rsidP="00145F9C">
      <w:pPr>
        <w:pStyle w:val="ListParagraph"/>
        <w:numPr>
          <w:ilvl w:val="0"/>
          <w:numId w:val="6"/>
        </w:numPr>
        <w:spacing w:line="276" w:lineRule="auto"/>
        <w:ind w:left="426" w:hanging="357"/>
        <w:contextualSpacing w:val="0"/>
        <w:jc w:val="both"/>
        <w:rPr>
          <w:rFonts w:ascii="HelveticaNeueLT Std" w:hAnsi="HelveticaNeueLT Std"/>
          <w:lang w:val="en-GB"/>
        </w:rPr>
      </w:pPr>
      <w:r>
        <w:rPr>
          <w:rFonts w:ascii="HelveticaNeueLT Std" w:hAnsi="HelveticaNeueLT Std"/>
          <w:lang w:val="en-GB"/>
        </w:rPr>
        <w:t>Since the adoption of the AAAA, g</w:t>
      </w:r>
      <w:r w:rsidR="00046EA3" w:rsidRPr="006C659C">
        <w:rPr>
          <w:rFonts w:ascii="HelveticaNeueLT Std" w:hAnsi="HelveticaNeueLT Std"/>
          <w:lang w:val="en-GB"/>
        </w:rPr>
        <w:t xml:space="preserve">lobal FDI flows </w:t>
      </w:r>
      <w:r w:rsidR="00EB20C3">
        <w:rPr>
          <w:rFonts w:ascii="HelveticaNeueLT Std" w:hAnsi="HelveticaNeueLT Std"/>
          <w:lang w:val="en-GB"/>
        </w:rPr>
        <w:t xml:space="preserve">have </w:t>
      </w:r>
      <w:r w:rsidR="00046EA3" w:rsidRPr="006C659C">
        <w:rPr>
          <w:rFonts w:ascii="HelveticaNeueLT Std" w:hAnsi="HelveticaNeueLT Std"/>
          <w:lang w:val="en-GB"/>
        </w:rPr>
        <w:t>declined</w:t>
      </w:r>
      <w:r w:rsidR="00EB20C3">
        <w:rPr>
          <w:rFonts w:ascii="HelveticaNeueLT Std" w:hAnsi="HelveticaNeueLT Std"/>
          <w:lang w:val="en-GB"/>
        </w:rPr>
        <w:t>,</w:t>
      </w:r>
      <w:r w:rsidR="00046EA3" w:rsidRPr="006C659C">
        <w:rPr>
          <w:rFonts w:ascii="HelveticaNeueLT Std" w:hAnsi="HelveticaNeueLT Std"/>
          <w:lang w:val="en-GB"/>
        </w:rPr>
        <w:t xml:space="preserve"> </w:t>
      </w:r>
      <w:r>
        <w:rPr>
          <w:rFonts w:ascii="HelveticaNeueLT Std" w:hAnsi="HelveticaNeueLT Std"/>
          <w:lang w:val="en-GB"/>
        </w:rPr>
        <w:t>w</w:t>
      </w:r>
      <w:r w:rsidR="00046EA3" w:rsidRPr="006C659C">
        <w:rPr>
          <w:rFonts w:ascii="HelveticaNeueLT Std" w:hAnsi="HelveticaNeueLT Std"/>
          <w:lang w:val="en-GB"/>
        </w:rPr>
        <w:t xml:space="preserve">hile the financing needs </w:t>
      </w:r>
      <w:r w:rsidR="00EB20C3">
        <w:rPr>
          <w:rFonts w:ascii="HelveticaNeueLT Std" w:hAnsi="HelveticaNeueLT Std"/>
          <w:lang w:val="en-GB"/>
        </w:rPr>
        <w:t xml:space="preserve">have </w:t>
      </w:r>
      <w:r w:rsidR="00046EA3" w:rsidRPr="006C659C">
        <w:rPr>
          <w:rFonts w:ascii="HelveticaNeueLT Std" w:hAnsi="HelveticaNeueLT Std"/>
          <w:lang w:val="en-GB"/>
        </w:rPr>
        <w:t>increased</w:t>
      </w:r>
      <w:r w:rsidR="009836EE" w:rsidRPr="006C659C">
        <w:rPr>
          <w:rFonts w:ascii="HelveticaNeueLT Std" w:hAnsi="HelveticaNeueLT Std"/>
          <w:lang w:val="en-GB"/>
        </w:rPr>
        <w:t>, particularly in least developed countries</w:t>
      </w:r>
      <w:r w:rsidR="00D4005A">
        <w:rPr>
          <w:rFonts w:ascii="HelveticaNeueLT Std" w:hAnsi="HelveticaNeueLT Std"/>
          <w:lang w:val="en-GB"/>
        </w:rPr>
        <w:t xml:space="preserve"> (LDC)</w:t>
      </w:r>
      <w:r w:rsidR="00857367">
        <w:rPr>
          <w:rFonts w:ascii="HelveticaNeueLT Std" w:hAnsi="HelveticaNeueLT Std"/>
          <w:lang w:val="en-GB"/>
        </w:rPr>
        <w:t>.</w:t>
      </w:r>
    </w:p>
    <w:p w14:paraId="44FDA7CD" w14:textId="793DFDFC" w:rsidR="00BA5E50" w:rsidRPr="00AC5441" w:rsidRDefault="00D4005A" w:rsidP="1F165B09">
      <w:pPr>
        <w:pStyle w:val="ListParagraph"/>
        <w:numPr>
          <w:ilvl w:val="0"/>
          <w:numId w:val="6"/>
        </w:numPr>
        <w:spacing w:line="276" w:lineRule="auto"/>
        <w:ind w:left="426" w:hanging="357"/>
        <w:jc w:val="both"/>
        <w:rPr>
          <w:rFonts w:ascii="HelveticaNeueLT Std" w:hAnsi="HelveticaNeueLT Std"/>
        </w:rPr>
      </w:pPr>
      <w:r w:rsidRPr="1F165B09">
        <w:rPr>
          <w:rFonts w:ascii="HelveticaNeueLT Std" w:hAnsi="HelveticaNeueLT Std"/>
        </w:rPr>
        <w:t xml:space="preserve">Strengthened global, regional and national strategies and policies are needed to mobilize </w:t>
      </w:r>
      <w:r w:rsidR="00AC5441" w:rsidRPr="1F165B09">
        <w:rPr>
          <w:rFonts w:ascii="HelveticaNeueLT Std" w:hAnsi="HelveticaNeueLT Std"/>
        </w:rPr>
        <w:t xml:space="preserve">private </w:t>
      </w:r>
      <w:r w:rsidRPr="1F165B09">
        <w:rPr>
          <w:rFonts w:ascii="HelveticaNeueLT Std" w:hAnsi="HelveticaNeueLT Std"/>
        </w:rPr>
        <w:t xml:space="preserve">finance, including FDI, across SDG sectors </w:t>
      </w:r>
      <w:r w:rsidR="00857367" w:rsidRPr="1F165B09">
        <w:rPr>
          <w:rFonts w:ascii="HelveticaNeueLT Std" w:hAnsi="HelveticaNeueLT Std"/>
        </w:rPr>
        <w:t xml:space="preserve">where </w:t>
      </w:r>
      <w:proofErr w:type="gramStart"/>
      <w:r w:rsidR="00857367" w:rsidRPr="1F165B09">
        <w:rPr>
          <w:rFonts w:ascii="HelveticaNeueLT Std" w:hAnsi="HelveticaNeueLT Std"/>
        </w:rPr>
        <w:t>its</w:t>
      </w:r>
      <w:proofErr w:type="gramEnd"/>
      <w:r w:rsidR="00857367" w:rsidRPr="1F165B09">
        <w:rPr>
          <w:rFonts w:ascii="HelveticaNeueLT Std" w:hAnsi="HelveticaNeueLT Std"/>
        </w:rPr>
        <w:t xml:space="preserve"> most </w:t>
      </w:r>
      <w:r w:rsidRPr="1F165B09">
        <w:rPr>
          <w:rFonts w:ascii="HelveticaNeueLT Std" w:hAnsi="HelveticaNeueLT Std"/>
        </w:rPr>
        <w:t>need</w:t>
      </w:r>
      <w:r w:rsidR="00857367" w:rsidRPr="1F165B09">
        <w:rPr>
          <w:rFonts w:ascii="HelveticaNeueLT Std" w:hAnsi="HelveticaNeueLT Std"/>
        </w:rPr>
        <w:t>ed.</w:t>
      </w:r>
      <w:r w:rsidR="00AC5441" w:rsidRPr="1F165B09">
        <w:rPr>
          <w:rFonts w:ascii="HelveticaNeueLT Std" w:hAnsi="HelveticaNeueLT Std"/>
        </w:rPr>
        <w:t xml:space="preserve"> </w:t>
      </w:r>
      <w:r w:rsidRPr="1F165B09">
        <w:rPr>
          <w:rFonts w:ascii="HelveticaNeueLT Std" w:hAnsi="HelveticaNeueLT Std"/>
        </w:rPr>
        <w:t>At the national and regional levels, this translates into strategies to reduce country risk, i</w:t>
      </w:r>
      <w:r w:rsidR="00633800" w:rsidRPr="1F165B09">
        <w:rPr>
          <w:rFonts w:ascii="HelveticaNeueLT Std" w:hAnsi="HelveticaNeueLT Std"/>
        </w:rPr>
        <w:t xml:space="preserve">mprove investment </w:t>
      </w:r>
      <w:r w:rsidR="00857367" w:rsidRPr="1F165B09">
        <w:rPr>
          <w:rFonts w:ascii="HelveticaNeueLT Std" w:hAnsi="HelveticaNeueLT Std"/>
        </w:rPr>
        <w:t>environments, through</w:t>
      </w:r>
      <w:r w:rsidR="00C01D5B" w:rsidRPr="1F165B09">
        <w:rPr>
          <w:rFonts w:ascii="HelveticaNeueLT Std" w:hAnsi="HelveticaNeueLT Std"/>
        </w:rPr>
        <w:t xml:space="preserve"> </w:t>
      </w:r>
      <w:r w:rsidR="008628DE" w:rsidRPr="1F165B09">
        <w:rPr>
          <w:rFonts w:ascii="HelveticaNeueLT Std" w:hAnsi="HelveticaNeueLT Std"/>
        </w:rPr>
        <w:t xml:space="preserve">tailored sectoral </w:t>
      </w:r>
      <w:r w:rsidR="00E1640B" w:rsidRPr="1F165B09">
        <w:rPr>
          <w:rFonts w:ascii="HelveticaNeueLT Std" w:hAnsi="HelveticaNeueLT Std"/>
        </w:rPr>
        <w:t>planning</w:t>
      </w:r>
      <w:r w:rsidR="00AC5441" w:rsidRPr="1F165B09">
        <w:rPr>
          <w:rFonts w:ascii="HelveticaNeueLT Std" w:hAnsi="HelveticaNeueLT Std"/>
        </w:rPr>
        <w:t>, investment facilitation</w:t>
      </w:r>
      <w:r w:rsidR="00E1640B" w:rsidRPr="1F165B09">
        <w:rPr>
          <w:rFonts w:ascii="HelveticaNeueLT Std" w:hAnsi="HelveticaNeueLT Std"/>
        </w:rPr>
        <w:t xml:space="preserve"> and </w:t>
      </w:r>
      <w:r w:rsidR="00C01D5B" w:rsidRPr="1F165B09">
        <w:rPr>
          <w:rFonts w:ascii="HelveticaNeueLT Std" w:hAnsi="HelveticaNeueLT Std"/>
        </w:rPr>
        <w:t xml:space="preserve">digital </w:t>
      </w:r>
      <w:r w:rsidR="00AC5441" w:rsidRPr="1F165B09">
        <w:rPr>
          <w:rFonts w:ascii="HelveticaNeueLT Std" w:hAnsi="HelveticaNeueLT Std"/>
        </w:rPr>
        <w:t xml:space="preserve">government </w:t>
      </w:r>
      <w:r w:rsidR="00E1640B" w:rsidRPr="1F165B09">
        <w:rPr>
          <w:rFonts w:ascii="HelveticaNeueLT Std" w:hAnsi="HelveticaNeueLT Std"/>
        </w:rPr>
        <w:t>tools</w:t>
      </w:r>
      <w:r w:rsidR="00AC5441" w:rsidRPr="1F165B09">
        <w:rPr>
          <w:rFonts w:ascii="HelveticaNeueLT Std" w:hAnsi="HelveticaNeueLT Std"/>
        </w:rPr>
        <w:t xml:space="preserve">, </w:t>
      </w:r>
      <w:r w:rsidRPr="1F165B09">
        <w:rPr>
          <w:rFonts w:ascii="HelveticaNeueLT Std" w:hAnsi="HelveticaNeueLT Std"/>
        </w:rPr>
        <w:t>risk mitigation mechanisms, and leverag</w:t>
      </w:r>
      <w:r w:rsidR="00AC5441" w:rsidRPr="1F165B09">
        <w:rPr>
          <w:rFonts w:ascii="HelveticaNeueLT Std" w:hAnsi="HelveticaNeueLT Std"/>
        </w:rPr>
        <w:t>e</w:t>
      </w:r>
      <w:r w:rsidRPr="1F165B09">
        <w:rPr>
          <w:rFonts w:ascii="HelveticaNeueLT Std" w:hAnsi="HelveticaNeueLT Std"/>
        </w:rPr>
        <w:t xml:space="preserve"> additional resources through blended finance</w:t>
      </w:r>
      <w:r w:rsidR="00857367" w:rsidRPr="1F165B09">
        <w:rPr>
          <w:rFonts w:ascii="HelveticaNeueLT Std" w:hAnsi="HelveticaNeueLT Std"/>
        </w:rPr>
        <w:t xml:space="preserve">; and the </w:t>
      </w:r>
      <w:r w:rsidR="004477CC" w:rsidRPr="1F165B09">
        <w:rPr>
          <w:rFonts w:ascii="HelveticaNeueLT Std" w:hAnsi="HelveticaNeueLT Std"/>
        </w:rPr>
        <w:t>continued modernization of international investment agreements (IIA)</w:t>
      </w:r>
      <w:r w:rsidR="00492590" w:rsidRPr="1F165B09">
        <w:rPr>
          <w:rFonts w:ascii="HelveticaNeueLT Std" w:hAnsi="HelveticaNeueLT Std"/>
        </w:rPr>
        <w:t xml:space="preserve">.  </w:t>
      </w:r>
    </w:p>
    <w:p w14:paraId="615996DE" w14:textId="4038E288" w:rsidR="00BA5E50" w:rsidRPr="00AC5441" w:rsidRDefault="00021885" w:rsidP="00145F9C">
      <w:pPr>
        <w:pStyle w:val="ListParagraph"/>
        <w:numPr>
          <w:ilvl w:val="0"/>
          <w:numId w:val="6"/>
        </w:numPr>
        <w:spacing w:line="276" w:lineRule="auto"/>
        <w:ind w:left="426" w:hanging="357"/>
        <w:contextualSpacing w:val="0"/>
        <w:jc w:val="both"/>
        <w:rPr>
          <w:rFonts w:ascii="HelveticaNeueLT Std" w:hAnsi="HelveticaNeueLT Std"/>
          <w:lang w:val="en-GB"/>
        </w:rPr>
      </w:pPr>
      <w:r>
        <w:rPr>
          <w:rFonts w:ascii="HelveticaNeueLT Std" w:hAnsi="HelveticaNeueLT Std"/>
        </w:rPr>
        <w:t>M</w:t>
      </w:r>
      <w:r w:rsidRPr="00F9229E">
        <w:rPr>
          <w:rFonts w:ascii="HelveticaNeueLT Std" w:hAnsi="HelveticaNeueLT Std"/>
        </w:rPr>
        <w:t>ultilateral</w:t>
      </w:r>
      <w:r w:rsidR="000919AB" w:rsidRPr="00F9229E">
        <w:rPr>
          <w:rFonts w:ascii="HelveticaNeueLT Std" w:hAnsi="HelveticaNeueLT Std"/>
        </w:rPr>
        <w:t xml:space="preserve"> efforts to</w:t>
      </w:r>
      <w:r w:rsidR="000919AB">
        <w:rPr>
          <w:rFonts w:ascii="HelveticaNeueLT Std" w:hAnsi="HelveticaNeueLT Std"/>
        </w:rPr>
        <w:t xml:space="preserve"> reform the international tax system</w:t>
      </w:r>
      <w:r w:rsidR="00492590">
        <w:rPr>
          <w:rFonts w:ascii="HelveticaNeueLT Std" w:hAnsi="HelveticaNeueLT Std"/>
        </w:rPr>
        <w:t xml:space="preserve"> </w:t>
      </w:r>
      <w:r w:rsidR="000919AB">
        <w:rPr>
          <w:rFonts w:ascii="HelveticaNeueLT Std" w:hAnsi="HelveticaNeueLT Std"/>
        </w:rPr>
        <w:t>provide</w:t>
      </w:r>
      <w:r w:rsidR="000919AB" w:rsidRPr="00F9229E">
        <w:rPr>
          <w:rFonts w:ascii="HelveticaNeueLT Std" w:hAnsi="HelveticaNeueLT Std"/>
        </w:rPr>
        <w:t xml:space="preserve"> an opportunity to rethink investment promotion strategies. By shifting away from harmful tax competition, </w:t>
      </w:r>
      <w:r w:rsidR="000919AB">
        <w:rPr>
          <w:rFonts w:ascii="HelveticaNeueLT Std" w:hAnsi="HelveticaNeueLT Std"/>
        </w:rPr>
        <w:t>developing countries</w:t>
      </w:r>
      <w:r w:rsidR="000919AB" w:rsidRPr="00F9229E">
        <w:rPr>
          <w:rFonts w:ascii="HelveticaNeueLT Std" w:hAnsi="HelveticaNeueLT Std"/>
        </w:rPr>
        <w:t xml:space="preserve"> can promote a more sustainable investment environment that reduces reliance on tax incentives and protects domestic revenues.</w:t>
      </w:r>
    </w:p>
    <w:p w14:paraId="25004D53" w14:textId="0BC015DA" w:rsidR="00AC5441" w:rsidRDefault="00E03F14" w:rsidP="00145F9C">
      <w:pPr>
        <w:pStyle w:val="ListParagraph"/>
        <w:numPr>
          <w:ilvl w:val="0"/>
          <w:numId w:val="6"/>
        </w:numPr>
        <w:ind w:left="426" w:hanging="357"/>
        <w:contextualSpacing w:val="0"/>
        <w:rPr>
          <w:rFonts w:ascii="HelveticaNeueLT Std" w:hAnsi="HelveticaNeueLT Std"/>
          <w:lang w:val="en-GB"/>
        </w:rPr>
      </w:pPr>
      <w:bookmarkStart w:id="0" w:name="_Hlk179311899"/>
      <w:r>
        <w:rPr>
          <w:rFonts w:ascii="HelveticaNeueLT Std" w:hAnsi="HelveticaNeueLT Std"/>
          <w:lang w:val="en-GB"/>
        </w:rPr>
        <w:t>Sovereign wealth funds (</w:t>
      </w:r>
      <w:r w:rsidR="00AC5441" w:rsidRPr="00AC5441">
        <w:rPr>
          <w:rFonts w:ascii="HelveticaNeueLT Std" w:hAnsi="HelveticaNeueLT Std"/>
          <w:lang w:val="en-GB"/>
        </w:rPr>
        <w:t>SWFs</w:t>
      </w:r>
      <w:r>
        <w:rPr>
          <w:rFonts w:ascii="HelveticaNeueLT Std" w:hAnsi="HelveticaNeueLT Std"/>
          <w:lang w:val="en-GB"/>
        </w:rPr>
        <w:t>)</w:t>
      </w:r>
      <w:r w:rsidR="00AC5441" w:rsidRPr="00AC5441">
        <w:rPr>
          <w:rFonts w:ascii="HelveticaNeueLT Std" w:hAnsi="HelveticaNeueLT Std"/>
          <w:lang w:val="en-GB"/>
        </w:rPr>
        <w:t xml:space="preserve"> and institutional investors possess substantial capital that can be directed toward infrastructure and SDG. More de-risking initiatives need to be developed</w:t>
      </w:r>
      <w:r w:rsidR="00492590">
        <w:rPr>
          <w:rFonts w:ascii="HelveticaNeueLT Std" w:hAnsi="HelveticaNeueLT Std"/>
          <w:lang w:val="en-GB"/>
        </w:rPr>
        <w:t>.</w:t>
      </w:r>
    </w:p>
    <w:p w14:paraId="6C2435D8" w14:textId="68E4B24E" w:rsidR="00492590" w:rsidRPr="00AC5441" w:rsidRDefault="00492590" w:rsidP="00145F9C">
      <w:pPr>
        <w:pStyle w:val="ListParagraph"/>
        <w:numPr>
          <w:ilvl w:val="0"/>
          <w:numId w:val="6"/>
        </w:numPr>
        <w:ind w:left="426"/>
        <w:rPr>
          <w:rFonts w:ascii="HelveticaNeueLT Std" w:hAnsi="HelveticaNeueLT Std"/>
          <w:lang w:val="en-GB"/>
        </w:rPr>
      </w:pPr>
      <w:r w:rsidRPr="00492590">
        <w:rPr>
          <w:rFonts w:ascii="HelveticaNeueLT Std" w:hAnsi="HelveticaNeueLT Std"/>
          <w:lang w:val="en-GB"/>
        </w:rPr>
        <w:t xml:space="preserve">Systematic efforts to advance </w:t>
      </w:r>
      <w:r w:rsidR="00455216">
        <w:rPr>
          <w:rFonts w:ascii="HelveticaNeueLT Std" w:hAnsi="HelveticaNeueLT Std"/>
          <w:lang w:val="en-GB"/>
        </w:rPr>
        <w:t xml:space="preserve">harmonisation of </w:t>
      </w:r>
      <w:r w:rsidRPr="00492590">
        <w:rPr>
          <w:rFonts w:ascii="HelveticaNeueLT Std" w:hAnsi="HelveticaNeueLT Std"/>
          <w:lang w:val="en-GB"/>
        </w:rPr>
        <w:t xml:space="preserve">sustainability </w:t>
      </w:r>
      <w:r w:rsidR="00694A49">
        <w:rPr>
          <w:rFonts w:ascii="HelveticaNeueLT Std" w:hAnsi="HelveticaNeueLT Std"/>
          <w:lang w:val="en-GB"/>
        </w:rPr>
        <w:t xml:space="preserve">reporting and assurance </w:t>
      </w:r>
      <w:r w:rsidRPr="00492590">
        <w:rPr>
          <w:rFonts w:ascii="HelveticaNeueLT Std" w:hAnsi="HelveticaNeueLT Std"/>
          <w:lang w:val="en-GB"/>
        </w:rPr>
        <w:t>standards</w:t>
      </w:r>
      <w:r w:rsidR="00546D23">
        <w:rPr>
          <w:rFonts w:ascii="HelveticaNeueLT Std" w:hAnsi="HelveticaNeueLT Std"/>
          <w:lang w:val="en-GB"/>
        </w:rPr>
        <w:t xml:space="preserve"> and to support consistent </w:t>
      </w:r>
      <w:r w:rsidR="00383032">
        <w:rPr>
          <w:rFonts w:ascii="HelveticaNeueLT Std" w:hAnsi="HelveticaNeueLT Std"/>
          <w:lang w:val="en-GB"/>
        </w:rPr>
        <w:t>implementation</w:t>
      </w:r>
      <w:r w:rsidRPr="00492590">
        <w:rPr>
          <w:rFonts w:ascii="HelveticaNeueLT Std" w:hAnsi="HelveticaNeueLT Std"/>
          <w:lang w:val="en-GB"/>
        </w:rPr>
        <w:t xml:space="preserve"> and address greenwashing</w:t>
      </w:r>
      <w:r>
        <w:rPr>
          <w:rFonts w:ascii="HelveticaNeueLT Std" w:hAnsi="HelveticaNeueLT Std"/>
          <w:lang w:val="en-GB"/>
        </w:rPr>
        <w:t xml:space="preserve"> </w:t>
      </w:r>
      <w:r w:rsidR="00694A49">
        <w:rPr>
          <w:rFonts w:ascii="HelveticaNeueLT Std" w:hAnsi="HelveticaNeueLT Std"/>
          <w:lang w:val="en-GB"/>
        </w:rPr>
        <w:t>are</w:t>
      </w:r>
      <w:r>
        <w:rPr>
          <w:rFonts w:ascii="HelveticaNeueLT Std" w:hAnsi="HelveticaNeueLT Std"/>
          <w:lang w:val="en-GB"/>
        </w:rPr>
        <w:t xml:space="preserve"> essential for sustainable finance.  </w:t>
      </w:r>
    </w:p>
    <w:bookmarkEnd w:id="0"/>
    <w:p w14:paraId="2B511B58" w14:textId="5C7E09D7" w:rsidR="00174569" w:rsidRDefault="00174569" w:rsidP="00145F9C">
      <w:pPr>
        <w:pStyle w:val="Heading2"/>
        <w:spacing w:before="240" w:after="240" w:line="276" w:lineRule="auto"/>
        <w:jc w:val="both"/>
        <w:rPr>
          <w:rFonts w:ascii="HelveticaNeueLT Std" w:hAnsi="HelveticaNeueLT Std"/>
          <w:b/>
          <w:bCs/>
          <w:color w:val="079FDC"/>
          <w:sz w:val="22"/>
          <w:szCs w:val="22"/>
          <w:lang w:val="en-GB"/>
        </w:rPr>
      </w:pPr>
      <w:r w:rsidRPr="0069253A">
        <w:rPr>
          <w:rFonts w:ascii="HelveticaNeueLT Std" w:hAnsi="HelveticaNeueLT Std"/>
          <w:b/>
          <w:bCs/>
          <w:color w:val="079FDC"/>
          <w:sz w:val="22"/>
          <w:szCs w:val="22"/>
          <w:lang w:val="en-GB"/>
        </w:rPr>
        <w:t>Problem statement (</w:t>
      </w:r>
      <w:r w:rsidR="249587DD" w:rsidRPr="0069253A">
        <w:rPr>
          <w:rFonts w:ascii="HelveticaNeueLT Std" w:hAnsi="HelveticaNeueLT Std"/>
          <w:b/>
          <w:bCs/>
          <w:color w:val="079FDC"/>
          <w:sz w:val="22"/>
          <w:szCs w:val="22"/>
          <w:lang w:val="en-GB"/>
        </w:rPr>
        <w:t>5</w:t>
      </w:r>
      <w:r w:rsidR="002F4A33" w:rsidRPr="0069253A">
        <w:rPr>
          <w:rFonts w:ascii="HelveticaNeueLT Std" w:hAnsi="HelveticaNeueLT Std"/>
          <w:b/>
          <w:bCs/>
          <w:color w:val="079FDC"/>
          <w:sz w:val="22"/>
          <w:szCs w:val="22"/>
          <w:lang w:val="en-GB"/>
        </w:rPr>
        <w:t>00</w:t>
      </w:r>
      <w:r w:rsidRPr="0069253A">
        <w:rPr>
          <w:rFonts w:ascii="HelveticaNeueLT Std" w:hAnsi="HelveticaNeueLT Std"/>
          <w:b/>
          <w:bCs/>
          <w:color w:val="079FDC"/>
          <w:sz w:val="22"/>
          <w:szCs w:val="22"/>
          <w:lang w:val="en-GB"/>
        </w:rPr>
        <w:t xml:space="preserve"> words)</w:t>
      </w:r>
      <w:r w:rsidR="00BF2478" w:rsidRPr="0069253A">
        <w:rPr>
          <w:rFonts w:ascii="HelveticaNeueLT Std" w:hAnsi="HelveticaNeueLT Std"/>
          <w:b/>
          <w:bCs/>
          <w:color w:val="079FDC"/>
          <w:sz w:val="22"/>
          <w:szCs w:val="22"/>
          <w:lang w:val="en-GB"/>
        </w:rPr>
        <w:t xml:space="preserve"> </w:t>
      </w:r>
    </w:p>
    <w:p w14:paraId="77D0FAD0" w14:textId="423C0976" w:rsidR="004A546A" w:rsidRDefault="005A6B99" w:rsidP="004342EE">
      <w:pPr>
        <w:spacing w:line="276" w:lineRule="auto"/>
        <w:jc w:val="both"/>
        <w:rPr>
          <w:rFonts w:ascii="HelveticaNeueLT Std" w:hAnsi="HelveticaNeueLT Std"/>
          <w:lang w:val="en-GB"/>
        </w:rPr>
      </w:pPr>
      <w:r w:rsidRPr="0069253A">
        <w:rPr>
          <w:rFonts w:ascii="HelveticaNeueLT Std" w:hAnsi="HelveticaNeueLT Std"/>
          <w:lang w:val="en-GB"/>
        </w:rPr>
        <w:t xml:space="preserve">The AAAA </w:t>
      </w:r>
      <w:r w:rsidR="0014732D" w:rsidRPr="006C659C">
        <w:rPr>
          <w:rFonts w:ascii="HelveticaNeueLT Std" w:hAnsi="HelveticaNeueLT Std"/>
          <w:lang w:val="en-GB"/>
        </w:rPr>
        <w:t xml:space="preserve">recognized private international capital flows, particularly </w:t>
      </w:r>
      <w:r w:rsidR="009C1E8A" w:rsidRPr="0069253A">
        <w:rPr>
          <w:rFonts w:ascii="HelveticaNeueLT Std" w:hAnsi="HelveticaNeueLT Std"/>
          <w:lang w:val="en-GB"/>
        </w:rPr>
        <w:t xml:space="preserve">FDI, </w:t>
      </w:r>
      <w:r w:rsidR="0014732D" w:rsidRPr="006C659C">
        <w:rPr>
          <w:rFonts w:ascii="HelveticaNeueLT Std" w:hAnsi="HelveticaNeueLT Std"/>
          <w:lang w:val="en-GB"/>
        </w:rPr>
        <w:t xml:space="preserve">and a stable international financial system as vital to </w:t>
      </w:r>
      <w:r w:rsidR="001F6AEA" w:rsidRPr="006C659C">
        <w:rPr>
          <w:rFonts w:ascii="HelveticaNeueLT Std" w:hAnsi="HelveticaNeueLT Std"/>
          <w:lang w:val="en-GB"/>
        </w:rPr>
        <w:t>generate growth</w:t>
      </w:r>
      <w:r w:rsidR="008366C7">
        <w:rPr>
          <w:rFonts w:ascii="HelveticaNeueLT Std" w:hAnsi="HelveticaNeueLT Std"/>
          <w:lang w:val="en-GB"/>
        </w:rPr>
        <w:t xml:space="preserve"> and </w:t>
      </w:r>
      <w:proofErr w:type="gramStart"/>
      <w:r w:rsidR="001F6AEA" w:rsidRPr="006C659C">
        <w:rPr>
          <w:rFonts w:ascii="HelveticaNeueLT Std" w:hAnsi="HelveticaNeueLT Std"/>
          <w:lang w:val="en-GB"/>
        </w:rPr>
        <w:t>employment</w:t>
      </w:r>
      <w:r w:rsidR="008366C7">
        <w:rPr>
          <w:rFonts w:ascii="HelveticaNeueLT Std" w:hAnsi="HelveticaNeueLT Std"/>
          <w:lang w:val="en-GB"/>
        </w:rPr>
        <w:t>,</w:t>
      </w:r>
      <w:r w:rsidR="001F6AEA" w:rsidRPr="006C659C">
        <w:rPr>
          <w:rFonts w:ascii="HelveticaNeueLT Std" w:hAnsi="HelveticaNeueLT Std"/>
          <w:lang w:val="en-GB"/>
        </w:rPr>
        <w:t xml:space="preserve"> and</w:t>
      </w:r>
      <w:proofErr w:type="gramEnd"/>
      <w:r w:rsidR="001F6AEA" w:rsidRPr="006C659C">
        <w:rPr>
          <w:rFonts w:ascii="HelveticaNeueLT Std" w:hAnsi="HelveticaNeueLT Std"/>
          <w:lang w:val="en-GB"/>
        </w:rPr>
        <w:t xml:space="preserve"> </w:t>
      </w:r>
      <w:r w:rsidR="0014732D" w:rsidRPr="006C659C">
        <w:rPr>
          <w:rFonts w:ascii="HelveticaNeueLT Std" w:hAnsi="HelveticaNeueLT Std"/>
          <w:lang w:val="en-GB"/>
        </w:rPr>
        <w:t>mobilize finance</w:t>
      </w:r>
      <w:r w:rsidR="009C1E8A" w:rsidRPr="0069253A">
        <w:rPr>
          <w:rFonts w:ascii="HelveticaNeueLT Std" w:hAnsi="HelveticaNeueLT Std"/>
          <w:lang w:val="en-GB"/>
        </w:rPr>
        <w:t xml:space="preserve"> for sustainable development</w:t>
      </w:r>
      <w:r w:rsidR="0014732D" w:rsidRPr="006C659C">
        <w:rPr>
          <w:rFonts w:ascii="HelveticaNeueLT Std" w:hAnsi="HelveticaNeueLT Std"/>
          <w:lang w:val="en-GB"/>
        </w:rPr>
        <w:t>.</w:t>
      </w:r>
      <w:r w:rsidR="004342EE" w:rsidRPr="006C659C">
        <w:rPr>
          <w:rFonts w:ascii="HelveticaNeueLT Std" w:hAnsi="HelveticaNeueLT Std"/>
          <w:lang w:val="en-GB"/>
        </w:rPr>
        <w:t xml:space="preserve"> </w:t>
      </w:r>
      <w:r w:rsidR="00147BCF">
        <w:rPr>
          <w:rFonts w:ascii="HelveticaNeueLT Std" w:hAnsi="HelveticaNeueLT Std"/>
          <w:lang w:val="en-GB"/>
        </w:rPr>
        <w:t xml:space="preserve"> </w:t>
      </w:r>
      <w:r w:rsidR="00C476D1" w:rsidRPr="0069253A">
        <w:rPr>
          <w:rFonts w:ascii="HelveticaNeueLT Std" w:hAnsi="HelveticaNeueLT Std"/>
          <w:lang w:val="en-GB"/>
        </w:rPr>
        <w:t>Ten years later</w:t>
      </w:r>
      <w:r w:rsidR="004342EE" w:rsidRPr="006C659C">
        <w:rPr>
          <w:rFonts w:ascii="HelveticaNeueLT Std" w:hAnsi="HelveticaNeueLT Std"/>
          <w:lang w:val="en-GB"/>
        </w:rPr>
        <w:t>,</w:t>
      </w:r>
      <w:r w:rsidRPr="0069253A">
        <w:rPr>
          <w:rFonts w:ascii="HelveticaNeueLT Std" w:hAnsi="HelveticaNeueLT Std"/>
          <w:lang w:val="en-GB"/>
        </w:rPr>
        <w:t xml:space="preserve"> FDI remains a significant source of external financing</w:t>
      </w:r>
      <w:r w:rsidR="00F0712E">
        <w:rPr>
          <w:rFonts w:ascii="HelveticaNeueLT Std" w:hAnsi="HelveticaNeueLT Std"/>
          <w:lang w:val="en-GB"/>
        </w:rPr>
        <w:t xml:space="preserve"> for developing countries</w:t>
      </w:r>
      <w:r w:rsidRPr="0069253A">
        <w:rPr>
          <w:rFonts w:ascii="HelveticaNeueLT Std" w:hAnsi="HelveticaNeueLT Std"/>
          <w:lang w:val="en-GB"/>
        </w:rPr>
        <w:t>, accounting for over 40 per</w:t>
      </w:r>
      <w:r w:rsidR="003B1A04" w:rsidRPr="0069253A">
        <w:rPr>
          <w:rFonts w:ascii="HelveticaNeueLT Std" w:hAnsi="HelveticaNeueLT Std"/>
          <w:lang w:val="en-GB"/>
        </w:rPr>
        <w:t xml:space="preserve"> </w:t>
      </w:r>
      <w:r w:rsidRPr="0069253A">
        <w:rPr>
          <w:rFonts w:ascii="HelveticaNeueLT Std" w:hAnsi="HelveticaNeueLT Std"/>
          <w:lang w:val="en-GB"/>
        </w:rPr>
        <w:t>cent of total financial inflows (figure</w:t>
      </w:r>
      <w:r w:rsidR="00570521" w:rsidRPr="00570521">
        <w:rPr>
          <w:rFonts w:ascii="HelveticaNeueLT Std" w:hAnsi="HelveticaNeueLT Std"/>
        </w:rPr>
        <w:t> </w:t>
      </w:r>
      <w:r w:rsidRPr="0069253A">
        <w:rPr>
          <w:rFonts w:ascii="HelveticaNeueLT Std" w:hAnsi="HelveticaNeueLT Std"/>
          <w:lang w:val="en-GB"/>
        </w:rPr>
        <w:t>1).</w:t>
      </w:r>
    </w:p>
    <w:p w14:paraId="4DBD737C" w14:textId="77777777" w:rsidR="003550A1" w:rsidRPr="0069253A" w:rsidRDefault="003550A1" w:rsidP="004342EE">
      <w:pPr>
        <w:spacing w:line="276" w:lineRule="auto"/>
        <w:jc w:val="both"/>
        <w:rPr>
          <w:rFonts w:ascii="HelveticaNeueLT Std" w:hAnsi="HelveticaNeueLT Std"/>
          <w:lang w:val="en-GB"/>
        </w:rPr>
      </w:pPr>
    </w:p>
    <w:p w14:paraId="0974188F" w14:textId="3D723127" w:rsidR="00C93C5C" w:rsidRPr="0069253A" w:rsidRDefault="00DF512D" w:rsidP="009F5850">
      <w:pPr>
        <w:spacing w:line="276" w:lineRule="auto"/>
        <w:jc w:val="both"/>
        <w:rPr>
          <w:rFonts w:ascii="HelveticaNeueLT Std" w:hAnsi="HelveticaNeueLT Std"/>
          <w:lang w:val="en-GB"/>
        </w:rPr>
      </w:pPr>
      <w:r w:rsidRPr="0069253A">
        <w:rPr>
          <w:rFonts w:ascii="HelveticaNeueLT Std" w:hAnsi="HelveticaNeueLT Std"/>
          <w:noProof/>
          <w:lang w:val="en-GB"/>
        </w:rPr>
        <w:lastRenderedPageBreak/>
        <mc:AlternateContent>
          <mc:Choice Requires="wps">
            <w:drawing>
              <wp:anchor distT="0" distB="0" distL="114300" distR="114300" simplePos="0" relativeHeight="251658242" behindDoc="0" locked="0" layoutInCell="1" allowOverlap="1" wp14:anchorId="380F8461" wp14:editId="24595E65">
                <wp:simplePos x="0" y="0"/>
                <wp:positionH relativeFrom="margin">
                  <wp:posOffset>-267528</wp:posOffset>
                </wp:positionH>
                <wp:positionV relativeFrom="paragraph">
                  <wp:posOffset>82136</wp:posOffset>
                </wp:positionV>
                <wp:extent cx="268605" cy="302260"/>
                <wp:effectExtent l="0" t="0" r="0" b="2540"/>
                <wp:wrapSquare wrapText="bothSides"/>
                <wp:docPr id="1382302849" name="Chevron 2"/>
                <wp:cNvGraphicFramePr/>
                <a:graphic xmlns:a="http://schemas.openxmlformats.org/drawingml/2006/main">
                  <a:graphicData uri="http://schemas.microsoft.com/office/word/2010/wordprocessingShape">
                    <wps:wsp>
                      <wps:cNvSpPr/>
                      <wps:spPr>
                        <a:xfrm flipV="1">
                          <a:off x="0" y="0"/>
                          <a:ext cx="268605" cy="302260"/>
                        </a:xfrm>
                        <a:prstGeom prst="chevron">
                          <a:avLst/>
                        </a:prstGeom>
                        <a:solidFill>
                          <a:srgbClr val="079F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55" coordsize="21600,21600" o:spt="55" adj="16200" path="m@0,l,0@1,10800,,21600@0,21600,21600,10800xe" w14:anchorId="5553F12B">
                <v:stroke joinstyle="miter"/>
                <v:formulas>
                  <v:f eqn="val #0"/>
                  <v:f eqn="sum 21600 0 @0"/>
                  <v:f eqn="prod #0 1 2"/>
                </v:formulas>
                <v:path textboxrect="0,0,10800,21600;0,0,16200,21600;0,0,21600,21600" o:connecttype="custom" o:connectlocs="@2,0;@1,10800;@2,21600;21600,10800" o:connectangles="270,180,90,0"/>
                <v:handles>
                  <v:h position="#0,topLeft" xrange="0,21600"/>
                </v:handles>
              </v:shapetype>
              <v:shape id="Chevron 2" style="position:absolute;margin-left:-21.05pt;margin-top:6.45pt;width:21.15pt;height:23.8pt;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79fdc" stroked="f" strokeweight="1pt" type="#_x0000_t55"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">
                <w10:wrap type="square" anchorx="margin"/>
              </v:shape>
            </w:pict>
          </mc:Fallback>
        </mc:AlternateContent>
      </w:r>
      <w:r w:rsidR="006D3C18" w:rsidRPr="0069253A">
        <w:rPr>
          <w:rFonts w:ascii="HelveticaNeueLT Std" w:hAnsi="HelveticaNeueLT Std"/>
          <w:noProof/>
          <w:lang w:val="en-GB"/>
        </w:rPr>
        <mc:AlternateContent>
          <mc:Choice Requires="wps">
            <w:drawing>
              <wp:inline distT="0" distB="0" distL="0" distR="0" wp14:anchorId="75E7D382" wp14:editId="133EBAFA">
                <wp:extent cx="5576570" cy="978011"/>
                <wp:effectExtent l="0" t="0" r="0" b="0"/>
                <wp:docPr id="1140125912" name="Text Box 3"/>
                <wp:cNvGraphicFramePr/>
                <a:graphic xmlns:a="http://schemas.openxmlformats.org/drawingml/2006/main">
                  <a:graphicData uri="http://schemas.microsoft.com/office/word/2010/wordprocessingShape">
                    <wps:wsp>
                      <wps:cNvSpPr txBox="1"/>
                      <wps:spPr>
                        <a:xfrm>
                          <a:off x="0" y="0"/>
                          <a:ext cx="5576570" cy="978011"/>
                        </a:xfrm>
                        <a:prstGeom prst="rect">
                          <a:avLst/>
                        </a:prstGeom>
                        <a:noFill/>
                        <a:ln w="6350">
                          <a:noFill/>
                        </a:ln>
                      </wps:spPr>
                      <wps:txbx>
                        <w:txbxContent>
                          <w:p w14:paraId="516B773B" w14:textId="069F8B02" w:rsidR="00E8244F" w:rsidRPr="005828FC" w:rsidRDefault="008C4E83" w:rsidP="00145F9C">
                            <w:pPr>
                              <w:keepNext/>
                              <w:rPr>
                                <w:rFonts w:ascii="HelveticaNeueLT Std Cn" w:hAnsi="HelveticaNeueLT Std Cn"/>
                                <w:b/>
                                <w:bCs/>
                              </w:rPr>
                            </w:pPr>
                            <w:r w:rsidRPr="00DC2165">
                              <w:rPr>
                                <w:rFonts w:ascii="HelveticaNeueLT Std" w:hAnsi="HelveticaNeueLT Std"/>
                                <w:b/>
                                <w:bCs/>
                                <w:color w:val="009EDB"/>
                              </w:rPr>
                              <w:t>Figure 1</w:t>
                            </w:r>
                            <w:r>
                              <w:rPr>
                                <w:rFonts w:ascii="HelveticaNeueLT Std" w:hAnsi="HelveticaNeueLT Std"/>
                                <w:b/>
                                <w:bCs/>
                              </w:rPr>
                              <w:br/>
                            </w:r>
                            <w:r w:rsidR="00E8244F" w:rsidRPr="005828FC">
                              <w:rPr>
                                <w:rFonts w:ascii="HelveticaNeueLT Std" w:hAnsi="HelveticaNeueLT Std"/>
                                <w:b/>
                                <w:bCs/>
                              </w:rPr>
                              <w:t>The composition of financial flows to least developed countries differ from that of flows to other developing economies</w:t>
                            </w:r>
                            <w:r w:rsidR="00E8244F" w:rsidRPr="005828FC">
                              <w:rPr>
                                <w:rFonts w:ascii="HelveticaNeueLT Std" w:hAnsi="HelveticaNeueLT Std"/>
                                <w:b/>
                                <w:bCs/>
                              </w:rPr>
                              <w:br/>
                            </w:r>
                            <w:r w:rsidR="00E8244F" w:rsidRPr="005828FC">
                              <w:rPr>
                                <w:rFonts w:ascii="HelveticaNeueLT Std" w:hAnsi="HelveticaNeueLT Std"/>
                              </w:rPr>
                              <w:t xml:space="preserve">Shares across </w:t>
                            </w:r>
                            <w:r w:rsidR="00E8244F">
                              <w:rPr>
                                <w:rFonts w:ascii="HelveticaNeueLT Std" w:hAnsi="HelveticaNeueLT Std"/>
                              </w:rPr>
                              <w:t>categories of external financial flows, 2023</w:t>
                            </w:r>
                            <w:r w:rsidR="00E8244F">
                              <w:rPr>
                                <w:rFonts w:ascii="HelveticaNeueLT Std" w:hAnsi="HelveticaNeueLT Std"/>
                              </w:rPr>
                              <w:br/>
                              <w:t>(Percentage)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5E7D382" id="_x0000_t202" coordsize="21600,21600" o:spt="202" path="m,l,21600r21600,l21600,xe">
                <v:stroke joinstyle="miter"/>
                <v:path gradientshapeok="t" o:connecttype="rect"/>
              </v:shapetype>
              <v:shape id="Text Box 3" o:spid="_x0000_s1026" type="#_x0000_t202" style="width:439.1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" filled="f" stroked="f" strokeweight=".5pt">
                <v:textbox>
                  <w:txbxContent>
                    <w:p w14:paraId="516B773B" w14:textId="069F8B02" w:rsidR="00E8244F" w:rsidRPr="005828FC" w:rsidRDefault="008C4E83" w:rsidP="00145F9C">
                      <w:pPr>
                        <w:keepNext/>
                        <w:rPr>
                          <w:rFonts w:ascii="HelveticaNeueLT Std Cn" w:hAnsi="HelveticaNeueLT Std Cn"/>
                          <w:b/>
                          <w:bCs/>
                        </w:rPr>
                      </w:pPr>
                      <w:r w:rsidRPr="00DC2165">
                        <w:rPr>
                          <w:rFonts w:ascii="HelveticaNeueLT Std" w:hAnsi="HelveticaNeueLT Std"/>
                          <w:b/>
                          <w:bCs/>
                          <w:color w:val="009EDB"/>
                        </w:rPr>
                        <w:t>Figure 1</w:t>
                      </w:r>
                      <w:r>
                        <w:rPr>
                          <w:rFonts w:ascii="HelveticaNeueLT Std" w:hAnsi="HelveticaNeueLT Std"/>
                          <w:b/>
                          <w:bCs/>
                        </w:rPr>
                        <w:br/>
                      </w:r>
                      <w:r w:rsidR="00E8244F" w:rsidRPr="005828FC">
                        <w:rPr>
                          <w:rFonts w:ascii="HelveticaNeueLT Std" w:hAnsi="HelveticaNeueLT Std"/>
                          <w:b/>
                          <w:bCs/>
                        </w:rPr>
                        <w:t>The composition of financial flows to least developed countries differ from that of flows to other developing economies</w:t>
                      </w:r>
                      <w:r w:rsidR="00E8244F" w:rsidRPr="005828FC">
                        <w:rPr>
                          <w:rFonts w:ascii="HelveticaNeueLT Std" w:hAnsi="HelveticaNeueLT Std"/>
                          <w:b/>
                          <w:bCs/>
                        </w:rPr>
                        <w:br/>
                      </w:r>
                      <w:r w:rsidR="00E8244F" w:rsidRPr="005828FC">
                        <w:rPr>
                          <w:rFonts w:ascii="HelveticaNeueLT Std" w:hAnsi="HelveticaNeueLT Std"/>
                        </w:rPr>
                        <w:t xml:space="preserve">Shares across </w:t>
                      </w:r>
                      <w:r w:rsidR="00E8244F">
                        <w:rPr>
                          <w:rFonts w:ascii="HelveticaNeueLT Std" w:hAnsi="HelveticaNeueLT Std"/>
                        </w:rPr>
                        <w:t>categories of external financial flows, 2023</w:t>
                      </w:r>
                      <w:r w:rsidR="00E8244F">
                        <w:rPr>
                          <w:rFonts w:ascii="HelveticaNeueLT Std" w:hAnsi="HelveticaNeueLT Std"/>
                        </w:rPr>
                        <w:br/>
                        <w:t>(Percentage)</w:t>
                      </w:r>
                    </w:p>
                  </w:txbxContent>
                </v:textbox>
                <w10:anchorlock/>
              </v:shape>
            </w:pict>
          </mc:Fallback>
        </mc:AlternateContent>
      </w:r>
    </w:p>
    <w:p w14:paraId="0544C997" w14:textId="60D46BAC" w:rsidR="00C93C5C" w:rsidRPr="0069253A" w:rsidRDefault="0060163A" w:rsidP="00145F9C">
      <w:pPr>
        <w:spacing w:line="276" w:lineRule="auto"/>
        <w:jc w:val="center"/>
        <w:rPr>
          <w:rFonts w:ascii="HelveticaNeueLT Std" w:hAnsi="HelveticaNeueLT Std"/>
          <w:lang w:val="en-GB"/>
        </w:rPr>
      </w:pPr>
      <w:r w:rsidRPr="0069253A">
        <w:rPr>
          <w:rFonts w:ascii="HelveticaNeueLT Std" w:hAnsi="HelveticaNeueLT Std"/>
          <w:noProof/>
          <w:lang w:val="en-GB"/>
        </w:rPr>
        <w:drawing>
          <wp:inline distT="0" distB="0" distL="0" distR="0" wp14:anchorId="6E28B104" wp14:editId="521FEB9D">
            <wp:extent cx="4498340" cy="2795270"/>
            <wp:effectExtent l="0" t="0" r="0" b="5080"/>
            <wp:docPr id="472640597" name="Picture 1"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640597" name="Picture 1" descr="A graph of different colored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8340" cy="2795270"/>
                    </a:xfrm>
                    <a:prstGeom prst="rect">
                      <a:avLst/>
                    </a:prstGeom>
                  </pic:spPr>
                </pic:pic>
              </a:graphicData>
            </a:graphic>
          </wp:inline>
        </w:drawing>
      </w:r>
    </w:p>
    <w:p w14:paraId="6579C962" w14:textId="5033A2C4" w:rsidR="00D36A22" w:rsidRPr="0069253A" w:rsidRDefault="003550A1" w:rsidP="00145F9C">
      <w:pPr>
        <w:spacing w:line="276" w:lineRule="auto"/>
        <w:jc w:val="both"/>
        <w:rPr>
          <w:rFonts w:ascii="HelveticaNeueLT Std" w:hAnsi="HelveticaNeueLT Std"/>
          <w:sz w:val="20"/>
          <w:szCs w:val="20"/>
          <w:lang w:val="en-GB"/>
        </w:rPr>
      </w:pPr>
      <w:r>
        <w:rPr>
          <w:rFonts w:ascii="HelveticaNeueLT Std" w:hAnsi="HelveticaNeueLT Std"/>
          <w:i/>
          <w:iCs/>
          <w:sz w:val="20"/>
          <w:szCs w:val="20"/>
          <w:lang w:val="en-GB"/>
        </w:rPr>
        <w:t>S</w:t>
      </w:r>
      <w:r w:rsidR="00D36A22" w:rsidRPr="0069253A">
        <w:rPr>
          <w:rFonts w:ascii="HelveticaNeueLT Std" w:hAnsi="HelveticaNeueLT Std"/>
          <w:i/>
          <w:iCs/>
          <w:sz w:val="20"/>
          <w:szCs w:val="20"/>
          <w:lang w:val="en-GB"/>
        </w:rPr>
        <w:t>ource</w:t>
      </w:r>
      <w:r w:rsidR="00D36A22" w:rsidRPr="0069253A">
        <w:rPr>
          <w:rFonts w:ascii="HelveticaNeueLT Std" w:hAnsi="HelveticaNeueLT Std"/>
          <w:i/>
          <w:sz w:val="20"/>
          <w:szCs w:val="20"/>
          <w:lang w:val="en-GB"/>
        </w:rPr>
        <w:t xml:space="preserve">: </w:t>
      </w:r>
      <w:r w:rsidR="00D36A22" w:rsidRPr="0069253A">
        <w:rPr>
          <w:rFonts w:ascii="HelveticaNeueLT Std" w:hAnsi="HelveticaNeueLT Std"/>
          <w:sz w:val="20"/>
          <w:szCs w:val="20"/>
          <w:lang w:val="en-GB"/>
        </w:rPr>
        <w:t>UNCTAD.</w:t>
      </w:r>
    </w:p>
    <w:p w14:paraId="644185E9" w14:textId="77777777" w:rsidR="001F6AEA" w:rsidRPr="0069253A" w:rsidRDefault="001F6AEA">
      <w:pPr>
        <w:spacing w:line="276" w:lineRule="auto"/>
        <w:jc w:val="both"/>
        <w:rPr>
          <w:rFonts w:ascii="HelveticaNeueLT Std" w:hAnsi="HelveticaNeueLT Std"/>
          <w:lang w:val="en-GB"/>
        </w:rPr>
      </w:pPr>
    </w:p>
    <w:p w14:paraId="32A43E20" w14:textId="5A179926" w:rsidR="001F6AEA" w:rsidRDefault="001F6AEA" w:rsidP="001F6AEA">
      <w:pPr>
        <w:spacing w:line="276" w:lineRule="auto"/>
        <w:jc w:val="both"/>
        <w:rPr>
          <w:rFonts w:ascii="HelveticaNeueLT Std" w:hAnsi="HelveticaNeueLT Std"/>
          <w:lang w:val="en-GB"/>
        </w:rPr>
      </w:pPr>
      <w:r w:rsidRPr="0069253A">
        <w:rPr>
          <w:rFonts w:ascii="HelveticaNeueLT Std" w:hAnsi="HelveticaNeueLT Std"/>
          <w:lang w:val="en-GB"/>
        </w:rPr>
        <w:t xml:space="preserve">However, </w:t>
      </w:r>
      <w:r w:rsidR="003356ED">
        <w:rPr>
          <w:rFonts w:ascii="HelveticaNeueLT Std" w:hAnsi="HelveticaNeueLT Std"/>
          <w:lang w:val="en-GB"/>
        </w:rPr>
        <w:t xml:space="preserve">global </w:t>
      </w:r>
      <w:r w:rsidR="00C476D1" w:rsidRPr="0069253A">
        <w:rPr>
          <w:rFonts w:ascii="HelveticaNeueLT Std" w:hAnsi="HelveticaNeueLT Std"/>
          <w:lang w:val="en-GB"/>
        </w:rPr>
        <w:t>FDI flows</w:t>
      </w:r>
      <w:r w:rsidR="003A1F38" w:rsidRPr="0069253A">
        <w:rPr>
          <w:rFonts w:ascii="HelveticaNeueLT Std" w:hAnsi="HelveticaNeueLT Std"/>
          <w:lang w:val="en-GB"/>
        </w:rPr>
        <w:t xml:space="preserve"> have declined over the past decade</w:t>
      </w:r>
      <w:r w:rsidRPr="0069253A">
        <w:rPr>
          <w:rFonts w:ascii="HelveticaNeueLT Std" w:hAnsi="HelveticaNeueLT Std"/>
          <w:lang w:val="en-GB"/>
        </w:rPr>
        <w:t xml:space="preserve"> amid </w:t>
      </w:r>
      <w:r w:rsidR="003027F2">
        <w:rPr>
          <w:rFonts w:ascii="HelveticaNeueLT Std" w:hAnsi="HelveticaNeueLT Std"/>
          <w:lang w:val="en-GB"/>
        </w:rPr>
        <w:t>an</w:t>
      </w:r>
      <w:r w:rsidRPr="0069253A">
        <w:rPr>
          <w:rFonts w:ascii="HelveticaNeueLT Std" w:hAnsi="HelveticaNeueLT Std"/>
          <w:lang w:val="en-GB"/>
        </w:rPr>
        <w:t xml:space="preserve"> economic slowdown and rising geopolitical tensions. </w:t>
      </w:r>
      <w:r w:rsidR="00E53EC7">
        <w:rPr>
          <w:rFonts w:ascii="HelveticaNeueLT Std" w:hAnsi="HelveticaNeueLT Std"/>
          <w:lang w:val="en-GB"/>
        </w:rPr>
        <w:t>I</w:t>
      </w:r>
      <w:r w:rsidRPr="0069253A">
        <w:rPr>
          <w:rFonts w:ascii="HelveticaNeueLT Std" w:hAnsi="HelveticaNeueLT Std"/>
          <w:lang w:val="en-GB"/>
        </w:rPr>
        <w:t>nvestor uncertainty</w:t>
      </w:r>
      <w:r w:rsidR="000F503C">
        <w:rPr>
          <w:rFonts w:ascii="HelveticaNeueLT Std" w:hAnsi="HelveticaNeueLT Std"/>
          <w:lang w:val="en-GB"/>
        </w:rPr>
        <w:t xml:space="preserve"> and </w:t>
      </w:r>
      <w:r w:rsidR="002400D7">
        <w:rPr>
          <w:rFonts w:ascii="HelveticaNeueLT Std" w:hAnsi="HelveticaNeueLT Std"/>
          <w:lang w:val="en-GB"/>
        </w:rPr>
        <w:t>t</w:t>
      </w:r>
      <w:r w:rsidR="002400D7" w:rsidRPr="0069253A">
        <w:rPr>
          <w:rFonts w:ascii="HelveticaNeueLT Std" w:hAnsi="HelveticaNeueLT Std"/>
          <w:lang w:val="en-GB"/>
        </w:rPr>
        <w:t>ighter financial conditions</w:t>
      </w:r>
      <w:r w:rsidR="000F503C">
        <w:rPr>
          <w:rFonts w:ascii="HelveticaNeueLT Std" w:hAnsi="HelveticaNeueLT Std"/>
          <w:lang w:val="en-GB"/>
        </w:rPr>
        <w:t xml:space="preserve">, </w:t>
      </w:r>
      <w:r w:rsidR="00E07409">
        <w:rPr>
          <w:rFonts w:ascii="HelveticaNeueLT Std" w:hAnsi="HelveticaNeueLT Std"/>
          <w:lang w:val="en-GB"/>
        </w:rPr>
        <w:t>combined with</w:t>
      </w:r>
      <w:r w:rsidR="00397E2E">
        <w:rPr>
          <w:rFonts w:ascii="HelveticaNeueLT Std" w:hAnsi="HelveticaNeueLT Std"/>
          <w:lang w:val="en-GB"/>
        </w:rPr>
        <w:t xml:space="preserve"> the</w:t>
      </w:r>
      <w:r w:rsidR="000F503C" w:rsidRPr="0069253A">
        <w:rPr>
          <w:rFonts w:ascii="HelveticaNeueLT Std" w:hAnsi="HelveticaNeueLT Std"/>
          <w:lang w:val="en-GB"/>
        </w:rPr>
        <w:t xml:space="preserve"> fracturing </w:t>
      </w:r>
      <w:r w:rsidR="00397E2E">
        <w:rPr>
          <w:rFonts w:ascii="HelveticaNeueLT Std" w:hAnsi="HelveticaNeueLT Std"/>
          <w:lang w:val="en-GB"/>
        </w:rPr>
        <w:t>of the global economy</w:t>
      </w:r>
      <w:r w:rsidR="000F503C">
        <w:rPr>
          <w:rFonts w:ascii="HelveticaNeueLT Std" w:hAnsi="HelveticaNeueLT Std"/>
          <w:lang w:val="en-GB"/>
        </w:rPr>
        <w:t xml:space="preserve">, </w:t>
      </w:r>
      <w:r w:rsidRPr="0069253A">
        <w:rPr>
          <w:rFonts w:ascii="HelveticaNeueLT Std" w:hAnsi="HelveticaNeueLT Std"/>
          <w:lang w:val="en-GB"/>
        </w:rPr>
        <w:t xml:space="preserve">have </w:t>
      </w:r>
      <w:r w:rsidR="00E07409">
        <w:rPr>
          <w:rFonts w:ascii="HelveticaNeueLT Std" w:hAnsi="HelveticaNeueLT Std"/>
          <w:lang w:val="en-GB"/>
        </w:rPr>
        <w:t xml:space="preserve">negatively </w:t>
      </w:r>
      <w:r w:rsidR="00E13ECD">
        <w:rPr>
          <w:rFonts w:ascii="HelveticaNeueLT Std" w:hAnsi="HelveticaNeueLT Std"/>
          <w:lang w:val="en-GB"/>
        </w:rPr>
        <w:t xml:space="preserve">affected </w:t>
      </w:r>
      <w:r w:rsidR="00600BDC">
        <w:rPr>
          <w:rFonts w:ascii="HelveticaNeueLT Std" w:hAnsi="HelveticaNeueLT Std"/>
          <w:lang w:val="en-GB"/>
        </w:rPr>
        <w:t xml:space="preserve">FDI </w:t>
      </w:r>
      <w:r w:rsidR="00E13ECD">
        <w:rPr>
          <w:rFonts w:ascii="HelveticaNeueLT Std" w:hAnsi="HelveticaNeueLT Std"/>
          <w:lang w:val="en-GB"/>
        </w:rPr>
        <w:t xml:space="preserve">flows, </w:t>
      </w:r>
      <w:r w:rsidR="00600BDC">
        <w:rPr>
          <w:rFonts w:ascii="HelveticaNeueLT Std" w:hAnsi="HelveticaNeueLT Std"/>
          <w:lang w:val="en-GB"/>
        </w:rPr>
        <w:t xml:space="preserve">as well as </w:t>
      </w:r>
      <w:r w:rsidRPr="0069253A">
        <w:rPr>
          <w:rFonts w:ascii="HelveticaNeueLT Std" w:hAnsi="HelveticaNeueLT Std"/>
          <w:lang w:val="en-GB"/>
        </w:rPr>
        <w:t>international project finance deals and cross-border mergers and acquisitions.</w:t>
      </w:r>
    </w:p>
    <w:p w14:paraId="4781DC31" w14:textId="3EA8DD53" w:rsidR="007C3D34" w:rsidRDefault="00186B02" w:rsidP="00BB4F9C">
      <w:pPr>
        <w:spacing w:line="276" w:lineRule="auto"/>
        <w:jc w:val="both"/>
        <w:rPr>
          <w:rFonts w:ascii="HelveticaNeueLT Std" w:hAnsi="HelveticaNeueLT Std"/>
          <w:lang w:val="en-GB"/>
        </w:rPr>
      </w:pPr>
      <w:r w:rsidRPr="0069253A">
        <w:rPr>
          <w:rFonts w:ascii="HelveticaNeueLT Std" w:hAnsi="HelveticaNeueLT Std"/>
          <w:lang w:val="en-GB"/>
        </w:rPr>
        <w:t>FDI flows</w:t>
      </w:r>
      <w:r w:rsidR="00F51FFA" w:rsidRPr="006C659C">
        <w:rPr>
          <w:rFonts w:ascii="HelveticaNeueLT Std" w:hAnsi="HelveticaNeueLT Std"/>
          <w:lang w:val="en-GB"/>
        </w:rPr>
        <w:t xml:space="preserve"> have increased by 17 per ce</w:t>
      </w:r>
      <w:r w:rsidR="008D68F4" w:rsidRPr="0069253A">
        <w:rPr>
          <w:rFonts w:ascii="HelveticaNeueLT Std" w:hAnsi="HelveticaNeueLT Std"/>
          <w:lang w:val="en-GB"/>
        </w:rPr>
        <w:t xml:space="preserve">nt </w:t>
      </w:r>
      <w:r w:rsidR="00E01E0F">
        <w:rPr>
          <w:rFonts w:ascii="HelveticaNeueLT Std" w:hAnsi="HelveticaNeueLT Std"/>
          <w:lang w:val="en-GB"/>
        </w:rPr>
        <w:t xml:space="preserve">in developing countries, </w:t>
      </w:r>
      <w:r w:rsidR="002C48E0">
        <w:rPr>
          <w:rFonts w:ascii="HelveticaNeueLT Std" w:hAnsi="HelveticaNeueLT Std"/>
          <w:lang w:val="en-GB"/>
        </w:rPr>
        <w:t>while</w:t>
      </w:r>
      <w:r w:rsidR="00E01E0F">
        <w:rPr>
          <w:rFonts w:ascii="HelveticaNeueLT Std" w:hAnsi="HelveticaNeueLT Std"/>
          <w:lang w:val="en-GB"/>
        </w:rPr>
        <w:t xml:space="preserve"> </w:t>
      </w:r>
      <w:r w:rsidR="00735A22" w:rsidRPr="0069253A">
        <w:rPr>
          <w:rFonts w:ascii="HelveticaNeueLT Std" w:hAnsi="HelveticaNeueLT Std"/>
          <w:lang w:val="en-GB"/>
        </w:rPr>
        <w:t>they have declined</w:t>
      </w:r>
      <w:r w:rsidR="00F51FFA" w:rsidRPr="006C659C">
        <w:rPr>
          <w:rFonts w:ascii="HelveticaNeueLT Std" w:hAnsi="HelveticaNeueLT Std"/>
          <w:lang w:val="en-GB"/>
        </w:rPr>
        <w:t xml:space="preserve"> by </w:t>
      </w:r>
      <w:r w:rsidR="002C48E0">
        <w:rPr>
          <w:rFonts w:ascii="HelveticaNeueLT Std" w:hAnsi="HelveticaNeueLT Std"/>
          <w:lang w:val="en-GB"/>
        </w:rPr>
        <w:t>nearly</w:t>
      </w:r>
      <w:r w:rsidR="00F51FFA" w:rsidRPr="006C659C">
        <w:rPr>
          <w:rFonts w:ascii="HelveticaNeueLT Std" w:hAnsi="HelveticaNeueLT Std"/>
          <w:lang w:val="en-GB"/>
        </w:rPr>
        <w:t xml:space="preserve"> 20 per cent</w:t>
      </w:r>
      <w:r w:rsidR="00735A22" w:rsidRPr="0069253A">
        <w:rPr>
          <w:rFonts w:ascii="HelveticaNeueLT Std" w:hAnsi="HelveticaNeueLT Std"/>
          <w:lang w:val="en-GB"/>
        </w:rPr>
        <w:t xml:space="preserve"> in LDCs</w:t>
      </w:r>
      <w:r w:rsidR="00F0712E" w:rsidRPr="00F0712E">
        <w:rPr>
          <w:rFonts w:ascii="HelveticaNeueLT Std" w:hAnsi="HelveticaNeueLT Std"/>
          <w:lang w:val="en-GB"/>
        </w:rPr>
        <w:t xml:space="preserve"> </w:t>
      </w:r>
      <w:r w:rsidR="00F0712E" w:rsidRPr="0069253A">
        <w:rPr>
          <w:rFonts w:ascii="HelveticaNeueLT Std" w:hAnsi="HelveticaNeueLT Std"/>
          <w:lang w:val="en-GB"/>
        </w:rPr>
        <w:t>between 2015 and 2023</w:t>
      </w:r>
      <w:r w:rsidR="00F51FFA" w:rsidRPr="006C659C">
        <w:rPr>
          <w:rFonts w:ascii="HelveticaNeueLT Std" w:hAnsi="HelveticaNeueLT Std"/>
          <w:lang w:val="en-GB"/>
        </w:rPr>
        <w:t>.</w:t>
      </w:r>
      <w:r w:rsidR="001C115D" w:rsidRPr="006C659C">
        <w:rPr>
          <w:rFonts w:ascii="HelveticaNeueLT Std" w:hAnsi="HelveticaNeueLT Std"/>
          <w:lang w:val="en-GB"/>
        </w:rPr>
        <w:t xml:space="preserve"> </w:t>
      </w:r>
      <w:r w:rsidR="002C48E0">
        <w:rPr>
          <w:rFonts w:ascii="HelveticaNeueLT Std" w:hAnsi="HelveticaNeueLT Std"/>
          <w:lang w:val="en-GB"/>
        </w:rPr>
        <w:t>Although</w:t>
      </w:r>
      <w:r w:rsidR="00AB40F0" w:rsidRPr="0069253A">
        <w:rPr>
          <w:rFonts w:ascii="HelveticaNeueLT Std" w:hAnsi="HelveticaNeueLT Std"/>
          <w:lang w:val="en-GB"/>
        </w:rPr>
        <w:t xml:space="preserve"> </w:t>
      </w:r>
      <w:r w:rsidR="00CE5C39" w:rsidRPr="0069253A">
        <w:rPr>
          <w:rFonts w:ascii="HelveticaNeueLT Std" w:hAnsi="HelveticaNeueLT Std"/>
          <w:lang w:val="en-GB"/>
        </w:rPr>
        <w:t xml:space="preserve">investment in </w:t>
      </w:r>
      <w:r w:rsidR="00AB40F0" w:rsidRPr="0069253A">
        <w:rPr>
          <w:rFonts w:ascii="HelveticaNeueLT Std" w:hAnsi="HelveticaNeueLT Std"/>
          <w:lang w:val="en-GB"/>
        </w:rPr>
        <w:t>renewable energy and infrastructure sectors ha</w:t>
      </w:r>
      <w:r w:rsidR="00CE5C39" w:rsidRPr="0069253A">
        <w:rPr>
          <w:rFonts w:ascii="HelveticaNeueLT Std" w:hAnsi="HelveticaNeueLT Std"/>
          <w:lang w:val="en-GB"/>
        </w:rPr>
        <w:t>s</w:t>
      </w:r>
      <w:r w:rsidR="00AB40F0" w:rsidRPr="0069253A">
        <w:rPr>
          <w:rFonts w:ascii="HelveticaNeueLT Std" w:hAnsi="HelveticaNeueLT Std"/>
          <w:lang w:val="en-GB"/>
        </w:rPr>
        <w:t xml:space="preserve"> grown since the launch of the SDG</w:t>
      </w:r>
      <w:r w:rsidR="00F4786B">
        <w:rPr>
          <w:rFonts w:ascii="HelveticaNeueLT Std" w:hAnsi="HelveticaNeueLT Std"/>
          <w:lang w:val="en-GB"/>
        </w:rPr>
        <w:t>s</w:t>
      </w:r>
      <w:r w:rsidR="00492590">
        <w:rPr>
          <w:rFonts w:ascii="HelveticaNeueLT Std" w:hAnsi="HelveticaNeueLT Std"/>
          <w:lang w:val="en-GB"/>
        </w:rPr>
        <w:t xml:space="preserve">, </w:t>
      </w:r>
      <w:r w:rsidR="00CE5C39" w:rsidRPr="0069253A">
        <w:rPr>
          <w:rFonts w:ascii="HelveticaNeueLT Std" w:hAnsi="HelveticaNeueLT Std"/>
          <w:lang w:val="en-GB"/>
        </w:rPr>
        <w:t>investment in areas</w:t>
      </w:r>
      <w:r w:rsidR="00AB40F0" w:rsidRPr="0069253A">
        <w:rPr>
          <w:rFonts w:ascii="HelveticaNeueLT Std" w:hAnsi="HelveticaNeueLT Std"/>
          <w:lang w:val="en-GB"/>
        </w:rPr>
        <w:t xml:space="preserve"> such as </w:t>
      </w:r>
      <w:r w:rsidR="007826FF" w:rsidRPr="0069253A">
        <w:rPr>
          <w:rFonts w:ascii="HelveticaNeueLT Std" w:hAnsi="HelveticaNeueLT Std"/>
          <w:lang w:val="en-GB"/>
        </w:rPr>
        <w:t>water</w:t>
      </w:r>
      <w:r w:rsidR="004246B5">
        <w:rPr>
          <w:rFonts w:ascii="HelveticaNeueLT Std" w:hAnsi="HelveticaNeueLT Std"/>
          <w:lang w:val="en-GB"/>
        </w:rPr>
        <w:t>,</w:t>
      </w:r>
      <w:r w:rsidR="007826FF" w:rsidRPr="0069253A">
        <w:rPr>
          <w:rFonts w:ascii="HelveticaNeueLT Std" w:hAnsi="HelveticaNeueLT Std"/>
          <w:lang w:val="en-GB"/>
        </w:rPr>
        <w:t xml:space="preserve"> sanitation and health</w:t>
      </w:r>
      <w:r w:rsidR="00F0712E">
        <w:rPr>
          <w:rFonts w:ascii="HelveticaNeueLT Std" w:hAnsi="HelveticaNeueLT Std"/>
          <w:lang w:val="en-GB"/>
        </w:rPr>
        <w:t xml:space="preserve"> (WASH)</w:t>
      </w:r>
      <w:r w:rsidR="00395BA6">
        <w:rPr>
          <w:rFonts w:ascii="HelveticaNeueLT Std" w:hAnsi="HelveticaNeueLT Std"/>
          <w:lang w:val="en-GB"/>
        </w:rPr>
        <w:t xml:space="preserve">, and </w:t>
      </w:r>
      <w:r w:rsidR="00AB40F0" w:rsidRPr="0069253A">
        <w:rPr>
          <w:rFonts w:ascii="HelveticaNeueLT Std" w:hAnsi="HelveticaNeueLT Std"/>
          <w:lang w:val="en-GB"/>
        </w:rPr>
        <w:t xml:space="preserve">agrifood </w:t>
      </w:r>
      <w:r w:rsidR="00CE5C39" w:rsidRPr="0069253A">
        <w:rPr>
          <w:rFonts w:ascii="HelveticaNeueLT Std" w:hAnsi="HelveticaNeueLT Std"/>
          <w:lang w:val="en-GB"/>
        </w:rPr>
        <w:t xml:space="preserve">systems </w:t>
      </w:r>
      <w:r w:rsidR="00AB40F0" w:rsidRPr="0069253A">
        <w:rPr>
          <w:rFonts w:ascii="HelveticaNeueLT Std" w:hAnsi="HelveticaNeueLT Std"/>
          <w:lang w:val="en-GB"/>
        </w:rPr>
        <w:t>ha</w:t>
      </w:r>
      <w:r w:rsidR="00CE5C39" w:rsidRPr="0069253A">
        <w:rPr>
          <w:rFonts w:ascii="HelveticaNeueLT Std" w:hAnsi="HelveticaNeueLT Std"/>
          <w:lang w:val="en-GB"/>
        </w:rPr>
        <w:t>s</w:t>
      </w:r>
      <w:r w:rsidR="00AB40F0" w:rsidRPr="0069253A">
        <w:rPr>
          <w:rFonts w:ascii="HelveticaNeueLT Std" w:hAnsi="HelveticaNeueLT Std"/>
          <w:lang w:val="en-GB"/>
        </w:rPr>
        <w:t xml:space="preserve"> </w:t>
      </w:r>
      <w:r w:rsidR="00395BA6">
        <w:rPr>
          <w:rFonts w:ascii="HelveticaNeueLT Std" w:hAnsi="HelveticaNeueLT Std"/>
          <w:lang w:val="en-GB"/>
        </w:rPr>
        <w:t>decreased</w:t>
      </w:r>
      <w:r w:rsidR="00AB40F0" w:rsidRPr="0069253A">
        <w:rPr>
          <w:rFonts w:ascii="HelveticaNeueLT Std" w:hAnsi="HelveticaNeueLT Std"/>
          <w:lang w:val="en-GB"/>
        </w:rPr>
        <w:t xml:space="preserve"> (figure</w:t>
      </w:r>
      <w:r w:rsidR="00933D1F">
        <w:rPr>
          <w:rFonts w:ascii="HelveticaNeueLT Std" w:hAnsi="HelveticaNeueLT Std"/>
          <w:lang w:val="en-GB"/>
        </w:rPr>
        <w:t> </w:t>
      </w:r>
      <w:r w:rsidR="006E24AD" w:rsidRPr="0069253A">
        <w:rPr>
          <w:rFonts w:ascii="HelveticaNeueLT Std" w:hAnsi="HelveticaNeueLT Std"/>
          <w:lang w:val="en-GB"/>
        </w:rPr>
        <w:t>2</w:t>
      </w:r>
      <w:r w:rsidR="00AB40F0" w:rsidRPr="0069253A">
        <w:rPr>
          <w:rFonts w:ascii="HelveticaNeueLT Std" w:hAnsi="HelveticaNeueLT Std"/>
          <w:lang w:val="en-GB"/>
        </w:rPr>
        <w:t xml:space="preserve">). </w:t>
      </w:r>
      <w:r w:rsidR="00395BA6">
        <w:rPr>
          <w:rFonts w:ascii="HelveticaNeueLT Std" w:hAnsi="HelveticaNeueLT Std"/>
          <w:lang w:val="en-GB"/>
        </w:rPr>
        <w:t>As a result</w:t>
      </w:r>
      <w:r w:rsidR="00D76EC4" w:rsidRPr="0069253A">
        <w:rPr>
          <w:rFonts w:ascii="HelveticaNeueLT Std" w:hAnsi="HelveticaNeueLT Std"/>
          <w:lang w:val="en-GB"/>
        </w:rPr>
        <w:t xml:space="preserve">, the overall SDG </w:t>
      </w:r>
      <w:r w:rsidR="00073916" w:rsidRPr="0069253A">
        <w:rPr>
          <w:rFonts w:ascii="HelveticaNeueLT Std" w:hAnsi="HelveticaNeueLT Std"/>
          <w:lang w:val="en-GB"/>
        </w:rPr>
        <w:t>investment gap</w:t>
      </w:r>
      <w:r w:rsidR="00D76EC4" w:rsidRPr="0069253A">
        <w:rPr>
          <w:rFonts w:ascii="HelveticaNeueLT Std" w:hAnsi="HelveticaNeueLT Std"/>
          <w:lang w:val="en-GB"/>
        </w:rPr>
        <w:t xml:space="preserve"> ha</w:t>
      </w:r>
      <w:r w:rsidR="00073916" w:rsidRPr="0069253A">
        <w:rPr>
          <w:rFonts w:ascii="HelveticaNeueLT Std" w:hAnsi="HelveticaNeueLT Std"/>
          <w:lang w:val="en-GB"/>
        </w:rPr>
        <w:t xml:space="preserve">s </w:t>
      </w:r>
      <w:r w:rsidR="00395BA6">
        <w:rPr>
          <w:rFonts w:ascii="HelveticaNeueLT Std" w:hAnsi="HelveticaNeueLT Std"/>
          <w:lang w:val="en-GB"/>
        </w:rPr>
        <w:t>widened</w:t>
      </w:r>
      <w:r w:rsidR="00073916" w:rsidRPr="0069253A">
        <w:rPr>
          <w:rFonts w:ascii="HelveticaNeueLT Std" w:hAnsi="HelveticaNeueLT Std"/>
          <w:lang w:val="en-GB"/>
        </w:rPr>
        <w:t xml:space="preserve"> from an estimated $2.5 trillion in 2015 to more than $4 trillion per year</w:t>
      </w:r>
      <w:r w:rsidR="003C1CDD" w:rsidRPr="0069253A">
        <w:rPr>
          <w:rFonts w:ascii="HelveticaNeueLT Std" w:hAnsi="HelveticaNeueLT Std"/>
          <w:lang w:val="en-GB"/>
        </w:rPr>
        <w:t xml:space="preserve"> </w:t>
      </w:r>
      <w:r w:rsidR="007F13FF">
        <w:rPr>
          <w:rFonts w:ascii="HelveticaNeueLT Std" w:hAnsi="HelveticaNeueLT Std"/>
          <w:lang w:val="en-GB"/>
        </w:rPr>
        <w:t>(UNCTAD, 2023)</w:t>
      </w:r>
      <w:r w:rsidR="0051548F">
        <w:rPr>
          <w:rFonts w:ascii="HelveticaNeueLT Std" w:hAnsi="HelveticaNeueLT Std"/>
          <w:lang w:val="en-GB"/>
        </w:rPr>
        <w:t>.</w:t>
      </w:r>
      <w:r w:rsidR="0037516E">
        <w:rPr>
          <w:rStyle w:val="FootnoteReference"/>
          <w:rFonts w:ascii="HelveticaNeueLT Std" w:hAnsi="HelveticaNeueLT Std"/>
          <w:lang w:val="en-GB"/>
        </w:rPr>
        <w:footnoteReference w:id="2"/>
      </w:r>
    </w:p>
    <w:p w14:paraId="627E5044" w14:textId="1D59B747" w:rsidR="00BB4F9C" w:rsidRDefault="00BB4F9C" w:rsidP="00BB4F9C">
      <w:pPr>
        <w:spacing w:line="276" w:lineRule="auto"/>
        <w:jc w:val="both"/>
        <w:rPr>
          <w:rFonts w:ascii="HelveticaNeueLT Std" w:hAnsi="HelveticaNeueLT Std"/>
          <w:lang w:val="en-GB"/>
        </w:rPr>
      </w:pPr>
      <w:r>
        <w:rPr>
          <w:rFonts w:ascii="HelveticaNeueLT Std" w:hAnsi="HelveticaNeueLT Std"/>
          <w:lang w:val="en-GB"/>
        </w:rPr>
        <w:t>D</w:t>
      </w:r>
      <w:r w:rsidRPr="003A040B">
        <w:rPr>
          <w:rFonts w:ascii="HelveticaNeueLT Std" w:hAnsi="HelveticaNeueLT Std"/>
          <w:lang w:val="en-GB"/>
        </w:rPr>
        <w:t xml:space="preserve">eveloping countries continue to prioritize investment attraction as part of their economic development strategies. </w:t>
      </w:r>
      <w:r w:rsidR="00492590">
        <w:rPr>
          <w:rFonts w:ascii="HelveticaNeueLT Std" w:hAnsi="HelveticaNeueLT Std"/>
          <w:lang w:val="en-GB"/>
        </w:rPr>
        <w:t>T</w:t>
      </w:r>
      <w:r w:rsidRPr="003A040B">
        <w:rPr>
          <w:rFonts w:ascii="HelveticaNeueLT Std" w:hAnsi="HelveticaNeueLT Std"/>
          <w:lang w:val="en-GB"/>
        </w:rPr>
        <w:t xml:space="preserve">he proportion of policies favourable to investors in developing countries has remained stable at well above 80 per cent since 2015, except for a low point registered during the pandemic. </w:t>
      </w:r>
    </w:p>
    <w:p w14:paraId="2C979846" w14:textId="232116CE" w:rsidR="00A309AA" w:rsidRDefault="00A309AA" w:rsidP="00BB4F9C">
      <w:pPr>
        <w:spacing w:line="276" w:lineRule="auto"/>
        <w:jc w:val="both"/>
        <w:rPr>
          <w:rFonts w:ascii="HelveticaNeueLT Std" w:hAnsi="HelveticaNeueLT Std"/>
          <w:lang w:val="en-GB"/>
        </w:rPr>
      </w:pPr>
      <w:r w:rsidRPr="00A309AA">
        <w:rPr>
          <w:rFonts w:ascii="HelveticaNeueLT Std" w:hAnsi="HelveticaNeueLT Std"/>
        </w:rPr>
        <w:t xml:space="preserve">Developing countries are also exploring opportunities to leverage institutional investment. Many developing economies have established or are in the process of establishing sovereign wealth funds (SWFs) as an important tool to catalyze investment for development. </w:t>
      </w:r>
      <w:r w:rsidR="005B4133">
        <w:rPr>
          <w:rFonts w:ascii="HelveticaNeueLT Std" w:hAnsi="HelveticaNeueLT Std"/>
        </w:rPr>
        <w:t xml:space="preserve">Developing </w:t>
      </w:r>
      <w:r w:rsidRPr="00A309AA">
        <w:rPr>
          <w:rFonts w:ascii="HelveticaNeueLT Std" w:hAnsi="HelveticaNeueLT Std"/>
        </w:rPr>
        <w:t xml:space="preserve">countries are </w:t>
      </w:r>
      <w:r w:rsidR="005B4133">
        <w:rPr>
          <w:rFonts w:ascii="HelveticaNeueLT Std" w:hAnsi="HelveticaNeueLT Std"/>
        </w:rPr>
        <w:t xml:space="preserve">also </w:t>
      </w:r>
      <w:r w:rsidRPr="00A309AA">
        <w:rPr>
          <w:rFonts w:ascii="HelveticaNeueLT Std" w:hAnsi="HelveticaNeueLT Std"/>
        </w:rPr>
        <w:t>seeking co-investments with sovereign funds</w:t>
      </w:r>
      <w:r w:rsidR="00CC1D03">
        <w:rPr>
          <w:rFonts w:ascii="HelveticaNeueLT Std" w:hAnsi="HelveticaNeueLT Std"/>
        </w:rPr>
        <w:t xml:space="preserve"> and development finance </w:t>
      </w:r>
      <w:r w:rsidR="00CC1D03">
        <w:rPr>
          <w:rFonts w:ascii="HelveticaNeueLT Std" w:hAnsi="HelveticaNeueLT Std"/>
        </w:rPr>
        <w:lastRenderedPageBreak/>
        <w:t>institutions</w:t>
      </w:r>
      <w:r w:rsidRPr="00A309AA">
        <w:rPr>
          <w:rFonts w:ascii="HelveticaNeueLT Std" w:hAnsi="HelveticaNeueLT Std"/>
        </w:rPr>
        <w:t xml:space="preserve"> from </w:t>
      </w:r>
      <w:r w:rsidR="00CC1D03">
        <w:rPr>
          <w:rFonts w:ascii="HelveticaNeueLT Std" w:hAnsi="HelveticaNeueLT Std"/>
        </w:rPr>
        <w:t>other countr</w:t>
      </w:r>
      <w:r w:rsidR="00EA4F43">
        <w:rPr>
          <w:rFonts w:ascii="HelveticaNeueLT Std" w:hAnsi="HelveticaNeueLT Std"/>
        </w:rPr>
        <w:t>ies</w:t>
      </w:r>
      <w:r w:rsidRPr="00A309AA">
        <w:rPr>
          <w:rFonts w:ascii="HelveticaNeueLT Std" w:hAnsi="HelveticaNeueLT Std"/>
        </w:rPr>
        <w:t xml:space="preserve"> and are potentially attracting private and portfolio financing from pension and sovereign funds</w:t>
      </w:r>
      <w:r w:rsidR="003346DC">
        <w:rPr>
          <w:rFonts w:ascii="HelveticaNeueLT Std" w:hAnsi="HelveticaNeueLT Std"/>
        </w:rPr>
        <w:t xml:space="preserve">, including through the provision </w:t>
      </w:r>
      <w:r w:rsidR="00460E66">
        <w:rPr>
          <w:rFonts w:ascii="HelveticaNeueLT Std" w:hAnsi="HelveticaNeueLT Std"/>
        </w:rPr>
        <w:t xml:space="preserve">of junior capital </w:t>
      </w:r>
      <w:r w:rsidRPr="00A309AA">
        <w:rPr>
          <w:rFonts w:ascii="HelveticaNeueLT Std" w:hAnsi="HelveticaNeueLT Std"/>
        </w:rPr>
        <w:t xml:space="preserve">to improve the risk-return profiles of projects or through sustainable financial products, such as green bonds. </w:t>
      </w:r>
      <w:proofErr w:type="gramStart"/>
      <w:r w:rsidR="00973306" w:rsidRPr="00973306">
        <w:rPr>
          <w:rFonts w:ascii="HelveticaNeueLT Std" w:hAnsi="HelveticaNeueLT Std"/>
        </w:rPr>
        <w:t>As yet</w:t>
      </w:r>
      <w:proofErr w:type="gramEnd"/>
      <w:r w:rsidR="00973306" w:rsidRPr="00973306">
        <w:rPr>
          <w:rFonts w:ascii="HelveticaNeueLT Std" w:hAnsi="HelveticaNeueLT Std"/>
        </w:rPr>
        <w:t xml:space="preserve">, the share of developing countries in these investments remains small. </w:t>
      </w:r>
    </w:p>
    <w:p w14:paraId="61065433" w14:textId="656B9B8E" w:rsidR="007C3D34" w:rsidRDefault="007D2310">
      <w:pPr>
        <w:spacing w:line="276" w:lineRule="auto"/>
        <w:jc w:val="both"/>
        <w:rPr>
          <w:rFonts w:ascii="HelveticaNeueLT Std" w:hAnsi="HelveticaNeueLT Std"/>
          <w:lang w:val="en-GB"/>
        </w:rPr>
      </w:pPr>
      <w:r>
        <w:rPr>
          <w:rFonts w:ascii="HelveticaNeueLT Std" w:hAnsi="HelveticaNeueLT Std"/>
          <w:lang w:val="en-GB"/>
        </w:rPr>
        <w:t>S</w:t>
      </w:r>
      <w:r w:rsidR="00BB4F9C">
        <w:rPr>
          <w:rFonts w:ascii="HelveticaNeueLT Std" w:hAnsi="HelveticaNeueLT Std"/>
          <w:lang w:val="en-GB"/>
        </w:rPr>
        <w:t>tructural issues constrain domestic and foreign private investment. These include limited productive capacities, challenges to accessing markets and finance, as well as skills and infrastructure weaknesses. T</w:t>
      </w:r>
      <w:r w:rsidR="00BB4F9C" w:rsidRPr="00BF7F5C">
        <w:rPr>
          <w:rFonts w:ascii="HelveticaNeueLT Std" w:hAnsi="HelveticaNeueLT Std"/>
          <w:lang w:val="en-GB"/>
        </w:rPr>
        <w:t xml:space="preserve">he high cost of capital </w:t>
      </w:r>
      <w:r w:rsidR="00BB4F9C">
        <w:rPr>
          <w:rFonts w:ascii="HelveticaNeueLT Std" w:hAnsi="HelveticaNeueLT Std"/>
          <w:lang w:val="en-GB"/>
        </w:rPr>
        <w:t xml:space="preserve">also </w:t>
      </w:r>
      <w:r w:rsidR="00BB4F9C" w:rsidRPr="00BF7F5C">
        <w:rPr>
          <w:rFonts w:ascii="HelveticaNeueLT Std" w:hAnsi="HelveticaNeueLT Std"/>
          <w:lang w:val="en-GB"/>
        </w:rPr>
        <w:t xml:space="preserve">remains a key barrier for attracting sustainable investment in developing countries. </w:t>
      </w:r>
    </w:p>
    <w:p w14:paraId="27BFAF90" w14:textId="2F5EC05C" w:rsidR="00E1640B" w:rsidRDefault="003A3D94">
      <w:pPr>
        <w:spacing w:line="276" w:lineRule="auto"/>
        <w:jc w:val="both"/>
        <w:rPr>
          <w:rFonts w:ascii="HelveticaNeueLT Std" w:hAnsi="HelveticaNeueLT Std"/>
        </w:rPr>
      </w:pPr>
      <w:r>
        <w:rPr>
          <w:rFonts w:ascii="HelveticaNeueLT Std" w:hAnsi="HelveticaNeueLT Std"/>
          <w:lang w:val="en-GB"/>
        </w:rPr>
        <w:t xml:space="preserve">There are concerns </w:t>
      </w:r>
      <w:r w:rsidRPr="00061447">
        <w:rPr>
          <w:rFonts w:ascii="HelveticaNeueLT Std" w:hAnsi="HelveticaNeueLT Std"/>
        </w:rPr>
        <w:t>that tightening global tax rules</w:t>
      </w:r>
      <w:r>
        <w:rPr>
          <w:rFonts w:ascii="HelveticaNeueLT Std" w:hAnsi="HelveticaNeueLT Std"/>
        </w:rPr>
        <w:t xml:space="preserve"> </w:t>
      </w:r>
      <w:r w:rsidRPr="00061447">
        <w:rPr>
          <w:rFonts w:ascii="HelveticaNeueLT Std" w:hAnsi="HelveticaNeueLT Std"/>
        </w:rPr>
        <w:t>could deter some forms of foreign direct investment</w:t>
      </w:r>
      <w:r>
        <w:rPr>
          <w:rFonts w:ascii="HelveticaNeueLT Std" w:hAnsi="HelveticaNeueLT Std"/>
        </w:rPr>
        <w:t xml:space="preserve">, </w:t>
      </w:r>
      <w:r w:rsidRPr="00061447">
        <w:rPr>
          <w:rFonts w:ascii="HelveticaNeueLT Std" w:hAnsi="HelveticaNeueLT Std"/>
        </w:rPr>
        <w:t>particularly where MNEs have benefited from</w:t>
      </w:r>
      <w:r>
        <w:rPr>
          <w:rFonts w:ascii="HelveticaNeueLT Std" w:hAnsi="HelveticaNeueLT Std"/>
        </w:rPr>
        <w:t xml:space="preserve"> generous tax incentives. For instance, t</w:t>
      </w:r>
      <w:r w:rsidRPr="00CF553B">
        <w:rPr>
          <w:rFonts w:ascii="HelveticaNeueLT Std" w:hAnsi="HelveticaNeueLT Std"/>
        </w:rPr>
        <w:t xml:space="preserve">he OECD/G20 global minimum tax could </w:t>
      </w:r>
      <w:r>
        <w:rPr>
          <w:rFonts w:ascii="HelveticaNeueLT Std" w:hAnsi="HelveticaNeueLT Std"/>
        </w:rPr>
        <w:t>lead to</w:t>
      </w:r>
      <w:r w:rsidRPr="00CF553B">
        <w:rPr>
          <w:rFonts w:ascii="HelveticaNeueLT Std" w:hAnsi="HelveticaNeueLT Std"/>
        </w:rPr>
        <w:t xml:space="preserve"> a 2 percent reduction in global FDI</w:t>
      </w:r>
      <w:r>
        <w:rPr>
          <w:rFonts w:ascii="HelveticaNeueLT Std" w:hAnsi="HelveticaNeueLT Std"/>
        </w:rPr>
        <w:t xml:space="preserve"> (UNCTAD, 2022)</w:t>
      </w:r>
      <w:r w:rsidRPr="00061447">
        <w:rPr>
          <w:rFonts w:ascii="HelveticaNeueLT Std" w:hAnsi="HelveticaNeueLT Std"/>
        </w:rPr>
        <w:t>.</w:t>
      </w:r>
      <w:r>
        <w:rPr>
          <w:rStyle w:val="FootnoteReference"/>
          <w:rFonts w:ascii="HelveticaNeueLT Std" w:hAnsi="HelveticaNeueLT Std"/>
        </w:rPr>
        <w:footnoteReference w:id="3"/>
      </w:r>
      <w:r>
        <w:rPr>
          <w:rFonts w:ascii="HelveticaNeueLT Std" w:hAnsi="HelveticaNeueLT Std"/>
        </w:rPr>
        <w:t xml:space="preserve"> </w:t>
      </w:r>
      <w:r w:rsidRPr="00CF553B">
        <w:rPr>
          <w:rFonts w:ascii="HelveticaNeueLT Std" w:hAnsi="HelveticaNeueLT Std"/>
        </w:rPr>
        <w:t xml:space="preserve">For developing countries, the challenge lies in balancing the </w:t>
      </w:r>
      <w:r>
        <w:rPr>
          <w:rFonts w:ascii="HelveticaNeueLT Std" w:hAnsi="HelveticaNeueLT Std"/>
        </w:rPr>
        <w:t>imperative</w:t>
      </w:r>
      <w:r w:rsidRPr="00CF553B">
        <w:rPr>
          <w:rFonts w:ascii="HelveticaNeueLT Std" w:hAnsi="HelveticaNeueLT Std"/>
        </w:rPr>
        <w:t xml:space="preserve"> </w:t>
      </w:r>
      <w:r>
        <w:rPr>
          <w:rFonts w:ascii="HelveticaNeueLT Std" w:hAnsi="HelveticaNeueLT Std"/>
        </w:rPr>
        <w:t>of achieving</w:t>
      </w:r>
      <w:r w:rsidRPr="00CF553B">
        <w:rPr>
          <w:rFonts w:ascii="HelveticaNeueLT Std" w:hAnsi="HelveticaNeueLT Std"/>
        </w:rPr>
        <w:t xml:space="preserve"> greater tax justice with maintaining a</w:t>
      </w:r>
      <w:r>
        <w:rPr>
          <w:rFonts w:ascii="HelveticaNeueLT Std" w:hAnsi="HelveticaNeueLT Std"/>
        </w:rPr>
        <w:t>n attractive</w:t>
      </w:r>
      <w:r w:rsidRPr="00CF553B">
        <w:rPr>
          <w:rFonts w:ascii="HelveticaNeueLT Std" w:hAnsi="HelveticaNeueLT Std"/>
        </w:rPr>
        <w:t xml:space="preserve"> investment climate. </w:t>
      </w:r>
      <w:r>
        <w:rPr>
          <w:rFonts w:ascii="HelveticaNeueLT Std" w:hAnsi="HelveticaNeueLT Std"/>
        </w:rPr>
        <w:t xml:space="preserve"> </w:t>
      </w:r>
    </w:p>
    <w:p w14:paraId="3B62F6D4" w14:textId="77777777" w:rsidR="00DF512D" w:rsidRDefault="00DF512D">
      <w:pPr>
        <w:spacing w:line="276" w:lineRule="auto"/>
        <w:jc w:val="both"/>
        <w:rPr>
          <w:rFonts w:ascii="HelveticaNeueLT Std" w:hAnsi="HelveticaNeueLT Std"/>
          <w:lang w:val="en-GB"/>
        </w:rPr>
      </w:pPr>
    </w:p>
    <w:p w14:paraId="6D0C3877" w14:textId="1F095059" w:rsidR="000741F7" w:rsidRPr="0069253A" w:rsidRDefault="00DF512D" w:rsidP="00DC2165">
      <w:pPr>
        <w:spacing w:line="276" w:lineRule="auto"/>
        <w:jc w:val="both"/>
        <w:rPr>
          <w:rFonts w:ascii="HelveticaNeueLT Std" w:hAnsi="HelveticaNeueLT Std"/>
          <w:i/>
          <w:iCs/>
          <w:sz w:val="20"/>
          <w:szCs w:val="20"/>
          <w:lang w:val="en-GB"/>
        </w:rPr>
      </w:pPr>
      <w:r w:rsidRPr="0069253A">
        <w:rPr>
          <w:noProof/>
          <w:lang w:val="en-GB"/>
        </w:rPr>
        <mc:AlternateContent>
          <mc:Choice Requires="wps">
            <w:drawing>
              <wp:anchor distT="0" distB="0" distL="114300" distR="114300" simplePos="0" relativeHeight="251658248" behindDoc="0" locked="0" layoutInCell="1" allowOverlap="1" wp14:anchorId="52DFDA0A" wp14:editId="7390B04E">
                <wp:simplePos x="0" y="0"/>
                <wp:positionH relativeFrom="margin">
                  <wp:posOffset>38017</wp:posOffset>
                </wp:positionH>
                <wp:positionV relativeFrom="paragraph">
                  <wp:posOffset>113859</wp:posOffset>
                </wp:positionV>
                <wp:extent cx="268605" cy="302260"/>
                <wp:effectExtent l="0" t="0" r="0" b="2540"/>
                <wp:wrapSquare wrapText="bothSides"/>
                <wp:docPr id="1222935305" name="Chevron 2"/>
                <wp:cNvGraphicFramePr/>
                <a:graphic xmlns:a="http://schemas.openxmlformats.org/drawingml/2006/main">
                  <a:graphicData uri="http://schemas.microsoft.com/office/word/2010/wordprocessingShape">
                    <wps:wsp>
                      <wps:cNvSpPr/>
                      <wps:spPr>
                        <a:xfrm flipV="1">
                          <a:off x="0" y="0"/>
                          <a:ext cx="268605" cy="302260"/>
                        </a:xfrm>
                        <a:prstGeom prst="chevron">
                          <a:avLst/>
                        </a:prstGeom>
                        <a:solidFill>
                          <a:srgbClr val="079F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Chevron 2" style="position:absolute;margin-left:3pt;margin-top:8.95pt;width:21.15pt;height:23.8pt;flip:y;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079fdc" stroked="f" strokeweight="1pt" type="#_x0000_t55"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" w14:anchorId="676D2F3C">
                <w10:wrap type="square" anchorx="margin"/>
              </v:shape>
            </w:pict>
          </mc:Fallback>
        </mc:AlternateContent>
      </w:r>
      <w:r w:rsidR="004A060C" w:rsidRPr="0069253A">
        <w:rPr>
          <w:rFonts w:ascii="HelveticaNeueLT Std" w:hAnsi="HelveticaNeueLT Std"/>
          <w:noProof/>
          <w:lang w:val="en-GB"/>
        </w:rPr>
        <mc:AlternateContent>
          <mc:Choice Requires="wps">
            <w:drawing>
              <wp:anchor distT="0" distB="0" distL="114300" distR="114300" simplePos="0" relativeHeight="251658245" behindDoc="0" locked="0" layoutInCell="1" allowOverlap="1" wp14:anchorId="399BB265" wp14:editId="5E2DBFA4">
                <wp:simplePos x="0" y="0"/>
                <wp:positionH relativeFrom="margin">
                  <wp:align>center</wp:align>
                </wp:positionH>
                <wp:positionV relativeFrom="paragraph">
                  <wp:posOffset>3175</wp:posOffset>
                </wp:positionV>
                <wp:extent cx="5197475" cy="791845"/>
                <wp:effectExtent l="0" t="0" r="0" b="0"/>
                <wp:wrapNone/>
                <wp:docPr id="929500781" name="Text Box 3"/>
                <wp:cNvGraphicFramePr/>
                <a:graphic xmlns:a="http://schemas.openxmlformats.org/drawingml/2006/main">
                  <a:graphicData uri="http://schemas.microsoft.com/office/word/2010/wordprocessingShape">
                    <wps:wsp>
                      <wps:cNvSpPr txBox="1"/>
                      <wps:spPr>
                        <a:xfrm>
                          <a:off x="0" y="0"/>
                          <a:ext cx="5197475" cy="791845"/>
                        </a:xfrm>
                        <a:prstGeom prst="rect">
                          <a:avLst/>
                        </a:prstGeom>
                        <a:noFill/>
                        <a:ln w="6350">
                          <a:noFill/>
                        </a:ln>
                      </wps:spPr>
                      <wps:txbx>
                        <w:txbxContent>
                          <w:p w14:paraId="4256C68E" w14:textId="57650942" w:rsidR="00C90BF5" w:rsidRPr="00DC2165" w:rsidRDefault="00C90BF5" w:rsidP="00A860B0">
                            <w:pPr>
                              <w:spacing w:after="0"/>
                              <w:rPr>
                                <w:rFonts w:ascii="HelveticaNeueLT Std" w:hAnsi="HelveticaNeueLT Std"/>
                                <w:b/>
                                <w:bCs/>
                                <w:color w:val="009EDB"/>
                              </w:rPr>
                            </w:pPr>
                            <w:r w:rsidRPr="00DC2165">
                              <w:rPr>
                                <w:rFonts w:ascii="HelveticaNeueLT Std" w:hAnsi="HelveticaNeueLT Std"/>
                                <w:b/>
                                <w:bCs/>
                                <w:color w:val="009EDB"/>
                              </w:rPr>
                              <w:t xml:space="preserve">Figure </w:t>
                            </w:r>
                            <w:r w:rsidR="00B472D1">
                              <w:rPr>
                                <w:rFonts w:ascii="HelveticaNeueLT Std" w:hAnsi="HelveticaNeueLT Std"/>
                                <w:b/>
                                <w:bCs/>
                                <w:color w:val="009EDB"/>
                              </w:rPr>
                              <w:t>2</w:t>
                            </w:r>
                          </w:p>
                          <w:p w14:paraId="38E70516" w14:textId="77777777" w:rsidR="00A860B0" w:rsidRDefault="00A860B0" w:rsidP="00A860B0">
                            <w:pPr>
                              <w:spacing w:after="0"/>
                              <w:rPr>
                                <w:rFonts w:ascii="HelveticaNeueLT Std" w:hAnsi="HelveticaNeueLT Std"/>
                              </w:rPr>
                            </w:pPr>
                            <w:r w:rsidRPr="00A860B0">
                              <w:rPr>
                                <w:rFonts w:ascii="HelveticaNeueLT Std" w:hAnsi="HelveticaNeueLT Std"/>
                                <w:b/>
                                <w:bCs/>
                              </w:rPr>
                              <w:t>Developing countries: investment in sectors relevant to the sustainable development goals</w:t>
                            </w:r>
                          </w:p>
                          <w:p w14:paraId="24E5DD45" w14:textId="2BFD6BA8" w:rsidR="00F030B7" w:rsidRPr="005828FC" w:rsidRDefault="00A860B0" w:rsidP="00A860B0">
                            <w:pPr>
                              <w:spacing w:after="0"/>
                              <w:rPr>
                                <w:rFonts w:ascii="HelveticaNeueLT Std" w:hAnsi="HelveticaNeueLT Std"/>
                              </w:rPr>
                            </w:pPr>
                            <w:r>
                              <w:rPr>
                                <w:rFonts w:ascii="HelveticaNeueLT Std" w:hAnsi="HelveticaNeueLT Std"/>
                              </w:rPr>
                              <w:t>P</w:t>
                            </w:r>
                            <w:r w:rsidR="00492879">
                              <w:rPr>
                                <w:rFonts w:ascii="HelveticaNeueLT Std" w:hAnsi="HelveticaNeueLT Std"/>
                              </w:rPr>
                              <w:t>roject numbers</w:t>
                            </w:r>
                            <w:r w:rsidR="002E6EF2">
                              <w:rPr>
                                <w:rFonts w:ascii="HelveticaNeueLT Std" w:hAnsi="HelveticaNeueLT Std"/>
                              </w:rPr>
                              <w:t xml:space="preserve">, </w:t>
                            </w:r>
                            <w:r w:rsidR="00296936">
                              <w:rPr>
                                <w:rFonts w:ascii="HelveticaNeueLT Std" w:hAnsi="HelveticaNeueLT Std"/>
                              </w:rPr>
                              <w:t xml:space="preserve">percentage change between </w:t>
                            </w:r>
                            <w:r w:rsidR="002E6EF2">
                              <w:rPr>
                                <w:rFonts w:ascii="HelveticaNeueLT Std" w:hAnsi="HelveticaNeueLT Std"/>
                              </w:rPr>
                              <w:t>20</w:t>
                            </w:r>
                            <w:r w:rsidR="00687777">
                              <w:rPr>
                                <w:rFonts w:ascii="HelveticaNeueLT Std" w:hAnsi="HelveticaNeueLT Std"/>
                              </w:rPr>
                              <w:t>15</w:t>
                            </w:r>
                            <w:r w:rsidR="00296936">
                              <w:rPr>
                                <w:rFonts w:ascii="HelveticaNeueLT Std" w:hAnsi="HelveticaNeueLT Std"/>
                              </w:rPr>
                              <w:t xml:space="preserve"> and </w:t>
                            </w:r>
                            <w:r w:rsidR="00CE2BA6">
                              <w:rPr>
                                <w:rFonts w:ascii="HelveticaNeueLT Std" w:hAnsi="HelveticaNeueLT Std"/>
                              </w:rPr>
                              <w:t>20</w:t>
                            </w:r>
                            <w:r w:rsidR="002E6EF2">
                              <w:rPr>
                                <w:rFonts w:ascii="HelveticaNeueLT Std" w:hAnsi="HelveticaNeueLT Std"/>
                              </w:rPr>
                              <w:t>23</w:t>
                            </w:r>
                            <w:r w:rsidR="00F030B7">
                              <w:rPr>
                                <w:rFonts w:ascii="HelveticaNeueLT Std" w:hAnsi="HelveticaNeueLT Std"/>
                              </w:rPr>
                              <w:t xml:space="preserve"> </w:t>
                            </w:r>
                            <w:r w:rsidR="00F030B7">
                              <w:rPr>
                                <w:rFonts w:ascii="HelveticaNeueLT Std" w:hAnsi="HelveticaNeueLT Std"/>
                              </w:rPr>
                              <w:br/>
                            </w:r>
                          </w:p>
                          <w:p w14:paraId="21666D52" w14:textId="77777777" w:rsidR="00F030B7" w:rsidRPr="005828FC" w:rsidRDefault="00F030B7" w:rsidP="00F030B7">
                            <w:pPr>
                              <w:rPr>
                                <w:rFonts w:ascii="HelveticaNeueLT Std Cn" w:hAnsi="HelveticaNeueLT Std Cn"/>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B265" id="_x0000_s1027" type="#_x0000_t202" style="position:absolute;left:0;text-align:left;margin-left:0;margin-top:.25pt;width:409.25pt;height:62.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" filled="f" stroked="f" strokeweight=".5pt">
                <v:textbox>
                  <w:txbxContent>
                    <w:p w14:paraId="4256C68E" w14:textId="57650942" w:rsidR="00C90BF5" w:rsidRPr="00DC2165" w:rsidRDefault="00C90BF5" w:rsidP="00A860B0">
                      <w:pPr>
                        <w:spacing w:after="0"/>
                        <w:rPr>
                          <w:rFonts w:ascii="HelveticaNeueLT Std" w:hAnsi="HelveticaNeueLT Std"/>
                          <w:b/>
                          <w:bCs/>
                          <w:color w:val="009EDB"/>
                        </w:rPr>
                      </w:pPr>
                      <w:r w:rsidRPr="00DC2165">
                        <w:rPr>
                          <w:rFonts w:ascii="HelveticaNeueLT Std" w:hAnsi="HelveticaNeueLT Std"/>
                          <w:b/>
                          <w:bCs/>
                          <w:color w:val="009EDB"/>
                        </w:rPr>
                        <w:t xml:space="preserve">Figure </w:t>
                      </w:r>
                      <w:r w:rsidR="00B472D1">
                        <w:rPr>
                          <w:rFonts w:ascii="HelveticaNeueLT Std" w:hAnsi="HelveticaNeueLT Std"/>
                          <w:b/>
                          <w:bCs/>
                          <w:color w:val="009EDB"/>
                        </w:rPr>
                        <w:t>2</w:t>
                      </w:r>
                    </w:p>
                    <w:p w14:paraId="38E70516" w14:textId="77777777" w:rsidR="00A860B0" w:rsidRDefault="00A860B0" w:rsidP="00A860B0">
                      <w:pPr>
                        <w:spacing w:after="0"/>
                        <w:rPr>
                          <w:rFonts w:ascii="HelveticaNeueLT Std" w:hAnsi="HelveticaNeueLT Std"/>
                        </w:rPr>
                      </w:pPr>
                      <w:r w:rsidRPr="00A860B0">
                        <w:rPr>
                          <w:rFonts w:ascii="HelveticaNeueLT Std" w:hAnsi="HelveticaNeueLT Std"/>
                          <w:b/>
                          <w:bCs/>
                        </w:rPr>
                        <w:t>Developing countries: investment in sectors relevant to the sustainable development goals</w:t>
                      </w:r>
                    </w:p>
                    <w:p w14:paraId="24E5DD45" w14:textId="2BFD6BA8" w:rsidR="00F030B7" w:rsidRPr="005828FC" w:rsidRDefault="00A860B0" w:rsidP="00A860B0">
                      <w:pPr>
                        <w:spacing w:after="0"/>
                        <w:rPr>
                          <w:rFonts w:ascii="HelveticaNeueLT Std" w:hAnsi="HelveticaNeueLT Std"/>
                        </w:rPr>
                      </w:pPr>
                      <w:r>
                        <w:rPr>
                          <w:rFonts w:ascii="HelveticaNeueLT Std" w:hAnsi="HelveticaNeueLT Std"/>
                        </w:rPr>
                        <w:t>P</w:t>
                      </w:r>
                      <w:r w:rsidR="00492879">
                        <w:rPr>
                          <w:rFonts w:ascii="HelveticaNeueLT Std" w:hAnsi="HelveticaNeueLT Std"/>
                        </w:rPr>
                        <w:t>roject numbers</w:t>
                      </w:r>
                      <w:r w:rsidR="002E6EF2">
                        <w:rPr>
                          <w:rFonts w:ascii="HelveticaNeueLT Std" w:hAnsi="HelveticaNeueLT Std"/>
                        </w:rPr>
                        <w:t xml:space="preserve">, </w:t>
                      </w:r>
                      <w:r w:rsidR="00296936">
                        <w:rPr>
                          <w:rFonts w:ascii="HelveticaNeueLT Std" w:hAnsi="HelveticaNeueLT Std"/>
                        </w:rPr>
                        <w:t xml:space="preserve">percentage change between </w:t>
                      </w:r>
                      <w:r w:rsidR="002E6EF2">
                        <w:rPr>
                          <w:rFonts w:ascii="HelveticaNeueLT Std" w:hAnsi="HelveticaNeueLT Std"/>
                        </w:rPr>
                        <w:t>20</w:t>
                      </w:r>
                      <w:r w:rsidR="00687777">
                        <w:rPr>
                          <w:rFonts w:ascii="HelveticaNeueLT Std" w:hAnsi="HelveticaNeueLT Std"/>
                        </w:rPr>
                        <w:t>15</w:t>
                      </w:r>
                      <w:r w:rsidR="00296936">
                        <w:rPr>
                          <w:rFonts w:ascii="HelveticaNeueLT Std" w:hAnsi="HelveticaNeueLT Std"/>
                        </w:rPr>
                        <w:t xml:space="preserve"> and </w:t>
                      </w:r>
                      <w:r w:rsidR="00CE2BA6">
                        <w:rPr>
                          <w:rFonts w:ascii="HelveticaNeueLT Std" w:hAnsi="HelveticaNeueLT Std"/>
                        </w:rPr>
                        <w:t>20</w:t>
                      </w:r>
                      <w:r w:rsidR="002E6EF2">
                        <w:rPr>
                          <w:rFonts w:ascii="HelveticaNeueLT Std" w:hAnsi="HelveticaNeueLT Std"/>
                        </w:rPr>
                        <w:t>23</w:t>
                      </w:r>
                      <w:r w:rsidR="00F030B7">
                        <w:rPr>
                          <w:rFonts w:ascii="HelveticaNeueLT Std" w:hAnsi="HelveticaNeueLT Std"/>
                        </w:rPr>
                        <w:t xml:space="preserve"> </w:t>
                      </w:r>
                      <w:r w:rsidR="00F030B7">
                        <w:rPr>
                          <w:rFonts w:ascii="HelveticaNeueLT Std" w:hAnsi="HelveticaNeueLT Std"/>
                        </w:rPr>
                        <w:br/>
                      </w:r>
                    </w:p>
                    <w:p w14:paraId="21666D52" w14:textId="77777777" w:rsidR="00F030B7" w:rsidRPr="005828FC" w:rsidRDefault="00F030B7" w:rsidP="00F030B7">
                      <w:pPr>
                        <w:rPr>
                          <w:rFonts w:ascii="HelveticaNeueLT Std Cn" w:hAnsi="HelveticaNeueLT Std Cn"/>
                          <w:b/>
                          <w:bCs/>
                        </w:rPr>
                      </w:pPr>
                    </w:p>
                  </w:txbxContent>
                </v:textbox>
                <w10:wrap anchorx="margin"/>
              </v:shape>
            </w:pict>
          </mc:Fallback>
        </mc:AlternateContent>
      </w:r>
    </w:p>
    <w:p w14:paraId="7288E7F8" w14:textId="583E810B" w:rsidR="000741F7" w:rsidRPr="0069253A" w:rsidRDefault="000741F7" w:rsidP="00DC2165">
      <w:pPr>
        <w:spacing w:line="276" w:lineRule="auto"/>
        <w:jc w:val="both"/>
        <w:rPr>
          <w:rFonts w:ascii="HelveticaNeueLT Std" w:hAnsi="HelveticaNeueLT Std"/>
          <w:i/>
          <w:iCs/>
          <w:sz w:val="20"/>
          <w:szCs w:val="20"/>
          <w:lang w:val="en-GB"/>
        </w:rPr>
      </w:pPr>
    </w:p>
    <w:p w14:paraId="44CA16A2" w14:textId="3EB3922C" w:rsidR="000741F7" w:rsidRPr="0069253A" w:rsidRDefault="000741F7" w:rsidP="00DC2165">
      <w:pPr>
        <w:spacing w:line="276" w:lineRule="auto"/>
        <w:jc w:val="both"/>
        <w:rPr>
          <w:rFonts w:ascii="HelveticaNeueLT Std" w:hAnsi="HelveticaNeueLT Std"/>
          <w:i/>
          <w:iCs/>
          <w:sz w:val="20"/>
          <w:szCs w:val="20"/>
          <w:lang w:val="en-GB"/>
        </w:rPr>
      </w:pPr>
    </w:p>
    <w:p w14:paraId="19DFD761" w14:textId="1B373FD2" w:rsidR="000741F7" w:rsidRPr="0069253A" w:rsidRDefault="000741F7" w:rsidP="00DC2165">
      <w:pPr>
        <w:spacing w:line="276" w:lineRule="auto"/>
        <w:jc w:val="both"/>
        <w:rPr>
          <w:rFonts w:ascii="HelveticaNeueLT Std" w:hAnsi="HelveticaNeueLT Std"/>
          <w:i/>
          <w:iCs/>
          <w:sz w:val="20"/>
          <w:szCs w:val="20"/>
          <w:lang w:val="en-GB"/>
        </w:rPr>
      </w:pPr>
      <w:r w:rsidRPr="0069253A">
        <w:rPr>
          <w:rFonts w:ascii="HelveticaNeueLT Std" w:hAnsi="HelveticaNeueLT Std"/>
          <w:noProof/>
          <w:lang w:val="en-GB"/>
        </w:rPr>
        <w:drawing>
          <wp:anchor distT="0" distB="0" distL="114300" distR="114300" simplePos="0" relativeHeight="251658246" behindDoc="0" locked="0" layoutInCell="1" allowOverlap="1" wp14:anchorId="56254798" wp14:editId="2592BEB6">
            <wp:simplePos x="0" y="0"/>
            <wp:positionH relativeFrom="margin">
              <wp:align>center</wp:align>
            </wp:positionH>
            <wp:positionV relativeFrom="paragraph">
              <wp:posOffset>98258</wp:posOffset>
            </wp:positionV>
            <wp:extent cx="4252595" cy="2200910"/>
            <wp:effectExtent l="0" t="0" r="0" b="8890"/>
            <wp:wrapSquare wrapText="bothSides"/>
            <wp:docPr id="283722105" name="Picture 1" descr="A list of energy sour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22105" name="Picture 1" descr="A list of energy sourc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252595" cy="2200910"/>
                    </a:xfrm>
                    <a:prstGeom prst="rect">
                      <a:avLst/>
                    </a:prstGeom>
                  </pic:spPr>
                </pic:pic>
              </a:graphicData>
            </a:graphic>
          </wp:anchor>
        </w:drawing>
      </w:r>
    </w:p>
    <w:p w14:paraId="7D5E1765" w14:textId="509C6764" w:rsidR="000741F7" w:rsidRPr="0069253A" w:rsidRDefault="000741F7" w:rsidP="00DC2165">
      <w:pPr>
        <w:spacing w:line="276" w:lineRule="auto"/>
        <w:jc w:val="both"/>
        <w:rPr>
          <w:rFonts w:ascii="HelveticaNeueLT Std" w:hAnsi="HelveticaNeueLT Std"/>
          <w:i/>
          <w:iCs/>
          <w:sz w:val="20"/>
          <w:szCs w:val="20"/>
          <w:lang w:val="en-GB"/>
        </w:rPr>
      </w:pPr>
    </w:p>
    <w:p w14:paraId="3006AF3F" w14:textId="77777777" w:rsidR="000741F7" w:rsidRPr="0069253A" w:rsidRDefault="000741F7" w:rsidP="00DC2165">
      <w:pPr>
        <w:spacing w:line="276" w:lineRule="auto"/>
        <w:jc w:val="both"/>
        <w:rPr>
          <w:rFonts w:ascii="HelveticaNeueLT Std" w:hAnsi="HelveticaNeueLT Std"/>
          <w:i/>
          <w:iCs/>
          <w:sz w:val="20"/>
          <w:szCs w:val="20"/>
          <w:lang w:val="en-GB"/>
        </w:rPr>
      </w:pPr>
    </w:p>
    <w:p w14:paraId="76E697C8" w14:textId="77777777" w:rsidR="000741F7" w:rsidRPr="0069253A" w:rsidRDefault="000741F7" w:rsidP="00DC2165">
      <w:pPr>
        <w:spacing w:line="276" w:lineRule="auto"/>
        <w:jc w:val="both"/>
        <w:rPr>
          <w:rFonts w:ascii="HelveticaNeueLT Std" w:hAnsi="HelveticaNeueLT Std"/>
          <w:i/>
          <w:iCs/>
          <w:sz w:val="20"/>
          <w:szCs w:val="20"/>
          <w:lang w:val="en-GB"/>
        </w:rPr>
      </w:pPr>
    </w:p>
    <w:p w14:paraId="1BD3D417" w14:textId="77777777" w:rsidR="000741F7" w:rsidRPr="0069253A" w:rsidRDefault="000741F7" w:rsidP="00DC2165">
      <w:pPr>
        <w:spacing w:line="276" w:lineRule="auto"/>
        <w:jc w:val="both"/>
        <w:rPr>
          <w:rFonts w:ascii="HelveticaNeueLT Std" w:hAnsi="HelveticaNeueLT Std"/>
          <w:i/>
          <w:iCs/>
          <w:sz w:val="20"/>
          <w:szCs w:val="20"/>
          <w:lang w:val="en-GB"/>
        </w:rPr>
      </w:pPr>
    </w:p>
    <w:p w14:paraId="3DB9C96C" w14:textId="77777777" w:rsidR="000741F7" w:rsidRPr="0069253A" w:rsidRDefault="000741F7" w:rsidP="00DC2165">
      <w:pPr>
        <w:spacing w:line="276" w:lineRule="auto"/>
        <w:jc w:val="both"/>
        <w:rPr>
          <w:rFonts w:ascii="HelveticaNeueLT Std" w:hAnsi="HelveticaNeueLT Std"/>
          <w:i/>
          <w:iCs/>
          <w:sz w:val="20"/>
          <w:szCs w:val="20"/>
          <w:lang w:val="en-GB"/>
        </w:rPr>
      </w:pPr>
    </w:p>
    <w:p w14:paraId="5BD99934" w14:textId="77777777" w:rsidR="000741F7" w:rsidRPr="0069253A" w:rsidRDefault="000741F7" w:rsidP="00DC2165">
      <w:pPr>
        <w:spacing w:line="276" w:lineRule="auto"/>
        <w:jc w:val="both"/>
        <w:rPr>
          <w:rFonts w:ascii="HelveticaNeueLT Std" w:hAnsi="HelveticaNeueLT Std"/>
          <w:i/>
          <w:iCs/>
          <w:sz w:val="20"/>
          <w:szCs w:val="20"/>
          <w:lang w:val="en-GB"/>
        </w:rPr>
      </w:pPr>
    </w:p>
    <w:p w14:paraId="6C083587" w14:textId="77777777" w:rsidR="000741F7" w:rsidRPr="0069253A" w:rsidRDefault="000741F7" w:rsidP="00DC2165">
      <w:pPr>
        <w:spacing w:line="276" w:lineRule="auto"/>
        <w:jc w:val="both"/>
        <w:rPr>
          <w:rFonts w:ascii="HelveticaNeueLT Std" w:hAnsi="HelveticaNeueLT Std"/>
          <w:i/>
          <w:iCs/>
          <w:sz w:val="20"/>
          <w:szCs w:val="20"/>
          <w:lang w:val="en-GB"/>
        </w:rPr>
      </w:pPr>
    </w:p>
    <w:p w14:paraId="4CBA2C5E" w14:textId="77777777" w:rsidR="00DF512D" w:rsidRDefault="00DF512D" w:rsidP="009F5850">
      <w:pPr>
        <w:spacing w:line="276" w:lineRule="auto"/>
        <w:jc w:val="both"/>
        <w:rPr>
          <w:rFonts w:ascii="HelveticaNeueLT Std" w:hAnsi="HelveticaNeueLT Std"/>
          <w:i/>
          <w:iCs/>
          <w:sz w:val="20"/>
          <w:szCs w:val="20"/>
          <w:lang w:val="en-GB"/>
        </w:rPr>
      </w:pPr>
    </w:p>
    <w:p w14:paraId="099B3F18" w14:textId="2B0728EF" w:rsidR="000741F7" w:rsidRDefault="000741F7" w:rsidP="009F5850">
      <w:pPr>
        <w:spacing w:line="276" w:lineRule="auto"/>
        <w:jc w:val="both"/>
        <w:rPr>
          <w:rFonts w:ascii="HelveticaNeueLT Std" w:hAnsi="HelveticaNeueLT Std"/>
          <w:lang w:val="en-GB"/>
        </w:rPr>
      </w:pPr>
      <w:r w:rsidRPr="0069253A">
        <w:rPr>
          <w:rFonts w:ascii="HelveticaNeueLT Std" w:hAnsi="HelveticaNeueLT Std"/>
          <w:i/>
          <w:iCs/>
          <w:sz w:val="20"/>
          <w:szCs w:val="20"/>
          <w:lang w:val="en-GB"/>
        </w:rPr>
        <w:t>Source</w:t>
      </w:r>
      <w:r w:rsidRPr="0069253A">
        <w:rPr>
          <w:rFonts w:ascii="HelveticaNeueLT Std" w:hAnsi="HelveticaNeueLT Std"/>
          <w:i/>
          <w:sz w:val="20"/>
          <w:szCs w:val="20"/>
          <w:lang w:val="en-GB"/>
        </w:rPr>
        <w:t>:</w:t>
      </w:r>
      <w:r w:rsidRPr="0069253A">
        <w:rPr>
          <w:rFonts w:ascii="HelveticaNeueLT Std" w:hAnsi="HelveticaNeueLT Std"/>
          <w:sz w:val="20"/>
          <w:szCs w:val="20"/>
          <w:lang w:val="en-GB"/>
        </w:rPr>
        <w:t xml:space="preserve"> UNCTAD</w:t>
      </w:r>
      <w:r w:rsidR="002A4DA4">
        <w:rPr>
          <w:rFonts w:ascii="HelveticaNeueLT Std" w:hAnsi="HelveticaNeueLT Std"/>
          <w:lang w:val="en-GB"/>
        </w:rPr>
        <w:t>.</w:t>
      </w:r>
    </w:p>
    <w:p w14:paraId="0A31A817" w14:textId="77777777" w:rsidR="00DF512D" w:rsidRPr="0069253A" w:rsidRDefault="00DF512D" w:rsidP="009F5850">
      <w:pPr>
        <w:spacing w:line="276" w:lineRule="auto"/>
        <w:jc w:val="both"/>
        <w:rPr>
          <w:rFonts w:ascii="HelveticaNeueLT Std" w:hAnsi="HelveticaNeueLT Std"/>
          <w:lang w:val="en-GB"/>
        </w:rPr>
      </w:pPr>
    </w:p>
    <w:p w14:paraId="5FCB7AE1" w14:textId="77777777" w:rsidR="006846C3" w:rsidRDefault="006846C3" w:rsidP="006846C3">
      <w:pPr>
        <w:spacing w:line="276" w:lineRule="auto"/>
        <w:jc w:val="both"/>
        <w:rPr>
          <w:rFonts w:ascii="HelveticaNeueLT Std" w:hAnsi="HelveticaNeueLT Std"/>
          <w:lang w:val="en-GB"/>
        </w:rPr>
      </w:pPr>
      <w:r>
        <w:rPr>
          <w:rFonts w:ascii="HelveticaNeueLT Std" w:hAnsi="HelveticaNeueLT Std"/>
          <w:lang w:val="en-GB"/>
        </w:rPr>
        <w:t>At the global level, t</w:t>
      </w:r>
      <w:r w:rsidRPr="005C26A1">
        <w:rPr>
          <w:rFonts w:ascii="HelveticaNeueLT Std" w:hAnsi="HelveticaNeueLT Std"/>
          <w:lang w:val="en-GB"/>
        </w:rPr>
        <w:t>he distribution of investment between sectors has also changed, with FDI in services increasing from 65 per cent to 81 per cent over the last two decades, while manufacturing FDI has shown negative growth since the pandemic. This shift alters the development paradigm based on promoting investment in manufacturing export-led growth, affecting the prospects for developing countries to increase their participation in global value chains and to gradually upgrade to higher value-added industrial activities.</w:t>
      </w:r>
    </w:p>
    <w:p w14:paraId="24FA0355" w14:textId="3F0D04EE" w:rsidR="00BF7F5C" w:rsidRDefault="00BF7F5C" w:rsidP="1F165B09">
      <w:pPr>
        <w:spacing w:after="240" w:line="276" w:lineRule="auto"/>
        <w:jc w:val="both"/>
        <w:rPr>
          <w:rFonts w:ascii="HelveticaNeueLT Std" w:hAnsi="HelveticaNeueLT Std"/>
          <w:lang w:val="en-GB"/>
        </w:rPr>
      </w:pPr>
      <w:r w:rsidRPr="1F165B09">
        <w:rPr>
          <w:rFonts w:ascii="HelveticaNeueLT Std" w:hAnsi="HelveticaNeueLT Std"/>
          <w:lang w:val="en-GB"/>
        </w:rPr>
        <w:lastRenderedPageBreak/>
        <w:t xml:space="preserve">In </w:t>
      </w:r>
      <w:r w:rsidR="006846C3" w:rsidRPr="1F165B09">
        <w:rPr>
          <w:rFonts w:ascii="HelveticaNeueLT Std" w:hAnsi="HelveticaNeueLT Std"/>
          <w:lang w:val="en-GB"/>
        </w:rPr>
        <w:t>this context</w:t>
      </w:r>
      <w:r w:rsidRPr="1F165B09">
        <w:rPr>
          <w:rFonts w:ascii="HelveticaNeueLT Std" w:hAnsi="HelveticaNeueLT Std"/>
          <w:lang w:val="en-GB"/>
        </w:rPr>
        <w:t>, many countries still need to put in place tailored strategies and policies to attract investment</w:t>
      </w:r>
      <w:r w:rsidR="00492590" w:rsidRPr="1F165B09">
        <w:rPr>
          <w:rFonts w:ascii="HelveticaNeueLT Std" w:hAnsi="HelveticaNeueLT Std"/>
          <w:lang w:val="en-GB"/>
        </w:rPr>
        <w:t xml:space="preserve">.  </w:t>
      </w:r>
      <w:r w:rsidR="005C26A1" w:rsidRPr="1F165B09">
        <w:rPr>
          <w:rFonts w:ascii="HelveticaNeueLT Std" w:hAnsi="HelveticaNeueLT Std"/>
          <w:lang w:val="en-GB"/>
        </w:rPr>
        <w:t>Too</w:t>
      </w:r>
      <w:r w:rsidRPr="1F165B09">
        <w:rPr>
          <w:rFonts w:ascii="HelveticaNeueLT Std" w:hAnsi="HelveticaNeueLT Std"/>
          <w:lang w:val="en-GB"/>
        </w:rPr>
        <w:t xml:space="preserve"> often</w:t>
      </w:r>
      <w:r w:rsidR="005C26A1" w:rsidRPr="1F165B09">
        <w:rPr>
          <w:rFonts w:ascii="HelveticaNeueLT Std" w:hAnsi="HelveticaNeueLT Std"/>
          <w:lang w:val="en-GB"/>
        </w:rPr>
        <w:t>, they</w:t>
      </w:r>
      <w:r w:rsidRPr="1F165B09">
        <w:rPr>
          <w:rFonts w:ascii="HelveticaNeueLT Std" w:hAnsi="HelveticaNeueLT Std"/>
          <w:lang w:val="en-GB"/>
        </w:rPr>
        <w:t xml:space="preserve"> rely on traditional instruments, such as fiscal incentives, and operate within the framework of old-generation IIAs, which limit</w:t>
      </w:r>
      <w:r w:rsidR="005C26A1" w:rsidRPr="1F165B09">
        <w:rPr>
          <w:rFonts w:ascii="HelveticaNeueLT Std" w:hAnsi="HelveticaNeueLT Std"/>
          <w:lang w:val="en-GB"/>
        </w:rPr>
        <w:t>s</w:t>
      </w:r>
      <w:r w:rsidRPr="1F165B09">
        <w:rPr>
          <w:rFonts w:ascii="HelveticaNeueLT Std" w:hAnsi="HelveticaNeueLT Std"/>
          <w:lang w:val="en-GB"/>
        </w:rPr>
        <w:t xml:space="preserve"> their ability to pursue public policy objectives and raise</w:t>
      </w:r>
      <w:r w:rsidR="005C26A1" w:rsidRPr="1F165B09">
        <w:rPr>
          <w:rFonts w:ascii="HelveticaNeueLT Std" w:hAnsi="HelveticaNeueLT Std"/>
          <w:lang w:val="en-GB"/>
        </w:rPr>
        <w:t>s</w:t>
      </w:r>
      <w:r w:rsidRPr="1F165B09">
        <w:rPr>
          <w:rFonts w:ascii="HelveticaNeueLT Std" w:hAnsi="HelveticaNeueLT Std"/>
          <w:lang w:val="en-GB"/>
        </w:rPr>
        <w:t xml:space="preserve"> the risk of investor-State disputes (ISDS).</w:t>
      </w:r>
    </w:p>
    <w:p w14:paraId="439BF3AB" w14:textId="72381A65" w:rsidR="00D67F28" w:rsidRDefault="00D67F28" w:rsidP="00BB4F9C">
      <w:pPr>
        <w:spacing w:after="240" w:line="276" w:lineRule="auto"/>
        <w:jc w:val="both"/>
        <w:rPr>
          <w:rFonts w:ascii="HelveticaNeueLT Std" w:hAnsi="HelveticaNeueLT Std"/>
          <w:iCs/>
          <w:lang w:val="en-GB"/>
        </w:rPr>
      </w:pPr>
      <w:r w:rsidRPr="00D67F28">
        <w:rPr>
          <w:rFonts w:ascii="HelveticaNeueLT Std" w:hAnsi="HelveticaNeueLT Std"/>
          <w:iCs/>
          <w:lang w:val="en-GB"/>
        </w:rPr>
        <w:t xml:space="preserve">The availability of meaningful, reliable and globally comparable reports on the sustainability performance of entities is essential in attracting investment from domestic and foreign investors, as well as to sustain access to global value chains. Over the past few years, progress has been made in developing sustainability reporting and related requirements. However, </w:t>
      </w:r>
      <w:r w:rsidR="003223E3">
        <w:rPr>
          <w:rFonts w:ascii="HelveticaNeueLT Std" w:hAnsi="HelveticaNeueLT Std"/>
          <w:iCs/>
          <w:lang w:val="en-GB"/>
        </w:rPr>
        <w:t>c</w:t>
      </w:r>
      <w:r w:rsidRPr="00D67F28">
        <w:rPr>
          <w:rFonts w:ascii="HelveticaNeueLT Std" w:hAnsi="HelveticaNeueLT Std"/>
          <w:iCs/>
          <w:lang w:val="en-GB"/>
        </w:rPr>
        <w:t>hallenges remain. International sustainability reporting standards can have significant spillover effects for companies in developing markets, making it a priority to develop and implement technical assistance capacity-building, for entities to be able to comply with the new requirements. There is a need to avoid growing resistance to sustainable investment strategies in financial markets and, more broadly, to sustainability and disclosure requirements. Therefore, it is essential for policymakers to find a balance between promoting transparency and avoiding undue burdens on businesses</w:t>
      </w:r>
      <w:r w:rsidR="00277CE2">
        <w:rPr>
          <w:rFonts w:ascii="HelveticaNeueLT Std" w:hAnsi="HelveticaNeueLT Std"/>
          <w:iCs/>
          <w:lang w:val="en-GB"/>
        </w:rPr>
        <w:t>.</w:t>
      </w:r>
    </w:p>
    <w:p w14:paraId="2BFB6893" w14:textId="5693BD42" w:rsidR="007218CD" w:rsidRDefault="00CF5842" w:rsidP="00BB4F9C">
      <w:pPr>
        <w:spacing w:after="240" w:line="276" w:lineRule="auto"/>
        <w:jc w:val="both"/>
        <w:rPr>
          <w:rFonts w:ascii="HelveticaNeueLT Std" w:hAnsi="HelveticaNeueLT Std"/>
          <w:lang w:val="en-GB"/>
        </w:rPr>
      </w:pPr>
      <w:r>
        <w:rPr>
          <w:rFonts w:ascii="HelveticaNeueLT Std" w:hAnsi="HelveticaNeueLT Std"/>
          <w:iCs/>
          <w:lang w:val="en-GB"/>
        </w:rPr>
        <w:t xml:space="preserve">Moreover, increasing </w:t>
      </w:r>
      <w:r w:rsidR="003635AD">
        <w:rPr>
          <w:rFonts w:ascii="HelveticaNeueLT Std" w:hAnsi="HelveticaNeueLT Std"/>
          <w:iCs/>
          <w:lang w:val="en-GB"/>
        </w:rPr>
        <w:t xml:space="preserve">regulatory demands </w:t>
      </w:r>
      <w:r>
        <w:rPr>
          <w:rFonts w:ascii="HelveticaNeueLT Std" w:hAnsi="HelveticaNeueLT Std"/>
          <w:iCs/>
          <w:lang w:val="en-GB"/>
        </w:rPr>
        <w:t xml:space="preserve">for sustainability disclosure </w:t>
      </w:r>
      <w:r w:rsidR="003635AD">
        <w:rPr>
          <w:rFonts w:ascii="HelveticaNeueLT Std" w:hAnsi="HelveticaNeueLT Std"/>
          <w:iCs/>
          <w:lang w:val="en-GB"/>
        </w:rPr>
        <w:t xml:space="preserve">and reporting </w:t>
      </w:r>
      <w:r>
        <w:rPr>
          <w:rFonts w:ascii="HelveticaNeueLT Std" w:hAnsi="HelveticaNeueLT Std"/>
          <w:iCs/>
          <w:lang w:val="en-GB"/>
        </w:rPr>
        <w:t xml:space="preserve">will determine </w:t>
      </w:r>
      <w:r w:rsidR="00033D57">
        <w:rPr>
          <w:rFonts w:ascii="HelveticaNeueLT Std" w:hAnsi="HelveticaNeueLT Std"/>
          <w:iCs/>
          <w:lang w:val="en-GB"/>
        </w:rPr>
        <w:t xml:space="preserve">not only </w:t>
      </w:r>
      <w:r>
        <w:rPr>
          <w:rFonts w:ascii="HelveticaNeueLT Std" w:hAnsi="HelveticaNeueLT Std"/>
          <w:iCs/>
          <w:lang w:val="en-GB"/>
        </w:rPr>
        <w:t xml:space="preserve">investor choices and </w:t>
      </w:r>
      <w:r w:rsidR="0049512F">
        <w:rPr>
          <w:rFonts w:ascii="HelveticaNeueLT Std" w:hAnsi="HelveticaNeueLT Std"/>
          <w:iCs/>
          <w:lang w:val="en-GB"/>
        </w:rPr>
        <w:t>confidence in developing and emerging markets</w:t>
      </w:r>
      <w:r w:rsidR="00033D57">
        <w:rPr>
          <w:rFonts w:ascii="HelveticaNeueLT Std" w:hAnsi="HelveticaNeueLT Std"/>
          <w:iCs/>
          <w:lang w:val="en-GB"/>
        </w:rPr>
        <w:t xml:space="preserve"> </w:t>
      </w:r>
      <w:r w:rsidR="00CF3C68">
        <w:rPr>
          <w:rFonts w:ascii="HelveticaNeueLT Std" w:hAnsi="HelveticaNeueLT Std"/>
          <w:iCs/>
          <w:lang w:val="en-GB"/>
        </w:rPr>
        <w:t xml:space="preserve">but will </w:t>
      </w:r>
      <w:r w:rsidR="00033D57">
        <w:rPr>
          <w:rFonts w:ascii="HelveticaNeueLT Std" w:hAnsi="HelveticaNeueLT Std"/>
          <w:iCs/>
          <w:lang w:val="en-GB"/>
        </w:rPr>
        <w:t xml:space="preserve">have </w:t>
      </w:r>
      <w:r w:rsidR="00CF3C68">
        <w:rPr>
          <w:rFonts w:ascii="HelveticaNeueLT Std" w:hAnsi="HelveticaNeueLT Std"/>
          <w:iCs/>
          <w:lang w:val="en-GB"/>
        </w:rPr>
        <w:t xml:space="preserve">indirect </w:t>
      </w:r>
      <w:r w:rsidR="00033D57">
        <w:rPr>
          <w:rFonts w:ascii="HelveticaNeueLT Std" w:hAnsi="HelveticaNeueLT Std"/>
          <w:iCs/>
          <w:lang w:val="en-GB"/>
        </w:rPr>
        <w:t xml:space="preserve">spillover effects for </w:t>
      </w:r>
      <w:r w:rsidR="00CF3C68">
        <w:rPr>
          <w:rFonts w:ascii="HelveticaNeueLT Std" w:hAnsi="HelveticaNeueLT Std"/>
          <w:iCs/>
          <w:lang w:val="en-GB"/>
        </w:rPr>
        <w:t>companies in the supply chains of MNEs.</w:t>
      </w:r>
      <w:r w:rsidR="00EC1EC9">
        <w:rPr>
          <w:rFonts w:ascii="HelveticaNeueLT Std" w:hAnsi="HelveticaNeueLT Std"/>
          <w:iCs/>
          <w:lang w:val="en-GB"/>
        </w:rPr>
        <w:t xml:space="preserve"> </w:t>
      </w:r>
      <w:r w:rsidR="00EA67FD">
        <w:rPr>
          <w:rFonts w:ascii="HelveticaNeueLT Std" w:hAnsi="HelveticaNeueLT Std"/>
          <w:iCs/>
          <w:lang w:val="en-GB"/>
        </w:rPr>
        <w:t xml:space="preserve">There are concerns that </w:t>
      </w:r>
      <w:r w:rsidR="00091BD0">
        <w:rPr>
          <w:rFonts w:ascii="HelveticaNeueLT Std" w:hAnsi="HelveticaNeueLT Std"/>
          <w:iCs/>
          <w:lang w:val="en-GB"/>
        </w:rPr>
        <w:t xml:space="preserve">many countries </w:t>
      </w:r>
      <w:r w:rsidR="00BE35C7">
        <w:rPr>
          <w:rFonts w:ascii="HelveticaNeueLT Std" w:hAnsi="HelveticaNeueLT Std"/>
          <w:iCs/>
          <w:lang w:val="en-GB"/>
        </w:rPr>
        <w:t xml:space="preserve">and companies </w:t>
      </w:r>
      <w:r w:rsidR="00091BD0">
        <w:rPr>
          <w:rFonts w:ascii="HelveticaNeueLT Std" w:hAnsi="HelveticaNeueLT Std"/>
          <w:iCs/>
          <w:lang w:val="en-GB"/>
        </w:rPr>
        <w:t xml:space="preserve">do not have the </w:t>
      </w:r>
      <w:r w:rsidR="00BE35C7">
        <w:rPr>
          <w:rFonts w:ascii="HelveticaNeueLT Std" w:hAnsi="HelveticaNeueLT Std"/>
          <w:iCs/>
          <w:lang w:val="en-GB"/>
        </w:rPr>
        <w:t xml:space="preserve">reporting </w:t>
      </w:r>
      <w:r w:rsidR="00091BD0">
        <w:rPr>
          <w:rFonts w:ascii="HelveticaNeueLT Std" w:hAnsi="HelveticaNeueLT Std"/>
          <w:iCs/>
          <w:lang w:val="en-GB"/>
        </w:rPr>
        <w:t xml:space="preserve">infrastructure </w:t>
      </w:r>
      <w:r w:rsidR="00BE35C7">
        <w:rPr>
          <w:rFonts w:ascii="HelveticaNeueLT Std" w:hAnsi="HelveticaNeueLT Std"/>
          <w:iCs/>
          <w:lang w:val="en-GB"/>
        </w:rPr>
        <w:t xml:space="preserve">in place </w:t>
      </w:r>
      <w:r w:rsidR="00091BD0">
        <w:rPr>
          <w:rFonts w:ascii="HelveticaNeueLT Std" w:hAnsi="HelveticaNeueLT Std"/>
          <w:iCs/>
          <w:lang w:val="en-GB"/>
        </w:rPr>
        <w:t xml:space="preserve">or resources </w:t>
      </w:r>
      <w:r w:rsidR="0017445F">
        <w:rPr>
          <w:rFonts w:ascii="HelveticaNeueLT Std" w:hAnsi="HelveticaNeueLT Std"/>
          <w:iCs/>
          <w:lang w:val="en-GB"/>
        </w:rPr>
        <w:t xml:space="preserve">available </w:t>
      </w:r>
      <w:r w:rsidR="00091BD0">
        <w:rPr>
          <w:rFonts w:ascii="HelveticaNeueLT Std" w:hAnsi="HelveticaNeueLT Std"/>
          <w:iCs/>
          <w:lang w:val="en-GB"/>
        </w:rPr>
        <w:t>to</w:t>
      </w:r>
      <w:r w:rsidR="0017445F">
        <w:rPr>
          <w:rFonts w:ascii="HelveticaNeueLT Std" w:hAnsi="HelveticaNeueLT Std"/>
          <w:iCs/>
          <w:lang w:val="en-GB"/>
        </w:rPr>
        <w:t xml:space="preserve"> meet the new requirements</w:t>
      </w:r>
      <w:r w:rsidR="00393FB7">
        <w:rPr>
          <w:rFonts w:ascii="HelveticaNeueLT Std" w:hAnsi="HelveticaNeueLT Std"/>
          <w:iCs/>
          <w:lang w:val="en-GB"/>
        </w:rPr>
        <w:t>, which can be fragmented and complex.</w:t>
      </w:r>
      <w:r w:rsidR="00EC1EC9">
        <w:rPr>
          <w:rFonts w:ascii="HelveticaNeueLT Std" w:hAnsi="HelveticaNeueLT Std"/>
          <w:iCs/>
          <w:lang w:val="en-GB"/>
        </w:rPr>
        <w:t xml:space="preserve"> </w:t>
      </w:r>
      <w:r w:rsidR="0049512F">
        <w:rPr>
          <w:rFonts w:ascii="HelveticaNeueLT Std" w:hAnsi="HelveticaNeueLT Std"/>
          <w:iCs/>
          <w:lang w:val="en-GB"/>
        </w:rPr>
        <w:t xml:space="preserve"> </w:t>
      </w:r>
    </w:p>
    <w:p w14:paraId="67C533ED" w14:textId="01D0EB51" w:rsidR="00174569" w:rsidRPr="0069253A" w:rsidRDefault="00174569" w:rsidP="00570521">
      <w:pPr>
        <w:pStyle w:val="Heading2"/>
        <w:spacing w:after="240" w:line="276" w:lineRule="auto"/>
        <w:jc w:val="both"/>
        <w:rPr>
          <w:rFonts w:ascii="HelveticaNeueLT Std" w:hAnsi="HelveticaNeueLT Std"/>
          <w:b/>
          <w:bCs/>
          <w:color w:val="079FDC"/>
          <w:sz w:val="22"/>
          <w:szCs w:val="22"/>
          <w:lang w:val="en-GB"/>
        </w:rPr>
      </w:pPr>
      <w:r w:rsidRPr="0069253A">
        <w:rPr>
          <w:rFonts w:ascii="HelveticaNeueLT Std" w:hAnsi="HelveticaNeueLT Std"/>
          <w:b/>
          <w:bCs/>
          <w:color w:val="079FDC"/>
          <w:sz w:val="22"/>
          <w:szCs w:val="22"/>
          <w:lang w:val="en-GB"/>
        </w:rPr>
        <w:t>Policy solutions</w:t>
      </w:r>
      <w:r w:rsidR="002F4A33" w:rsidRPr="0069253A">
        <w:rPr>
          <w:rFonts w:ascii="HelveticaNeueLT Std" w:hAnsi="HelveticaNeueLT Std"/>
          <w:b/>
          <w:bCs/>
          <w:color w:val="079FDC"/>
          <w:sz w:val="22"/>
          <w:szCs w:val="22"/>
          <w:lang w:val="en-GB"/>
        </w:rPr>
        <w:t xml:space="preserve"> (500 words)</w:t>
      </w:r>
      <w:r w:rsidR="002A2FFB" w:rsidRPr="0069253A">
        <w:rPr>
          <w:rFonts w:ascii="HelveticaNeueLT Std" w:hAnsi="HelveticaNeueLT Std"/>
          <w:b/>
          <w:bCs/>
          <w:color w:val="079FDC"/>
          <w:sz w:val="22"/>
          <w:szCs w:val="22"/>
          <w:lang w:val="en-GB"/>
        </w:rPr>
        <w:t xml:space="preserve"> </w:t>
      </w:r>
    </w:p>
    <w:p w14:paraId="113DF865" w14:textId="3152F7B6" w:rsidR="001A1882" w:rsidRDefault="001C1EE3" w:rsidP="001A1882">
      <w:pPr>
        <w:spacing w:line="276" w:lineRule="auto"/>
        <w:jc w:val="both"/>
        <w:rPr>
          <w:rFonts w:ascii="HelveticaNeueLT Std" w:hAnsi="HelveticaNeueLT Std"/>
          <w:lang w:val="en-GB"/>
        </w:rPr>
      </w:pPr>
      <w:r>
        <w:rPr>
          <w:rFonts w:ascii="HelveticaNeueLT Std" w:hAnsi="HelveticaNeueLT Std"/>
          <w:lang w:val="en-GB"/>
        </w:rPr>
        <w:t xml:space="preserve">Promoting </w:t>
      </w:r>
      <w:r w:rsidR="003B1359">
        <w:rPr>
          <w:rFonts w:ascii="HelveticaNeueLT Std" w:hAnsi="HelveticaNeueLT Std"/>
          <w:lang w:val="en-GB"/>
        </w:rPr>
        <w:t xml:space="preserve">international </w:t>
      </w:r>
      <w:r>
        <w:rPr>
          <w:rFonts w:ascii="HelveticaNeueLT Std" w:hAnsi="HelveticaNeueLT Std"/>
          <w:lang w:val="en-GB"/>
        </w:rPr>
        <w:t xml:space="preserve">investment </w:t>
      </w:r>
      <w:r w:rsidR="003B1359">
        <w:rPr>
          <w:rFonts w:ascii="HelveticaNeueLT Std" w:hAnsi="HelveticaNeueLT Std"/>
          <w:lang w:val="en-GB"/>
        </w:rPr>
        <w:t xml:space="preserve">to achieve the SDGs </w:t>
      </w:r>
      <w:r w:rsidR="001A1882">
        <w:rPr>
          <w:rFonts w:ascii="HelveticaNeueLT Std" w:hAnsi="HelveticaNeueLT Std"/>
          <w:lang w:val="en-GB"/>
        </w:rPr>
        <w:t>i</w:t>
      </w:r>
      <w:r w:rsidRPr="001C1EE3">
        <w:rPr>
          <w:rFonts w:ascii="HelveticaNeueLT Std" w:hAnsi="HelveticaNeueLT Std"/>
          <w:lang w:val="en-GB"/>
        </w:rPr>
        <w:t>s a significant challenge for developing countries</w:t>
      </w:r>
      <w:r w:rsidR="00106006">
        <w:rPr>
          <w:rFonts w:ascii="HelveticaNeueLT Std" w:hAnsi="HelveticaNeueLT Std"/>
          <w:lang w:val="en-GB"/>
        </w:rPr>
        <w:t>, which requires a comprehensive policy shift, including:</w:t>
      </w:r>
    </w:p>
    <w:p w14:paraId="17C63131" w14:textId="7BA88EA1" w:rsidR="00FA1B1B" w:rsidRPr="00492590" w:rsidRDefault="00FA1B1B" w:rsidP="00145F9C">
      <w:pPr>
        <w:pStyle w:val="ListParagraph"/>
        <w:numPr>
          <w:ilvl w:val="0"/>
          <w:numId w:val="29"/>
        </w:numPr>
        <w:spacing w:line="276" w:lineRule="auto"/>
        <w:ind w:left="357" w:hanging="357"/>
        <w:contextualSpacing w:val="0"/>
        <w:jc w:val="both"/>
        <w:rPr>
          <w:rFonts w:ascii="HelveticaNeueLT Std" w:hAnsi="HelveticaNeueLT Std"/>
          <w:lang w:val="en-GB"/>
        </w:rPr>
      </w:pPr>
      <w:r w:rsidRPr="006C659C">
        <w:rPr>
          <w:rFonts w:ascii="HelveticaNeueLT Std" w:hAnsi="HelveticaNeueLT Std"/>
          <w:b/>
          <w:bCs/>
        </w:rPr>
        <w:t>Global commitment to a stable, open and transparent investment environment</w:t>
      </w:r>
      <w:r w:rsidRPr="006C659C">
        <w:rPr>
          <w:rFonts w:ascii="HelveticaNeueLT Std" w:hAnsi="HelveticaNeueLT Std"/>
        </w:rPr>
        <w:t xml:space="preserve">. </w:t>
      </w:r>
      <w:r w:rsidR="00DD2C97" w:rsidRPr="006C659C">
        <w:rPr>
          <w:rFonts w:ascii="HelveticaNeueLT Std" w:hAnsi="HelveticaNeueLT Std"/>
          <w:lang w:val="en-GB"/>
        </w:rPr>
        <w:t>A renewed global commitment to an open and transparent investment environment is crucial to foster trust and attract long-term investments.</w:t>
      </w:r>
      <w:r w:rsidR="00492590">
        <w:rPr>
          <w:rFonts w:ascii="HelveticaNeueLT Std" w:hAnsi="HelveticaNeueLT Std"/>
          <w:lang w:val="en-GB"/>
        </w:rPr>
        <w:t xml:space="preserve">  It is important to </w:t>
      </w:r>
      <w:r w:rsidR="00492590">
        <w:rPr>
          <w:rFonts w:ascii="HelveticaNeueLT Std" w:hAnsi="HelveticaNeueLT Std"/>
          <w:b/>
          <w:bCs/>
          <w:lang w:val="en-GB"/>
        </w:rPr>
        <w:t>s</w:t>
      </w:r>
      <w:r w:rsidR="00DD2C97" w:rsidRPr="00492590">
        <w:rPr>
          <w:rFonts w:ascii="HelveticaNeueLT Std" w:hAnsi="HelveticaNeueLT Std"/>
          <w:b/>
          <w:bCs/>
          <w:lang w:val="en-GB"/>
        </w:rPr>
        <w:t>trengthen national and regional investment environments</w:t>
      </w:r>
      <w:r w:rsidR="00DD2C97" w:rsidRPr="00492590">
        <w:rPr>
          <w:rFonts w:ascii="HelveticaNeueLT Std" w:hAnsi="HelveticaNeueLT Std"/>
          <w:lang w:val="en-GB"/>
        </w:rPr>
        <w:t xml:space="preserve">. Recent FDI trends, including global value-chain restructuring, economic fracturing and nearshoring, </w:t>
      </w:r>
      <w:r w:rsidR="004246B5" w:rsidRPr="00492590">
        <w:rPr>
          <w:rFonts w:ascii="HelveticaNeueLT Std" w:hAnsi="HelveticaNeueLT Std"/>
          <w:lang w:val="en-GB"/>
        </w:rPr>
        <w:t xml:space="preserve">have </w:t>
      </w:r>
      <w:r w:rsidR="00DD2C97" w:rsidRPr="00492590">
        <w:rPr>
          <w:rFonts w:ascii="HelveticaNeueLT Std" w:hAnsi="HelveticaNeueLT Std"/>
          <w:lang w:val="en-GB"/>
        </w:rPr>
        <w:t>intensified the competition for FDI. Added to the sustainability imperative, these require countries and regions to adapt their strategies and enhance their environments to mobilize more quality investment.</w:t>
      </w:r>
    </w:p>
    <w:p w14:paraId="33482EF4" w14:textId="6166C1E6" w:rsidR="00FA1B1B" w:rsidRDefault="00DD2C97" w:rsidP="00145F9C">
      <w:pPr>
        <w:pStyle w:val="ListParagraph"/>
        <w:numPr>
          <w:ilvl w:val="0"/>
          <w:numId w:val="29"/>
        </w:numPr>
        <w:spacing w:line="276" w:lineRule="auto"/>
        <w:ind w:left="357" w:hanging="357"/>
        <w:contextualSpacing w:val="0"/>
        <w:jc w:val="both"/>
        <w:rPr>
          <w:rFonts w:ascii="HelveticaNeueLT Std" w:hAnsi="HelveticaNeueLT Std"/>
          <w:lang w:val="en-GB"/>
        </w:rPr>
      </w:pPr>
      <w:r w:rsidRPr="006C659C">
        <w:rPr>
          <w:rFonts w:ascii="HelveticaNeueLT Std" w:hAnsi="HelveticaNeueLT Std"/>
          <w:b/>
          <w:bCs/>
          <w:lang w:val="en-GB"/>
        </w:rPr>
        <w:t>Enhance</w:t>
      </w:r>
      <w:r w:rsidR="00FE507D">
        <w:rPr>
          <w:rFonts w:ascii="HelveticaNeueLT Std" w:hAnsi="HelveticaNeueLT Std"/>
          <w:b/>
          <w:bCs/>
          <w:lang w:val="en-GB"/>
        </w:rPr>
        <w:t xml:space="preserve"> Investment Facilitation and</w:t>
      </w:r>
      <w:r w:rsidRPr="006C659C">
        <w:rPr>
          <w:rFonts w:ascii="HelveticaNeueLT Std" w:hAnsi="HelveticaNeueLT Std"/>
          <w:b/>
          <w:bCs/>
          <w:lang w:val="en-GB"/>
        </w:rPr>
        <w:t xml:space="preserve"> digital</w:t>
      </w:r>
      <w:r w:rsidR="00FE507D">
        <w:rPr>
          <w:rFonts w:ascii="HelveticaNeueLT Std" w:hAnsi="HelveticaNeueLT Std"/>
          <w:b/>
          <w:bCs/>
          <w:lang w:val="en-GB"/>
        </w:rPr>
        <w:t xml:space="preserve"> government</w:t>
      </w:r>
      <w:r w:rsidR="00FE507D">
        <w:rPr>
          <w:rFonts w:ascii="HelveticaNeueLT Std" w:hAnsi="HelveticaNeueLT Std"/>
          <w:lang w:val="en-GB"/>
        </w:rPr>
        <w:t>:</w:t>
      </w:r>
      <w:r w:rsidRPr="006C659C">
        <w:rPr>
          <w:rFonts w:ascii="HelveticaNeueLT Std" w:hAnsi="HelveticaNeueLT Std"/>
          <w:lang w:val="en-GB"/>
        </w:rPr>
        <w:t xml:space="preserve"> </w:t>
      </w:r>
      <w:r w:rsidR="00492590">
        <w:rPr>
          <w:rFonts w:ascii="HelveticaNeueLT Std" w:hAnsi="HelveticaNeueLT Std"/>
          <w:lang w:val="en-GB"/>
        </w:rPr>
        <w:t xml:space="preserve">These </w:t>
      </w:r>
      <w:r w:rsidRPr="006C659C">
        <w:rPr>
          <w:rFonts w:ascii="HelveticaNeueLT Std" w:hAnsi="HelveticaNeueLT Std"/>
          <w:lang w:val="en-GB"/>
        </w:rPr>
        <w:t xml:space="preserve">are important tools to attract and retain investment. By streamlining procedures, enhancing transparency and leveraging digital tools such as online single windows, </w:t>
      </w:r>
      <w:r w:rsidR="004246B5">
        <w:rPr>
          <w:rFonts w:ascii="HelveticaNeueLT Std" w:hAnsi="HelveticaNeueLT Std"/>
          <w:lang w:val="en-GB"/>
        </w:rPr>
        <w:t>countries</w:t>
      </w:r>
      <w:r w:rsidRPr="006C659C">
        <w:rPr>
          <w:rFonts w:ascii="HelveticaNeueLT Std" w:hAnsi="HelveticaNeueLT Std"/>
          <w:lang w:val="en-GB"/>
        </w:rPr>
        <w:t xml:space="preserve"> can foster a more conducive investment climate, particularly in developing countries</w:t>
      </w:r>
      <w:r w:rsidR="002A0A17">
        <w:rPr>
          <w:rFonts w:ascii="HelveticaNeueLT Std" w:hAnsi="HelveticaNeueLT Std"/>
          <w:lang w:val="en-GB"/>
        </w:rPr>
        <w:t xml:space="preserve">, </w:t>
      </w:r>
      <w:r w:rsidRPr="006C659C">
        <w:rPr>
          <w:rFonts w:ascii="HelveticaNeueLT Std" w:hAnsi="HelveticaNeueLT Std"/>
          <w:lang w:val="en-GB"/>
        </w:rPr>
        <w:t xml:space="preserve">which can address underlying weaknesses in governance and institutions </w:t>
      </w:r>
      <w:r w:rsidR="004246B5">
        <w:rPr>
          <w:rFonts w:ascii="HelveticaNeueLT Std" w:hAnsi="HelveticaNeueLT Std"/>
          <w:lang w:val="en-GB"/>
        </w:rPr>
        <w:t>and reduce country risk</w:t>
      </w:r>
      <w:r w:rsidRPr="006C659C">
        <w:rPr>
          <w:rFonts w:ascii="HelveticaNeueLT Std" w:hAnsi="HelveticaNeueLT Std"/>
          <w:lang w:val="en-GB"/>
        </w:rPr>
        <w:t>.</w:t>
      </w:r>
    </w:p>
    <w:p w14:paraId="1F53D4DB" w14:textId="516B0998" w:rsidR="00FA1B1B" w:rsidRDefault="0009643D" w:rsidP="1F165B09">
      <w:pPr>
        <w:pStyle w:val="ListParagraph"/>
        <w:numPr>
          <w:ilvl w:val="0"/>
          <w:numId w:val="29"/>
        </w:numPr>
        <w:spacing w:line="276" w:lineRule="auto"/>
        <w:ind w:left="357" w:hanging="357"/>
        <w:jc w:val="both"/>
        <w:rPr>
          <w:rFonts w:ascii="HelveticaNeueLT Std" w:hAnsi="HelveticaNeueLT Std"/>
          <w:lang w:val="en-GB"/>
        </w:rPr>
      </w:pPr>
      <w:r w:rsidRPr="1F165B09">
        <w:rPr>
          <w:rFonts w:ascii="HelveticaNeueLT Std" w:hAnsi="HelveticaNeueLT Std"/>
          <w:b/>
          <w:bCs/>
          <w:lang w:val="en-GB"/>
        </w:rPr>
        <w:t>F</w:t>
      </w:r>
      <w:r w:rsidR="00DD2C97" w:rsidRPr="1F165B09">
        <w:rPr>
          <w:rFonts w:ascii="HelveticaNeueLT Std" w:hAnsi="HelveticaNeueLT Std"/>
          <w:b/>
          <w:bCs/>
          <w:lang w:val="en-GB"/>
        </w:rPr>
        <w:t xml:space="preserve">ostering innovative partnerships </w:t>
      </w:r>
      <w:r w:rsidRPr="1F165B09">
        <w:rPr>
          <w:rFonts w:ascii="HelveticaNeueLT Std" w:hAnsi="HelveticaNeueLT Std"/>
          <w:b/>
          <w:bCs/>
          <w:lang w:val="en-GB"/>
        </w:rPr>
        <w:t xml:space="preserve">on risk-sharing </w:t>
      </w:r>
      <w:r w:rsidR="00DD2C97" w:rsidRPr="1F165B09">
        <w:rPr>
          <w:rFonts w:ascii="HelveticaNeueLT Std" w:hAnsi="HelveticaNeueLT Std"/>
          <w:lang w:val="en-GB"/>
        </w:rPr>
        <w:t xml:space="preserve">among governments, MDBs, and the private sector, promoting the use of innovative financial instruments and targeted investment incentives. This also encompasses better leveraging de-risking tools such as investment guarantees, blended finance, and financial support (e.g. loans, grants, </w:t>
      </w:r>
      <w:r w:rsidR="00DD2C97" w:rsidRPr="1F165B09">
        <w:rPr>
          <w:rFonts w:ascii="HelveticaNeueLT Std" w:hAnsi="HelveticaNeueLT Std"/>
          <w:lang w:val="en-GB"/>
        </w:rPr>
        <w:lastRenderedPageBreak/>
        <w:t xml:space="preserve">subsidies, or direct equity participation). </w:t>
      </w:r>
      <w:r w:rsidRPr="1F165B09">
        <w:rPr>
          <w:rFonts w:ascii="HelveticaNeueLT Std" w:hAnsi="HelveticaNeueLT Std"/>
          <w:lang w:val="en-GB"/>
        </w:rPr>
        <w:t xml:space="preserve">This should be complemented </w:t>
      </w:r>
      <w:r w:rsidR="00FE507D" w:rsidRPr="1F165B09">
        <w:rPr>
          <w:rFonts w:ascii="HelveticaNeueLT Std" w:hAnsi="HelveticaNeueLT Std"/>
          <w:lang w:val="en-GB"/>
        </w:rPr>
        <w:t xml:space="preserve">by </w:t>
      </w:r>
      <w:r w:rsidRPr="1F165B09">
        <w:rPr>
          <w:rFonts w:ascii="HelveticaNeueLT Std" w:hAnsi="HelveticaNeueLT Std"/>
          <w:lang w:val="en-GB"/>
        </w:rPr>
        <w:t>improving the Public-Private Partnership (PPP) in developing countries</w:t>
      </w:r>
      <w:r w:rsidR="002A0A17" w:rsidRPr="1F165B09">
        <w:rPr>
          <w:rFonts w:ascii="HelveticaNeueLT Std" w:hAnsi="HelveticaNeueLT Std"/>
          <w:lang w:val="en-GB"/>
        </w:rPr>
        <w:t xml:space="preserve">, e.g. </w:t>
      </w:r>
      <w:r w:rsidRPr="1F165B09">
        <w:rPr>
          <w:rFonts w:ascii="HelveticaNeueLT Std" w:hAnsi="HelveticaNeueLT Std"/>
          <w:lang w:val="en-GB"/>
        </w:rPr>
        <w:t>in structuring and managing PPPs more effectively</w:t>
      </w:r>
      <w:r w:rsidR="002A0A17" w:rsidRPr="1F165B09">
        <w:rPr>
          <w:rFonts w:ascii="HelveticaNeueLT Std" w:hAnsi="HelveticaNeueLT Std"/>
          <w:lang w:val="en-GB"/>
        </w:rPr>
        <w:t>.</w:t>
      </w:r>
      <w:r w:rsidRPr="1F165B09">
        <w:rPr>
          <w:rFonts w:ascii="HelveticaNeueLT Std" w:hAnsi="HelveticaNeueLT Std"/>
          <w:lang w:val="en-GB"/>
        </w:rPr>
        <w:t xml:space="preserve">  </w:t>
      </w:r>
      <w:r w:rsidR="00DD2C97" w:rsidRPr="1F165B09">
        <w:rPr>
          <w:rFonts w:ascii="HelveticaNeueLT Std" w:hAnsi="HelveticaNeueLT Std"/>
          <w:lang w:val="en-GB"/>
        </w:rPr>
        <w:t>This comprehensive approach can help mobilize the necessary capital and expertise</w:t>
      </w:r>
      <w:r w:rsidR="002A0A17" w:rsidRPr="1F165B09">
        <w:rPr>
          <w:rFonts w:ascii="HelveticaNeueLT Std" w:hAnsi="HelveticaNeueLT Std"/>
          <w:lang w:val="en-GB"/>
        </w:rPr>
        <w:t xml:space="preserve">. </w:t>
      </w:r>
    </w:p>
    <w:p w14:paraId="55DAEC11" w14:textId="3F85B512" w:rsidR="00FA1B1B" w:rsidRDefault="00DD2C97" w:rsidP="00145F9C">
      <w:pPr>
        <w:pStyle w:val="ListParagraph"/>
        <w:numPr>
          <w:ilvl w:val="0"/>
          <w:numId w:val="29"/>
        </w:numPr>
        <w:spacing w:line="276" w:lineRule="auto"/>
        <w:ind w:left="357" w:hanging="357"/>
        <w:contextualSpacing w:val="0"/>
        <w:jc w:val="both"/>
        <w:rPr>
          <w:rFonts w:ascii="HelveticaNeueLT Std" w:hAnsi="HelveticaNeueLT Std"/>
          <w:lang w:val="en-GB"/>
        </w:rPr>
      </w:pPr>
      <w:r w:rsidRPr="006C659C">
        <w:rPr>
          <w:rFonts w:ascii="HelveticaNeueLT Std" w:hAnsi="HelveticaNeueLT Std"/>
          <w:b/>
          <w:bCs/>
          <w:lang w:val="en-GB"/>
        </w:rPr>
        <w:t xml:space="preserve">Systematic efforts to </w:t>
      </w:r>
      <w:r w:rsidR="0009643D">
        <w:rPr>
          <w:rFonts w:ascii="HelveticaNeueLT Std" w:hAnsi="HelveticaNeueLT Std"/>
          <w:b/>
          <w:bCs/>
          <w:lang w:val="en-GB"/>
        </w:rPr>
        <w:t xml:space="preserve">advance </w:t>
      </w:r>
      <w:r w:rsidR="00287647">
        <w:rPr>
          <w:rFonts w:ascii="HelveticaNeueLT Std" w:hAnsi="HelveticaNeueLT Std"/>
          <w:b/>
          <w:bCs/>
          <w:lang w:val="en-GB"/>
        </w:rPr>
        <w:t xml:space="preserve">implementation of </w:t>
      </w:r>
      <w:r w:rsidR="0009643D">
        <w:rPr>
          <w:rFonts w:ascii="HelveticaNeueLT Std" w:hAnsi="HelveticaNeueLT Std"/>
          <w:b/>
          <w:bCs/>
          <w:lang w:val="en-GB"/>
        </w:rPr>
        <w:t xml:space="preserve">sustainability </w:t>
      </w:r>
      <w:r w:rsidR="00287647">
        <w:rPr>
          <w:rFonts w:ascii="HelveticaNeueLT Std" w:hAnsi="HelveticaNeueLT Std"/>
          <w:b/>
          <w:bCs/>
          <w:lang w:val="en-GB"/>
        </w:rPr>
        <w:t xml:space="preserve">disclosure </w:t>
      </w:r>
      <w:r w:rsidR="00EB4BAA">
        <w:rPr>
          <w:rFonts w:ascii="HelveticaNeueLT Std" w:hAnsi="HelveticaNeueLT Std"/>
          <w:b/>
          <w:bCs/>
          <w:lang w:val="en-GB"/>
        </w:rPr>
        <w:t xml:space="preserve">and assurance </w:t>
      </w:r>
      <w:r w:rsidR="0009643D">
        <w:rPr>
          <w:rFonts w:ascii="HelveticaNeueLT Std" w:hAnsi="HelveticaNeueLT Std"/>
          <w:b/>
          <w:bCs/>
          <w:lang w:val="en-GB"/>
        </w:rPr>
        <w:t xml:space="preserve">standards and </w:t>
      </w:r>
      <w:r w:rsidRPr="006C659C">
        <w:rPr>
          <w:rFonts w:ascii="HelveticaNeueLT Std" w:hAnsi="HelveticaNeueLT Std"/>
          <w:b/>
          <w:bCs/>
          <w:lang w:val="en-GB"/>
        </w:rPr>
        <w:t>address greenwashing</w:t>
      </w:r>
      <w:r w:rsidRPr="006C659C">
        <w:rPr>
          <w:rFonts w:ascii="HelveticaNeueLT Std" w:hAnsi="HelveticaNeueLT Std"/>
          <w:lang w:val="en-GB"/>
        </w:rPr>
        <w:t xml:space="preserve">. The persistence of greenwashing has demonstrated that more systemic efforts are needed to tackle the issue, including well-defined </w:t>
      </w:r>
      <w:r w:rsidR="007C3D34">
        <w:rPr>
          <w:rFonts w:ascii="HelveticaNeueLT Std" w:hAnsi="HelveticaNeueLT Std"/>
          <w:lang w:val="en-GB"/>
        </w:rPr>
        <w:t>sustainability</w:t>
      </w:r>
      <w:r w:rsidRPr="006C659C">
        <w:rPr>
          <w:rFonts w:ascii="HelveticaNeueLT Std" w:hAnsi="HelveticaNeueLT Std"/>
          <w:lang w:val="en-GB"/>
        </w:rPr>
        <w:t xml:space="preserve"> standards, disclosures, external auditing and third-party ratings.</w:t>
      </w:r>
      <w:r w:rsidR="007C3D34">
        <w:rPr>
          <w:rFonts w:ascii="HelveticaNeueLT Std" w:hAnsi="HelveticaNeueLT Std"/>
          <w:lang w:val="en-GB"/>
        </w:rPr>
        <w:t xml:space="preserve">  More consensus-building and </w:t>
      </w:r>
      <w:r w:rsidR="00EB4BAA">
        <w:rPr>
          <w:rFonts w:ascii="HelveticaNeueLT Std" w:hAnsi="HelveticaNeueLT Std"/>
          <w:lang w:val="en-GB"/>
        </w:rPr>
        <w:t>c</w:t>
      </w:r>
      <w:r w:rsidR="007C3D34">
        <w:rPr>
          <w:rFonts w:ascii="HelveticaNeueLT Std" w:hAnsi="HelveticaNeueLT Std"/>
          <w:lang w:val="en-GB"/>
        </w:rPr>
        <w:t xml:space="preserve">apacity building efforts </w:t>
      </w:r>
      <w:r w:rsidR="008A1AD7">
        <w:rPr>
          <w:rFonts w:ascii="HelveticaNeueLT Std" w:hAnsi="HelveticaNeueLT Std"/>
          <w:lang w:val="en-GB"/>
        </w:rPr>
        <w:t>geared</w:t>
      </w:r>
      <w:r w:rsidR="004F49FE">
        <w:rPr>
          <w:rFonts w:ascii="HelveticaNeueLT Std" w:hAnsi="HelveticaNeueLT Std"/>
          <w:lang w:val="en-GB"/>
        </w:rPr>
        <w:t xml:space="preserve"> towards</w:t>
      </w:r>
      <w:r w:rsidR="00E61B67" w:rsidRPr="00E61B67">
        <w:rPr>
          <w:rFonts w:ascii="HelveticaNeueLT Std" w:hAnsi="HelveticaNeueLT Std"/>
          <w:lang w:val="en-GB"/>
        </w:rPr>
        <w:t xml:space="preserve"> harmonization and </w:t>
      </w:r>
      <w:r w:rsidR="00E61B67">
        <w:rPr>
          <w:rFonts w:ascii="HelveticaNeueLT Std" w:hAnsi="HelveticaNeueLT Std"/>
          <w:lang w:val="en-GB"/>
        </w:rPr>
        <w:t xml:space="preserve">full </w:t>
      </w:r>
      <w:r w:rsidR="00E61B67" w:rsidRPr="00E61B67">
        <w:rPr>
          <w:rFonts w:ascii="HelveticaNeueLT Std" w:hAnsi="HelveticaNeueLT Std"/>
          <w:lang w:val="en-GB"/>
        </w:rPr>
        <w:t>inter-operability</w:t>
      </w:r>
      <w:r w:rsidR="00E61B67">
        <w:rPr>
          <w:rFonts w:ascii="HelveticaNeueLT Std" w:hAnsi="HelveticaNeueLT Std"/>
          <w:lang w:val="en-GB"/>
        </w:rPr>
        <w:t xml:space="preserve"> of sustainability disclosure </w:t>
      </w:r>
      <w:r w:rsidR="00E61B67" w:rsidRPr="00E61B67">
        <w:rPr>
          <w:rFonts w:ascii="HelveticaNeueLT Std" w:hAnsi="HelveticaNeueLT Std"/>
          <w:lang w:val="en-GB"/>
        </w:rPr>
        <w:t xml:space="preserve">and </w:t>
      </w:r>
      <w:r w:rsidR="00CB31CE">
        <w:rPr>
          <w:rFonts w:ascii="HelveticaNeueLT Std" w:hAnsi="HelveticaNeueLT Std"/>
          <w:lang w:val="en-GB"/>
        </w:rPr>
        <w:t>assurance standards</w:t>
      </w:r>
      <w:r w:rsidR="004F49FE">
        <w:rPr>
          <w:rFonts w:ascii="HelveticaNeueLT Std" w:hAnsi="HelveticaNeueLT Std"/>
          <w:lang w:val="en-GB"/>
        </w:rPr>
        <w:t xml:space="preserve"> </w:t>
      </w:r>
      <w:r w:rsidR="007C3D34">
        <w:rPr>
          <w:rFonts w:ascii="HelveticaNeueLT Std" w:hAnsi="HelveticaNeueLT Std"/>
          <w:lang w:val="en-GB"/>
        </w:rPr>
        <w:t xml:space="preserve">are necessary.    </w:t>
      </w:r>
    </w:p>
    <w:p w14:paraId="1B5993E0" w14:textId="532E5D20" w:rsidR="00FA1B1B" w:rsidRDefault="00DD2C97" w:rsidP="00145F9C">
      <w:pPr>
        <w:pStyle w:val="ListParagraph"/>
        <w:numPr>
          <w:ilvl w:val="0"/>
          <w:numId w:val="29"/>
        </w:numPr>
        <w:spacing w:line="276" w:lineRule="auto"/>
        <w:ind w:left="357" w:hanging="357"/>
        <w:contextualSpacing w:val="0"/>
        <w:jc w:val="both"/>
        <w:rPr>
          <w:rFonts w:ascii="HelveticaNeueLT Std" w:hAnsi="HelveticaNeueLT Std"/>
          <w:lang w:val="en-GB"/>
        </w:rPr>
      </w:pPr>
      <w:r w:rsidRPr="006C659C">
        <w:rPr>
          <w:rFonts w:ascii="HelveticaNeueLT Std" w:hAnsi="HelveticaNeueLT Std"/>
          <w:b/>
          <w:bCs/>
          <w:lang w:val="en-GB"/>
        </w:rPr>
        <w:t xml:space="preserve">Fast-tracking reform of </w:t>
      </w:r>
      <w:r w:rsidR="00FA1B1B">
        <w:rPr>
          <w:rFonts w:ascii="HelveticaNeueLT Std" w:hAnsi="HelveticaNeueLT Std"/>
          <w:b/>
          <w:bCs/>
          <w:lang w:val="en-GB"/>
        </w:rPr>
        <w:t>IIAs</w:t>
      </w:r>
      <w:r w:rsidRPr="006C659C">
        <w:rPr>
          <w:rFonts w:ascii="HelveticaNeueLT Std" w:hAnsi="HelveticaNeueLT Std"/>
          <w:lang w:val="en-GB"/>
        </w:rPr>
        <w:t>. Old-generation IIAs continue to dominate and form the basis of most investor-State dispute settlement cases. Fast-tracking IIA reform is necessary to ensure that the IIA regime works for – rather than impedes – sustainable development objectives.</w:t>
      </w:r>
    </w:p>
    <w:p w14:paraId="1C17F2B2" w14:textId="77777777" w:rsidR="00FA1B1B" w:rsidRDefault="00DD2C97" w:rsidP="00145F9C">
      <w:pPr>
        <w:pStyle w:val="ListParagraph"/>
        <w:numPr>
          <w:ilvl w:val="0"/>
          <w:numId w:val="29"/>
        </w:numPr>
        <w:spacing w:line="276" w:lineRule="auto"/>
        <w:ind w:left="357" w:hanging="357"/>
        <w:contextualSpacing w:val="0"/>
        <w:jc w:val="both"/>
        <w:rPr>
          <w:rFonts w:ascii="HelveticaNeueLT Std" w:hAnsi="HelveticaNeueLT Std"/>
          <w:lang w:val="en-GB"/>
        </w:rPr>
      </w:pPr>
      <w:r w:rsidRPr="006C659C">
        <w:rPr>
          <w:rFonts w:ascii="HelveticaNeueLT Std" w:hAnsi="HelveticaNeueLT Std"/>
          <w:b/>
          <w:bCs/>
          <w:lang w:val="en-GB"/>
        </w:rPr>
        <w:t>Building capacity to design bankable projects in sectors aligned with the SDGs</w:t>
      </w:r>
      <w:r w:rsidRPr="006C659C">
        <w:rPr>
          <w:rFonts w:ascii="HelveticaNeueLT Std" w:hAnsi="HelveticaNeueLT Std"/>
          <w:lang w:val="en-GB"/>
        </w:rPr>
        <w:t>. Investors increasingly demand investment-ready projects, viewing them as essential tools for making informed decisions about potential ventures and their locations. These projects also provide an opportunity to integrate sustainability criteria from the outset, ensuring that environmental and social considerations are embedded in the planning stages.</w:t>
      </w:r>
    </w:p>
    <w:p w14:paraId="48A52F7D" w14:textId="7F115498" w:rsidR="006449CF" w:rsidRDefault="006449CF" w:rsidP="00145F9C">
      <w:pPr>
        <w:pStyle w:val="ListParagraph"/>
        <w:numPr>
          <w:ilvl w:val="0"/>
          <w:numId w:val="29"/>
        </w:numPr>
        <w:spacing w:line="276" w:lineRule="auto"/>
        <w:ind w:left="357" w:hanging="357"/>
        <w:contextualSpacing w:val="0"/>
        <w:jc w:val="both"/>
        <w:rPr>
          <w:rFonts w:ascii="HelveticaNeueLT Std" w:hAnsi="HelveticaNeueLT Std"/>
          <w:lang w:val="en-GB"/>
        </w:rPr>
      </w:pPr>
      <w:r w:rsidRPr="00720B00">
        <w:rPr>
          <w:rFonts w:ascii="HelveticaNeueLT Std" w:hAnsi="HelveticaNeueLT Std"/>
          <w:b/>
          <w:bCs/>
          <w:lang w:val="en-GB"/>
        </w:rPr>
        <w:t>Support developing countries to respond to historic shifts in the investment –</w:t>
      </w:r>
      <w:r w:rsidRPr="00F95210">
        <w:rPr>
          <w:rFonts w:ascii="HelveticaNeueLT Std" w:hAnsi="HelveticaNeueLT Std"/>
          <w:b/>
          <w:bCs/>
          <w:lang w:val="en-GB"/>
        </w:rPr>
        <w:t xml:space="preserve"> tax landscape.</w:t>
      </w:r>
      <w:r w:rsidRPr="00720B00">
        <w:rPr>
          <w:rFonts w:ascii="HelveticaNeueLT Std" w:hAnsi="HelveticaNeueLT Std"/>
          <w:lang w:val="en-GB"/>
        </w:rPr>
        <w:t xml:space="preserve"> </w:t>
      </w:r>
      <w:r>
        <w:rPr>
          <w:rFonts w:ascii="HelveticaNeueLT Std" w:hAnsi="HelveticaNeueLT Std"/>
          <w:lang w:val="en-GB"/>
        </w:rPr>
        <w:t>M</w:t>
      </w:r>
      <w:r w:rsidRPr="00720B00">
        <w:rPr>
          <w:rFonts w:ascii="HelveticaNeueLT Std" w:hAnsi="HelveticaNeueLT Std"/>
        </w:rPr>
        <w:t xml:space="preserve">any institutions face challenges not only in evaluating policy options and implementing complex </w:t>
      </w:r>
      <w:r>
        <w:rPr>
          <w:rFonts w:ascii="HelveticaNeueLT Std" w:hAnsi="HelveticaNeueLT Std"/>
        </w:rPr>
        <w:t xml:space="preserve">international </w:t>
      </w:r>
      <w:r w:rsidRPr="00720B00">
        <w:rPr>
          <w:rFonts w:ascii="HelveticaNeueLT Std" w:hAnsi="HelveticaNeueLT Std"/>
        </w:rPr>
        <w:t xml:space="preserve">tax reforms but also in adjusting investment </w:t>
      </w:r>
      <w:r>
        <w:rPr>
          <w:rFonts w:ascii="HelveticaNeueLT Std" w:hAnsi="HelveticaNeueLT Std"/>
        </w:rPr>
        <w:t>strategies</w:t>
      </w:r>
      <w:r w:rsidRPr="00720B00">
        <w:rPr>
          <w:rFonts w:ascii="HelveticaNeueLT Std" w:hAnsi="HelveticaNeueLT Std"/>
        </w:rPr>
        <w:t xml:space="preserve"> accordingly. International support and technical assistance will be essential to help them realize the benefits of these reforms while minimizing any negative impacts on private investment for sustainable development.</w:t>
      </w:r>
    </w:p>
    <w:p w14:paraId="67D6886F" w14:textId="7A2019D9" w:rsidR="002A0A17" w:rsidRPr="002A0A17" w:rsidRDefault="00473833" w:rsidP="006D5195">
      <w:pPr>
        <w:pStyle w:val="ListParagraph"/>
        <w:numPr>
          <w:ilvl w:val="0"/>
          <w:numId w:val="29"/>
        </w:numPr>
        <w:ind w:left="357" w:hanging="357"/>
        <w:contextualSpacing w:val="0"/>
        <w:jc w:val="both"/>
        <w:rPr>
          <w:rFonts w:ascii="HelveticaNeueLT Std" w:hAnsi="HelveticaNeueLT Std"/>
          <w:lang w:val="en-GB"/>
        </w:rPr>
      </w:pPr>
      <w:r w:rsidRPr="002A0A17">
        <w:rPr>
          <w:rFonts w:ascii="HelveticaNeueLT Std" w:hAnsi="HelveticaNeueLT Std"/>
          <w:b/>
          <w:bCs/>
          <w:lang w:val="en-GB"/>
        </w:rPr>
        <w:t xml:space="preserve">Leverage </w:t>
      </w:r>
      <w:r w:rsidR="0000315D" w:rsidRPr="002A0A17">
        <w:rPr>
          <w:rFonts w:ascii="HelveticaNeueLT Std" w:hAnsi="HelveticaNeueLT Std"/>
          <w:b/>
          <w:bCs/>
          <w:lang w:val="en-GB"/>
        </w:rPr>
        <w:t>s</w:t>
      </w:r>
      <w:r w:rsidRPr="002A0A17">
        <w:rPr>
          <w:rFonts w:ascii="HelveticaNeueLT Std" w:hAnsi="HelveticaNeueLT Std"/>
          <w:b/>
          <w:bCs/>
          <w:lang w:val="en-GB"/>
        </w:rPr>
        <w:t xml:space="preserve">overeign </w:t>
      </w:r>
      <w:bookmarkStart w:id="1" w:name="_Hlk179309444"/>
      <w:r w:rsidR="0000315D" w:rsidRPr="002A0A17">
        <w:rPr>
          <w:rFonts w:ascii="HelveticaNeueLT Std" w:hAnsi="HelveticaNeueLT Std"/>
          <w:b/>
          <w:bCs/>
          <w:lang w:val="en-GB"/>
        </w:rPr>
        <w:t>w</w:t>
      </w:r>
      <w:r w:rsidRPr="002A0A17">
        <w:rPr>
          <w:rFonts w:ascii="HelveticaNeueLT Std" w:hAnsi="HelveticaNeueLT Std"/>
          <w:b/>
          <w:bCs/>
          <w:lang w:val="en-GB"/>
        </w:rPr>
        <w:t xml:space="preserve">ealth </w:t>
      </w:r>
      <w:r w:rsidR="0000315D" w:rsidRPr="002A0A17">
        <w:rPr>
          <w:rFonts w:ascii="HelveticaNeueLT Std" w:hAnsi="HelveticaNeueLT Std"/>
          <w:b/>
          <w:bCs/>
          <w:lang w:val="en-GB"/>
        </w:rPr>
        <w:t>f</w:t>
      </w:r>
      <w:r w:rsidRPr="002A0A17">
        <w:rPr>
          <w:rFonts w:ascii="HelveticaNeueLT Std" w:hAnsi="HelveticaNeueLT Std"/>
          <w:b/>
          <w:bCs/>
          <w:lang w:val="en-GB"/>
        </w:rPr>
        <w:t xml:space="preserve">unds (SWFs) and </w:t>
      </w:r>
      <w:r w:rsidR="00FE507D" w:rsidRPr="002A0A17">
        <w:rPr>
          <w:rFonts w:ascii="HelveticaNeueLT Std" w:hAnsi="HelveticaNeueLT Std"/>
          <w:b/>
          <w:bCs/>
          <w:lang w:val="en-GB"/>
        </w:rPr>
        <w:t>institutional investors</w:t>
      </w:r>
      <w:bookmarkEnd w:id="1"/>
      <w:r w:rsidR="00FE507D" w:rsidRPr="002A0A17">
        <w:rPr>
          <w:rFonts w:ascii="HelveticaNeueLT Std" w:hAnsi="HelveticaNeueLT Std"/>
          <w:b/>
          <w:bCs/>
          <w:lang w:val="en-GB"/>
        </w:rPr>
        <w:t>:</w:t>
      </w:r>
      <w:r w:rsidR="00FE507D">
        <w:rPr>
          <w:rFonts w:ascii="HelveticaNeueLT Std" w:hAnsi="HelveticaNeueLT Std"/>
          <w:i/>
          <w:iCs/>
          <w:lang w:val="en-GB"/>
        </w:rPr>
        <w:t xml:space="preserve"> </w:t>
      </w:r>
      <w:bookmarkStart w:id="2" w:name="_Hlk179310701"/>
      <w:r w:rsidRPr="00FE507D">
        <w:rPr>
          <w:rFonts w:ascii="HelveticaNeueLT Std" w:hAnsi="HelveticaNeueLT Std"/>
          <w:lang w:val="en-GB"/>
        </w:rPr>
        <w:t xml:space="preserve">SWFs and </w:t>
      </w:r>
      <w:r w:rsidR="00FE507D" w:rsidRPr="00FE507D">
        <w:rPr>
          <w:rFonts w:ascii="HelveticaNeueLT Std" w:hAnsi="HelveticaNeueLT Std"/>
          <w:lang w:val="en-GB"/>
        </w:rPr>
        <w:t xml:space="preserve">institutional investors </w:t>
      </w:r>
      <w:r w:rsidRPr="00FE507D">
        <w:rPr>
          <w:rFonts w:ascii="HelveticaNeueLT Std" w:hAnsi="HelveticaNeueLT Std"/>
          <w:lang w:val="en-GB"/>
        </w:rPr>
        <w:t xml:space="preserve">possess substantial capital that can be directed toward strategic infrastructure and SDG-related projects. </w:t>
      </w:r>
      <w:r w:rsidR="00FE507D">
        <w:rPr>
          <w:rFonts w:ascii="HelveticaNeueLT Std" w:hAnsi="HelveticaNeueLT Std"/>
          <w:lang w:val="en-GB"/>
        </w:rPr>
        <w:t>Leveraging</w:t>
      </w:r>
      <w:r w:rsidRPr="00FE507D">
        <w:rPr>
          <w:rFonts w:ascii="HelveticaNeueLT Std" w:hAnsi="HelveticaNeueLT Std"/>
          <w:lang w:val="en-GB"/>
        </w:rPr>
        <w:t xml:space="preserve"> these funds can address investment gaps</w:t>
      </w:r>
      <w:r w:rsidR="00FE507D">
        <w:rPr>
          <w:rFonts w:ascii="HelveticaNeueLT Std" w:hAnsi="HelveticaNeueLT Std"/>
          <w:lang w:val="en-GB"/>
        </w:rPr>
        <w:t>, if</w:t>
      </w:r>
      <w:r w:rsidRPr="00FE507D">
        <w:rPr>
          <w:rFonts w:ascii="HelveticaNeueLT Std" w:hAnsi="HelveticaNeueLT Std"/>
          <w:lang w:val="en-GB"/>
        </w:rPr>
        <w:t xml:space="preserve"> a portion of their assets </w:t>
      </w:r>
      <w:r w:rsidR="00FE507D">
        <w:rPr>
          <w:rFonts w:ascii="HelveticaNeueLT Std" w:hAnsi="HelveticaNeueLT Std"/>
          <w:lang w:val="en-GB"/>
        </w:rPr>
        <w:t xml:space="preserve">can be allocated to large </w:t>
      </w:r>
      <w:r w:rsidRPr="00FE507D">
        <w:rPr>
          <w:rFonts w:ascii="HelveticaNeueLT Std" w:hAnsi="HelveticaNeueLT Std"/>
          <w:lang w:val="en-GB"/>
        </w:rPr>
        <w:t xml:space="preserve">infrastructure and SDG projects. </w:t>
      </w:r>
      <w:r w:rsidR="00FE507D">
        <w:rPr>
          <w:rFonts w:ascii="HelveticaNeueLT Std" w:hAnsi="HelveticaNeueLT Std"/>
          <w:lang w:val="en-GB"/>
        </w:rPr>
        <w:t xml:space="preserve"> More </w:t>
      </w:r>
      <w:r w:rsidRPr="00FE507D">
        <w:rPr>
          <w:rFonts w:ascii="HelveticaNeueLT Std" w:hAnsi="HelveticaNeueLT Std"/>
          <w:lang w:val="en-GB"/>
        </w:rPr>
        <w:t xml:space="preserve">de-risking </w:t>
      </w:r>
      <w:r w:rsidR="00FE507D">
        <w:rPr>
          <w:rFonts w:ascii="HelveticaNeueLT Std" w:hAnsi="HelveticaNeueLT Std"/>
          <w:lang w:val="en-GB"/>
        </w:rPr>
        <w:t xml:space="preserve">initiatives need to be developed to leverage </w:t>
      </w:r>
      <w:r w:rsidR="002A0A17">
        <w:rPr>
          <w:rFonts w:ascii="HelveticaNeueLT Std" w:hAnsi="HelveticaNeueLT Std"/>
          <w:lang w:val="en-GB"/>
        </w:rPr>
        <w:t>this long-term institutional investment</w:t>
      </w:r>
      <w:r w:rsidRPr="00FE507D">
        <w:rPr>
          <w:rFonts w:ascii="HelveticaNeueLT Std" w:hAnsi="HelveticaNeueLT Std"/>
          <w:lang w:val="en-GB"/>
        </w:rPr>
        <w:t>.</w:t>
      </w:r>
      <w:r w:rsidR="002A0A17" w:rsidRPr="00145F9C">
        <w:rPr>
          <w:rFonts w:ascii="HelveticaNeueLT Std" w:hAnsi="HelveticaNeueLT Std"/>
          <w:lang w:val="en-GB"/>
        </w:rPr>
        <w:t xml:space="preserve"> </w:t>
      </w:r>
      <w:r w:rsidR="00D47176" w:rsidRPr="00D47176">
        <w:rPr>
          <w:rFonts w:ascii="HelveticaNeueLT Std" w:hAnsi="HelveticaNeueLT Std"/>
          <w:lang w:val="en-GB"/>
        </w:rPr>
        <w:t>Additionally, in many developing economies, SWFs remain largely portfolio investors and face an urgent need to transform into strategic investors in key SDG sectors. Policy and technical support will be needed to facilitate this transformation</w:t>
      </w:r>
      <w:r w:rsidR="006E4821">
        <w:rPr>
          <w:rFonts w:ascii="HelveticaNeueLT Std" w:hAnsi="HelveticaNeueLT Std"/>
          <w:lang w:val="en-GB"/>
        </w:rPr>
        <w:t>.</w:t>
      </w:r>
    </w:p>
    <w:p w14:paraId="65807C69" w14:textId="078053AD" w:rsidR="00893C1F" w:rsidRPr="0069253A" w:rsidRDefault="002A0A17" w:rsidP="00145F9C">
      <w:pPr>
        <w:pStyle w:val="ListParagraph"/>
        <w:numPr>
          <w:ilvl w:val="0"/>
          <w:numId w:val="29"/>
        </w:numPr>
        <w:ind w:left="357" w:hanging="357"/>
        <w:contextualSpacing w:val="0"/>
        <w:rPr>
          <w:lang w:val="en-GB"/>
        </w:rPr>
      </w:pPr>
      <w:r w:rsidRPr="006C659C">
        <w:rPr>
          <w:rFonts w:ascii="HelveticaNeueLT Std" w:hAnsi="HelveticaNeueLT Std"/>
          <w:b/>
          <w:bCs/>
          <w:lang w:val="en-GB"/>
        </w:rPr>
        <w:t>Support for outward investment from developed countries</w:t>
      </w:r>
      <w:r w:rsidRPr="00FE507D">
        <w:rPr>
          <w:rFonts w:ascii="HelveticaNeueLT Std" w:hAnsi="HelveticaNeueLT Std"/>
          <w:lang w:val="en-GB"/>
        </w:rPr>
        <w:t>. The number of countries that actively promote outward investment to developing countries remains limited. This highlights an opportunity to expand outward investment programmes that support international development by facilitating domestic enterprises to engage in overseas investments that contribute to sustainable development in the countries</w:t>
      </w:r>
      <w:r>
        <w:rPr>
          <w:rFonts w:ascii="HelveticaNeueLT Std" w:hAnsi="HelveticaNeueLT Std"/>
          <w:lang w:val="en-GB"/>
        </w:rPr>
        <w:t>.</w:t>
      </w:r>
      <w:bookmarkEnd w:id="2"/>
    </w:p>
    <w:p w14:paraId="3F9E6977" w14:textId="6FA6BA4B" w:rsidR="00E1640B" w:rsidRPr="006C659C" w:rsidRDefault="081A7F1C" w:rsidP="00145F9C">
      <w:pPr>
        <w:spacing w:before="240" w:after="240"/>
        <w:rPr>
          <w:lang w:val="en-GB"/>
        </w:rPr>
      </w:pPr>
      <w:r w:rsidRPr="0069253A">
        <w:rPr>
          <w:rFonts w:ascii="HelveticaNeueLT Std" w:hAnsi="HelveticaNeueLT Std"/>
          <w:b/>
          <w:bCs/>
          <w:color w:val="079FDC"/>
          <w:lang w:val="en-GB"/>
        </w:rPr>
        <w:t xml:space="preserve">Specific </w:t>
      </w:r>
      <w:r w:rsidR="7BC9008D" w:rsidRPr="0069253A">
        <w:rPr>
          <w:rFonts w:ascii="HelveticaNeueLT Std" w:hAnsi="HelveticaNeueLT Std"/>
          <w:b/>
          <w:bCs/>
          <w:color w:val="079FDC"/>
          <w:lang w:val="en-GB"/>
        </w:rPr>
        <w:t>r</w:t>
      </w:r>
      <w:r w:rsidR="00174569" w:rsidRPr="0069253A">
        <w:rPr>
          <w:rFonts w:ascii="HelveticaNeueLT Std" w:hAnsi="HelveticaNeueLT Std"/>
          <w:b/>
          <w:bCs/>
          <w:color w:val="079FDC"/>
          <w:lang w:val="en-GB"/>
        </w:rPr>
        <w:t xml:space="preserve">ecommendations for </w:t>
      </w:r>
      <w:r w:rsidR="00E026D5" w:rsidRPr="0069253A">
        <w:rPr>
          <w:rFonts w:ascii="HelveticaNeueLT Std" w:hAnsi="HelveticaNeueLT Std"/>
          <w:b/>
          <w:bCs/>
          <w:color w:val="079FDC"/>
          <w:lang w:val="en-GB"/>
        </w:rPr>
        <w:t>F</w:t>
      </w:r>
      <w:r w:rsidR="00E026D5">
        <w:rPr>
          <w:rFonts w:ascii="HelveticaNeueLT Std" w:hAnsi="HelveticaNeueLT Std"/>
          <w:b/>
          <w:bCs/>
          <w:color w:val="079FDC"/>
          <w:lang w:val="en-GB"/>
        </w:rPr>
        <w:t>f</w:t>
      </w:r>
      <w:r w:rsidR="00E026D5" w:rsidRPr="0069253A">
        <w:rPr>
          <w:rFonts w:ascii="HelveticaNeueLT Std" w:hAnsi="HelveticaNeueLT Std"/>
          <w:b/>
          <w:bCs/>
          <w:color w:val="079FDC"/>
          <w:lang w:val="en-GB"/>
        </w:rPr>
        <w:t xml:space="preserve">D4 </w:t>
      </w:r>
      <w:r w:rsidR="002F4A33" w:rsidRPr="0069253A">
        <w:rPr>
          <w:rFonts w:ascii="HelveticaNeueLT Std" w:hAnsi="HelveticaNeueLT Std"/>
          <w:b/>
          <w:bCs/>
          <w:color w:val="079FDC"/>
          <w:lang w:val="en-GB"/>
        </w:rPr>
        <w:t>(</w:t>
      </w:r>
      <w:r w:rsidR="62705FD3" w:rsidRPr="0069253A">
        <w:rPr>
          <w:rFonts w:ascii="HelveticaNeueLT Std" w:hAnsi="HelveticaNeueLT Std"/>
          <w:b/>
          <w:bCs/>
          <w:color w:val="079FDC"/>
          <w:lang w:val="en-GB"/>
        </w:rPr>
        <w:t>3</w:t>
      </w:r>
      <w:r w:rsidR="002F4A33" w:rsidRPr="0069253A">
        <w:rPr>
          <w:rFonts w:ascii="HelveticaNeueLT Std" w:hAnsi="HelveticaNeueLT Std"/>
          <w:b/>
          <w:bCs/>
          <w:color w:val="079FDC"/>
          <w:lang w:val="en-GB"/>
        </w:rPr>
        <w:t>00 words)</w:t>
      </w:r>
      <w:r w:rsidR="002A2FFB" w:rsidRPr="0069253A">
        <w:rPr>
          <w:rFonts w:ascii="HelveticaNeueLT Std" w:hAnsi="HelveticaNeueLT Std"/>
          <w:b/>
          <w:bCs/>
          <w:color w:val="079FDC"/>
          <w:lang w:val="en-GB"/>
        </w:rPr>
        <w:t xml:space="preserve"> </w:t>
      </w:r>
    </w:p>
    <w:p w14:paraId="5C05547D" w14:textId="71709770" w:rsidR="00904F67" w:rsidRPr="002A0A17" w:rsidRDefault="00DD09B7" w:rsidP="00145F9C">
      <w:pPr>
        <w:pStyle w:val="ListParagraph"/>
        <w:numPr>
          <w:ilvl w:val="0"/>
          <w:numId w:val="27"/>
        </w:numPr>
        <w:spacing w:line="276" w:lineRule="auto"/>
        <w:ind w:left="357" w:hanging="357"/>
        <w:contextualSpacing w:val="0"/>
        <w:jc w:val="both"/>
        <w:rPr>
          <w:rFonts w:ascii="HelveticaNeueLT Std" w:hAnsi="HelveticaNeueLT Std"/>
          <w:lang w:val="en-GB"/>
        </w:rPr>
      </w:pPr>
      <w:r w:rsidRPr="002A0A17">
        <w:rPr>
          <w:rFonts w:ascii="HelveticaNeueLT Std" w:hAnsi="HelveticaNeueLT Std"/>
          <w:b/>
          <w:bCs/>
          <w:lang w:val="en-GB"/>
        </w:rPr>
        <w:lastRenderedPageBreak/>
        <w:t xml:space="preserve">Establishing </w:t>
      </w:r>
      <w:proofErr w:type="gramStart"/>
      <w:r w:rsidRPr="002A0A17">
        <w:rPr>
          <w:rFonts w:ascii="HelveticaNeueLT Std" w:hAnsi="HelveticaNeueLT Std"/>
          <w:b/>
          <w:bCs/>
          <w:lang w:val="en-GB"/>
        </w:rPr>
        <w:t>a</w:t>
      </w:r>
      <w:proofErr w:type="gramEnd"/>
      <w:r w:rsidRPr="002A0A17">
        <w:rPr>
          <w:rFonts w:ascii="HelveticaNeueLT Std" w:hAnsi="HelveticaNeueLT Std"/>
          <w:b/>
          <w:bCs/>
          <w:lang w:val="en-GB"/>
        </w:rPr>
        <w:t xml:space="preserve"> </w:t>
      </w:r>
      <w:r w:rsidR="0009643D" w:rsidRPr="002A0A17">
        <w:rPr>
          <w:rFonts w:ascii="HelveticaNeueLT Std" w:hAnsi="HelveticaNeueLT Std"/>
          <w:b/>
          <w:bCs/>
          <w:lang w:val="en-GB"/>
        </w:rPr>
        <w:t xml:space="preserve">UN-led </w:t>
      </w:r>
      <w:r w:rsidR="00EC27CD" w:rsidRPr="002A0A17">
        <w:rPr>
          <w:rFonts w:ascii="HelveticaNeueLT Std" w:hAnsi="HelveticaNeueLT Std"/>
          <w:b/>
          <w:bCs/>
          <w:lang w:val="en-GB"/>
        </w:rPr>
        <w:t>Task Force on Sovereign wealth funds (SWFs) and institutional investors, build on the UNCTAD Sustainable Institutional Investor platform.</w:t>
      </w:r>
      <w:r w:rsidR="00EC27CD">
        <w:rPr>
          <w:rFonts w:ascii="HelveticaNeueLT Std" w:hAnsi="HelveticaNeueLT Std"/>
          <w:i/>
          <w:iCs/>
          <w:lang w:val="en-GB"/>
        </w:rPr>
        <w:t xml:space="preserve">  </w:t>
      </w:r>
      <w:r w:rsidR="00EC27CD" w:rsidRPr="002A0A17">
        <w:rPr>
          <w:rFonts w:ascii="HelveticaNeueLT Std" w:hAnsi="HelveticaNeueLT Std"/>
          <w:lang w:val="en-GB"/>
        </w:rPr>
        <w:t xml:space="preserve">The task </w:t>
      </w:r>
      <w:r w:rsidR="006C659C" w:rsidRPr="002A0A17">
        <w:rPr>
          <w:rFonts w:ascii="HelveticaNeueLT Std" w:hAnsi="HelveticaNeueLT Std"/>
          <w:lang w:val="en-GB"/>
        </w:rPr>
        <w:t xml:space="preserve">force should work with </w:t>
      </w:r>
      <w:r w:rsidR="003F44D8" w:rsidRPr="002A0A17">
        <w:rPr>
          <w:rFonts w:ascii="HelveticaNeueLT Std" w:hAnsi="HelveticaNeueLT Std"/>
          <w:lang w:val="en-GB"/>
        </w:rPr>
        <w:t xml:space="preserve">the full range of </w:t>
      </w:r>
      <w:r w:rsidR="004437DE" w:rsidRPr="002A0A17">
        <w:rPr>
          <w:rFonts w:ascii="HelveticaNeueLT Std" w:hAnsi="HelveticaNeueLT Std"/>
          <w:lang w:val="en-GB"/>
        </w:rPr>
        <w:t xml:space="preserve">investment </w:t>
      </w:r>
      <w:r w:rsidR="00371178" w:rsidRPr="002A0A17">
        <w:rPr>
          <w:rFonts w:ascii="HelveticaNeueLT Std" w:hAnsi="HelveticaNeueLT Std"/>
          <w:lang w:val="en-GB"/>
        </w:rPr>
        <w:t>policymakers</w:t>
      </w:r>
      <w:r w:rsidR="006C659C" w:rsidRPr="002A0A17">
        <w:rPr>
          <w:rFonts w:ascii="HelveticaNeueLT Std" w:hAnsi="HelveticaNeueLT Std"/>
          <w:lang w:val="en-GB"/>
        </w:rPr>
        <w:t xml:space="preserve"> and </w:t>
      </w:r>
      <w:r w:rsidR="004437DE" w:rsidRPr="002A0A17">
        <w:rPr>
          <w:rFonts w:ascii="HelveticaNeueLT Std" w:hAnsi="HelveticaNeueLT Std"/>
          <w:lang w:val="en-GB"/>
        </w:rPr>
        <w:t>MDBs</w:t>
      </w:r>
      <w:r w:rsidR="006C659C" w:rsidRPr="002A0A17">
        <w:rPr>
          <w:rFonts w:ascii="HelveticaNeueLT Std" w:hAnsi="HelveticaNeueLT Std"/>
          <w:lang w:val="en-GB"/>
        </w:rPr>
        <w:t>/</w:t>
      </w:r>
      <w:r w:rsidR="004437DE" w:rsidRPr="002A0A17">
        <w:rPr>
          <w:rFonts w:ascii="HelveticaNeueLT Std" w:hAnsi="HelveticaNeueLT Std"/>
          <w:lang w:val="en-GB"/>
        </w:rPr>
        <w:t>DFIs</w:t>
      </w:r>
      <w:r w:rsidR="006C659C" w:rsidRPr="002A0A17">
        <w:rPr>
          <w:rFonts w:ascii="HelveticaNeueLT Std" w:hAnsi="HelveticaNeueLT Std"/>
          <w:lang w:val="en-GB"/>
        </w:rPr>
        <w:t xml:space="preserve"> and private investors to: </w:t>
      </w:r>
    </w:p>
    <w:p w14:paraId="37080CA5" w14:textId="77777777" w:rsidR="002A0A17" w:rsidRDefault="003F44D8" w:rsidP="009679D5">
      <w:pPr>
        <w:pStyle w:val="ListParagraph"/>
        <w:numPr>
          <w:ilvl w:val="1"/>
          <w:numId w:val="27"/>
        </w:numPr>
        <w:spacing w:line="276" w:lineRule="auto"/>
        <w:ind w:left="1077" w:hanging="357"/>
        <w:contextualSpacing w:val="0"/>
        <w:jc w:val="both"/>
        <w:rPr>
          <w:rFonts w:ascii="HelveticaNeueLT Std" w:hAnsi="HelveticaNeueLT Std"/>
          <w:lang w:val="en-GB"/>
        </w:rPr>
      </w:pPr>
      <w:r>
        <w:rPr>
          <w:rFonts w:ascii="HelveticaNeueLT Std" w:hAnsi="HelveticaNeueLT Std"/>
          <w:lang w:val="en-GB"/>
        </w:rPr>
        <w:t>F</w:t>
      </w:r>
      <w:r w:rsidR="00DD09B7" w:rsidRPr="006C659C">
        <w:rPr>
          <w:rFonts w:ascii="HelveticaNeueLT Std" w:hAnsi="HelveticaNeueLT Std"/>
          <w:lang w:val="en-GB"/>
        </w:rPr>
        <w:t>acilitate knowledge-sharing and foster partnerships and collaborations</w:t>
      </w:r>
      <w:r w:rsidR="002A0A17">
        <w:rPr>
          <w:rFonts w:ascii="HelveticaNeueLT Std" w:hAnsi="HelveticaNeueLT Std"/>
          <w:lang w:val="en-GB"/>
        </w:rPr>
        <w:t xml:space="preserve">; </w:t>
      </w:r>
      <w:r w:rsidR="00DD09B7" w:rsidRPr="006C659C">
        <w:rPr>
          <w:rFonts w:ascii="HelveticaNeueLT Std" w:hAnsi="HelveticaNeueLT Std"/>
          <w:lang w:val="en-GB"/>
        </w:rPr>
        <w:t>advocate for policies and initiatives that promote sustainable investment.</w:t>
      </w:r>
    </w:p>
    <w:p w14:paraId="7A0CE687" w14:textId="2C581961" w:rsidR="00717EC8" w:rsidRPr="002A0A17" w:rsidRDefault="003F44D8" w:rsidP="009679D5">
      <w:pPr>
        <w:pStyle w:val="ListParagraph"/>
        <w:numPr>
          <w:ilvl w:val="1"/>
          <w:numId w:val="27"/>
        </w:numPr>
        <w:spacing w:line="276" w:lineRule="auto"/>
        <w:ind w:left="1077" w:hanging="357"/>
        <w:contextualSpacing w:val="0"/>
        <w:jc w:val="both"/>
        <w:rPr>
          <w:rFonts w:ascii="HelveticaNeueLT Std" w:hAnsi="HelveticaNeueLT Std"/>
          <w:lang w:val="en-GB"/>
        </w:rPr>
      </w:pPr>
      <w:r w:rsidRPr="002A0A17">
        <w:rPr>
          <w:rFonts w:ascii="HelveticaNeueLT Std" w:hAnsi="HelveticaNeueLT Std"/>
          <w:lang w:val="en-GB"/>
        </w:rPr>
        <w:t xml:space="preserve">Pool resources and expertise to </w:t>
      </w:r>
      <w:r w:rsidR="006C659C" w:rsidRPr="002A0A17">
        <w:rPr>
          <w:rFonts w:ascii="HelveticaNeueLT Std" w:hAnsi="HelveticaNeueLT Std"/>
          <w:lang w:val="en-GB"/>
        </w:rPr>
        <w:t>co-</w:t>
      </w:r>
      <w:r w:rsidRPr="002A0A17">
        <w:rPr>
          <w:rFonts w:ascii="HelveticaNeueLT Std" w:hAnsi="HelveticaNeueLT Std"/>
          <w:lang w:val="en-GB"/>
        </w:rPr>
        <w:t xml:space="preserve">invest in </w:t>
      </w:r>
      <w:r w:rsidR="006C659C" w:rsidRPr="002A0A17">
        <w:rPr>
          <w:rFonts w:ascii="HelveticaNeueLT Std" w:hAnsi="HelveticaNeueLT Std"/>
          <w:lang w:val="en-GB"/>
        </w:rPr>
        <w:t xml:space="preserve">large </w:t>
      </w:r>
      <w:r w:rsidRPr="002A0A17">
        <w:rPr>
          <w:rFonts w:ascii="HelveticaNeueLT Std" w:hAnsi="HelveticaNeueLT Std"/>
          <w:lang w:val="en-GB"/>
        </w:rPr>
        <w:t>infrastructure</w:t>
      </w:r>
      <w:r w:rsidR="006C659C" w:rsidRPr="002A0A17">
        <w:rPr>
          <w:rFonts w:ascii="HelveticaNeueLT Std" w:hAnsi="HelveticaNeueLT Std"/>
          <w:lang w:val="en-GB"/>
        </w:rPr>
        <w:t xml:space="preserve"> and SDG</w:t>
      </w:r>
      <w:r w:rsidRPr="002A0A17">
        <w:rPr>
          <w:rFonts w:ascii="HelveticaNeueLT Std" w:hAnsi="HelveticaNeueLT Std"/>
          <w:lang w:val="en-GB"/>
        </w:rPr>
        <w:t xml:space="preserve"> </w:t>
      </w:r>
      <w:proofErr w:type="gramStart"/>
      <w:r w:rsidRPr="002A0A17">
        <w:rPr>
          <w:rFonts w:ascii="HelveticaNeueLT Std" w:hAnsi="HelveticaNeueLT Std"/>
          <w:lang w:val="en-GB"/>
        </w:rPr>
        <w:t>projects</w:t>
      </w:r>
      <w:r w:rsidR="00857367">
        <w:rPr>
          <w:rFonts w:ascii="HelveticaNeueLT Std" w:hAnsi="HelveticaNeueLT Std"/>
          <w:lang w:val="en-GB"/>
        </w:rPr>
        <w:t>;</w:t>
      </w:r>
      <w:proofErr w:type="gramEnd"/>
    </w:p>
    <w:p w14:paraId="265EBE01" w14:textId="77777777" w:rsidR="002A0A17" w:rsidRDefault="00717EC8" w:rsidP="009679D5">
      <w:pPr>
        <w:pStyle w:val="ListParagraph"/>
        <w:numPr>
          <w:ilvl w:val="1"/>
          <w:numId w:val="27"/>
        </w:numPr>
        <w:spacing w:line="276" w:lineRule="auto"/>
        <w:ind w:left="1077" w:hanging="357"/>
        <w:contextualSpacing w:val="0"/>
        <w:jc w:val="both"/>
        <w:rPr>
          <w:rFonts w:ascii="HelveticaNeueLT Std" w:hAnsi="HelveticaNeueLT Std"/>
          <w:lang w:val="en-GB"/>
        </w:rPr>
      </w:pPr>
      <w:r>
        <w:rPr>
          <w:rFonts w:ascii="HelveticaNeueLT Std" w:hAnsi="HelveticaNeueLT Std"/>
          <w:lang w:val="en-GB"/>
        </w:rPr>
        <w:t>S</w:t>
      </w:r>
      <w:r w:rsidRPr="00717EC8">
        <w:rPr>
          <w:rFonts w:ascii="HelveticaNeueLT Std" w:hAnsi="HelveticaNeueLT Std"/>
          <w:lang w:val="en-GB"/>
        </w:rPr>
        <w:t xml:space="preserve">upport governments in developing robust </w:t>
      </w:r>
      <w:r w:rsidR="002D76E7">
        <w:rPr>
          <w:rFonts w:ascii="HelveticaNeueLT Std" w:hAnsi="HelveticaNeueLT Std"/>
          <w:lang w:val="en-GB"/>
        </w:rPr>
        <w:t xml:space="preserve">risk-reduction </w:t>
      </w:r>
      <w:r w:rsidRPr="00717EC8">
        <w:rPr>
          <w:rFonts w:ascii="HelveticaNeueLT Std" w:hAnsi="HelveticaNeueLT Std"/>
          <w:lang w:val="en-GB"/>
        </w:rPr>
        <w:t>frameworks and credit enhancement mechanisms.</w:t>
      </w:r>
    </w:p>
    <w:p w14:paraId="06A44D88" w14:textId="30F51F12" w:rsidR="0013152F" w:rsidRPr="00DF512D" w:rsidRDefault="006C659C" w:rsidP="009679D5">
      <w:pPr>
        <w:pStyle w:val="ListParagraph"/>
        <w:numPr>
          <w:ilvl w:val="1"/>
          <w:numId w:val="27"/>
        </w:numPr>
        <w:spacing w:line="276" w:lineRule="auto"/>
        <w:ind w:left="1077" w:hanging="357"/>
        <w:contextualSpacing w:val="0"/>
        <w:jc w:val="both"/>
        <w:rPr>
          <w:lang w:val="en-GB"/>
        </w:rPr>
      </w:pPr>
      <w:r w:rsidRPr="002A0A17">
        <w:rPr>
          <w:rFonts w:ascii="HelveticaNeueLT Std" w:hAnsi="HelveticaNeueLT Std"/>
          <w:lang w:val="en-GB"/>
        </w:rPr>
        <w:t>A</w:t>
      </w:r>
      <w:r w:rsidR="0013152F" w:rsidRPr="002A0A17">
        <w:rPr>
          <w:rFonts w:ascii="HelveticaNeueLT Std" w:hAnsi="HelveticaNeueLT Std"/>
          <w:lang w:val="en-GB"/>
        </w:rPr>
        <w:t>dvice and capacity building to help governments</w:t>
      </w:r>
      <w:r w:rsidR="002A0A17">
        <w:rPr>
          <w:rFonts w:ascii="HelveticaNeueLT Std" w:hAnsi="HelveticaNeueLT Std"/>
          <w:lang w:val="en-GB"/>
        </w:rPr>
        <w:t xml:space="preserve"> to</w:t>
      </w:r>
      <w:r w:rsidR="0013152F" w:rsidRPr="002A0A17">
        <w:rPr>
          <w:rFonts w:ascii="HelveticaNeueLT Std" w:hAnsi="HelveticaNeueLT Std"/>
          <w:lang w:val="en-GB"/>
        </w:rPr>
        <w:t xml:space="preserve"> structure and manage PPPs.</w:t>
      </w:r>
    </w:p>
    <w:p w14:paraId="339E8707" w14:textId="7FC81EC4" w:rsidR="00857367" w:rsidRPr="009679D5" w:rsidRDefault="00054D87" w:rsidP="009679D5">
      <w:pPr>
        <w:pStyle w:val="ListParagraph"/>
        <w:numPr>
          <w:ilvl w:val="0"/>
          <w:numId w:val="27"/>
        </w:numPr>
        <w:spacing w:line="276" w:lineRule="auto"/>
        <w:ind w:left="357" w:hanging="357"/>
        <w:contextualSpacing w:val="0"/>
        <w:jc w:val="both"/>
        <w:rPr>
          <w:rFonts w:ascii="HelveticaNeueLT Std" w:hAnsi="HelveticaNeueLT Std"/>
          <w:lang w:val="en-GB"/>
        </w:rPr>
      </w:pPr>
      <w:r w:rsidRPr="002A0A17">
        <w:rPr>
          <w:rFonts w:ascii="HelveticaNeueLT Std" w:hAnsi="HelveticaNeueLT Std"/>
          <w:b/>
          <w:bCs/>
          <w:lang w:val="en-GB"/>
        </w:rPr>
        <w:t xml:space="preserve">Creating an Investment Readiness </w:t>
      </w:r>
      <w:r w:rsidR="002A0A17" w:rsidRPr="002A0A17">
        <w:rPr>
          <w:rFonts w:ascii="HelveticaNeueLT Std" w:hAnsi="HelveticaNeueLT Std"/>
          <w:b/>
          <w:bCs/>
          <w:lang w:val="en-GB"/>
        </w:rPr>
        <w:t>Accelerator</w:t>
      </w:r>
      <w:r w:rsidR="002A0A17">
        <w:rPr>
          <w:rFonts w:ascii="HelveticaNeueLT Std" w:hAnsi="HelveticaNeueLT Std"/>
          <w:b/>
          <w:bCs/>
          <w:lang w:val="en-GB"/>
        </w:rPr>
        <w:t xml:space="preserve">, </w:t>
      </w:r>
      <w:r w:rsidR="002A0A17" w:rsidRPr="002A0A17">
        <w:rPr>
          <w:rFonts w:ascii="HelveticaNeueLT Std" w:hAnsi="HelveticaNeueLT Std"/>
          <w:b/>
          <w:bCs/>
          <w:lang w:val="en-GB"/>
        </w:rPr>
        <w:t>hosted by UNCTAD</w:t>
      </w:r>
      <w:r w:rsidR="00EC27CD" w:rsidRPr="002A0A17">
        <w:rPr>
          <w:rFonts w:ascii="HelveticaNeueLT Std" w:hAnsi="HelveticaNeueLT Std"/>
          <w:b/>
          <w:bCs/>
          <w:lang w:val="en-GB"/>
        </w:rPr>
        <w:t>:</w:t>
      </w:r>
      <w:r w:rsidR="00A15575" w:rsidRPr="006C659C">
        <w:rPr>
          <w:rFonts w:ascii="HelveticaNeueLT Std" w:hAnsi="HelveticaNeueLT Std"/>
          <w:lang w:val="en-GB"/>
        </w:rPr>
        <w:t xml:space="preserve"> </w:t>
      </w:r>
      <w:r w:rsidR="00743412" w:rsidRPr="006C659C">
        <w:rPr>
          <w:rFonts w:ascii="HelveticaNeueLT Std" w:hAnsi="HelveticaNeueLT Std"/>
          <w:lang w:val="en-GB"/>
        </w:rPr>
        <w:t>This</w:t>
      </w:r>
      <w:r w:rsidR="00E45B1E" w:rsidRPr="006C659C">
        <w:rPr>
          <w:rFonts w:ascii="HelveticaNeueLT Std" w:hAnsi="HelveticaNeueLT Std"/>
          <w:lang w:val="en-GB"/>
        </w:rPr>
        <w:t xml:space="preserve"> would assist developing countries in </w:t>
      </w:r>
      <w:r w:rsidR="00B8065F" w:rsidRPr="006C659C">
        <w:rPr>
          <w:rFonts w:ascii="HelveticaNeueLT Std" w:hAnsi="HelveticaNeueLT Std"/>
          <w:lang w:val="en-GB"/>
        </w:rPr>
        <w:t>assessing and removing legal and institutional obsta</w:t>
      </w:r>
      <w:r w:rsidR="00AF59C6" w:rsidRPr="006C659C">
        <w:rPr>
          <w:rFonts w:ascii="HelveticaNeueLT Std" w:hAnsi="HelveticaNeueLT Std"/>
          <w:lang w:val="en-GB"/>
        </w:rPr>
        <w:t>cles to the attraction of investment in key priority sectors</w:t>
      </w:r>
      <w:r w:rsidR="006C659C">
        <w:rPr>
          <w:rFonts w:ascii="HelveticaNeueLT Std" w:hAnsi="HelveticaNeueLT Std"/>
          <w:lang w:val="en-GB"/>
        </w:rPr>
        <w:t xml:space="preserve"> </w:t>
      </w:r>
      <w:r w:rsidR="007721FA" w:rsidRPr="006C659C">
        <w:rPr>
          <w:rFonts w:ascii="HelveticaNeueLT Std" w:hAnsi="HelveticaNeueLT Std"/>
          <w:lang w:val="en-GB"/>
        </w:rPr>
        <w:t xml:space="preserve">and in developing sector-specific strategies and </w:t>
      </w:r>
      <w:r w:rsidR="006C659C">
        <w:rPr>
          <w:rFonts w:ascii="HelveticaNeueLT Std" w:hAnsi="HelveticaNeueLT Std"/>
          <w:lang w:val="en-GB"/>
        </w:rPr>
        <w:t xml:space="preserve">facilitation </w:t>
      </w:r>
      <w:r w:rsidR="005E431E">
        <w:rPr>
          <w:rFonts w:ascii="HelveticaNeueLT Std" w:hAnsi="HelveticaNeueLT Std"/>
          <w:lang w:val="en-GB"/>
        </w:rPr>
        <w:t>tools</w:t>
      </w:r>
      <w:r w:rsidR="00857367">
        <w:rPr>
          <w:rFonts w:ascii="HelveticaNeueLT Std" w:hAnsi="HelveticaNeueLT Std"/>
          <w:lang w:val="en-GB"/>
        </w:rPr>
        <w:t xml:space="preserve">; </w:t>
      </w:r>
      <w:r w:rsidR="007721FA" w:rsidRPr="006C659C">
        <w:rPr>
          <w:rFonts w:ascii="HelveticaNeueLT Std" w:hAnsi="HelveticaNeueLT Std"/>
          <w:lang w:val="en-GB"/>
        </w:rPr>
        <w:t>s</w:t>
      </w:r>
      <w:r w:rsidR="0013152F" w:rsidRPr="006C659C">
        <w:rPr>
          <w:rFonts w:ascii="HelveticaNeueLT Std" w:hAnsi="HelveticaNeueLT Std"/>
          <w:lang w:val="en-GB"/>
        </w:rPr>
        <w:t xml:space="preserve">upport </w:t>
      </w:r>
      <w:r w:rsidR="00EC27CD" w:rsidRPr="00857367">
        <w:rPr>
          <w:rFonts w:ascii="HelveticaNeueLT Std" w:hAnsi="HelveticaNeueLT Std"/>
          <w:b/>
          <w:bCs/>
          <w:lang w:val="en-GB"/>
        </w:rPr>
        <w:t xml:space="preserve">investment facilitation and </w:t>
      </w:r>
      <w:r w:rsidR="0013152F" w:rsidRPr="00857367">
        <w:rPr>
          <w:rFonts w:ascii="HelveticaNeueLT Std" w:hAnsi="HelveticaNeueLT Std"/>
          <w:b/>
          <w:bCs/>
          <w:lang w:val="en-GB"/>
        </w:rPr>
        <w:t>digital government solutions</w:t>
      </w:r>
      <w:r w:rsidR="0013152F" w:rsidRPr="006C659C">
        <w:rPr>
          <w:rFonts w:ascii="HelveticaNeueLT Std" w:hAnsi="HelveticaNeueLT Std"/>
          <w:lang w:val="en-GB"/>
        </w:rPr>
        <w:t xml:space="preserve"> </w:t>
      </w:r>
      <w:r w:rsidR="00857367">
        <w:rPr>
          <w:rFonts w:ascii="HelveticaNeueLT Std" w:hAnsi="HelveticaNeueLT Std"/>
          <w:lang w:val="en-GB"/>
        </w:rPr>
        <w:t xml:space="preserve">to </w:t>
      </w:r>
      <w:r w:rsidR="0013152F" w:rsidRPr="006C659C">
        <w:rPr>
          <w:rFonts w:ascii="HelveticaNeueLT Std" w:hAnsi="HelveticaNeueLT Std"/>
          <w:lang w:val="en-GB"/>
        </w:rPr>
        <w:t>improv</w:t>
      </w:r>
      <w:r w:rsidR="00D50485" w:rsidRPr="006C659C">
        <w:rPr>
          <w:rFonts w:ascii="HelveticaNeueLT Std" w:hAnsi="HelveticaNeueLT Std"/>
          <w:lang w:val="en-GB"/>
        </w:rPr>
        <w:t>e</w:t>
      </w:r>
      <w:r w:rsidR="0013152F" w:rsidRPr="006C659C">
        <w:rPr>
          <w:rFonts w:ascii="HelveticaNeueLT Std" w:hAnsi="HelveticaNeueLT Std"/>
          <w:lang w:val="en-GB"/>
        </w:rPr>
        <w:t xml:space="preserve"> transparency, and enhanc</w:t>
      </w:r>
      <w:r w:rsidR="00D50485" w:rsidRPr="006C659C">
        <w:rPr>
          <w:rFonts w:ascii="HelveticaNeueLT Std" w:hAnsi="HelveticaNeueLT Std"/>
          <w:lang w:val="en-GB"/>
        </w:rPr>
        <w:t>e</w:t>
      </w:r>
      <w:r w:rsidR="0013152F" w:rsidRPr="006C659C">
        <w:rPr>
          <w:rFonts w:ascii="HelveticaNeueLT Std" w:hAnsi="HelveticaNeueLT Std"/>
          <w:lang w:val="en-GB"/>
        </w:rPr>
        <w:t xml:space="preserve"> the overall investment climate</w:t>
      </w:r>
      <w:r w:rsidR="00717EC8">
        <w:rPr>
          <w:rFonts w:ascii="HelveticaNeueLT Std" w:hAnsi="HelveticaNeueLT Std"/>
          <w:lang w:val="en-GB"/>
        </w:rPr>
        <w:t>.</w:t>
      </w:r>
    </w:p>
    <w:p w14:paraId="487D2599" w14:textId="747D3F06" w:rsidR="00717EC8" w:rsidRPr="009679D5" w:rsidRDefault="00857367" w:rsidP="009679D5">
      <w:pPr>
        <w:pStyle w:val="ListParagraph"/>
        <w:numPr>
          <w:ilvl w:val="0"/>
          <w:numId w:val="27"/>
        </w:numPr>
        <w:spacing w:line="276" w:lineRule="auto"/>
        <w:ind w:left="357" w:hanging="357"/>
        <w:contextualSpacing w:val="0"/>
        <w:jc w:val="both"/>
        <w:rPr>
          <w:rFonts w:ascii="HelveticaNeueLT Std" w:hAnsi="HelveticaNeueLT Std"/>
          <w:lang w:val="en-GB"/>
        </w:rPr>
      </w:pPr>
      <w:r w:rsidRPr="00857367">
        <w:rPr>
          <w:rFonts w:ascii="HelveticaNeueLT Std" w:hAnsi="HelveticaNeueLT Std"/>
          <w:b/>
          <w:bCs/>
          <w:lang w:val="en-GB"/>
        </w:rPr>
        <w:t>Launch a multi-Stakeholder initiative for IIA reform.</w:t>
      </w:r>
      <w:r w:rsidRPr="00857367">
        <w:rPr>
          <w:rFonts w:ascii="HelveticaNeueLT Std" w:hAnsi="HelveticaNeueLT Std"/>
          <w:lang w:val="en-GB"/>
        </w:rPr>
        <w:t xml:space="preserve"> Coordinate efforts among UN agencies, and other stakeholders to reform outdated IIAs, focusing on expanding policy space for SDG-related measures and incorporating safeguards for public policy objectives</w:t>
      </w:r>
    </w:p>
    <w:p w14:paraId="42DD7B3F" w14:textId="61DFC1C8" w:rsidR="00EC27CD" w:rsidRPr="009679D5" w:rsidRDefault="00A24F34" w:rsidP="1F165B09">
      <w:pPr>
        <w:pStyle w:val="ListParagraph"/>
        <w:numPr>
          <w:ilvl w:val="0"/>
          <w:numId w:val="27"/>
        </w:numPr>
        <w:spacing w:line="276" w:lineRule="auto"/>
        <w:ind w:left="357" w:hanging="357"/>
        <w:jc w:val="both"/>
        <w:rPr>
          <w:rFonts w:ascii="HelveticaNeueLT Std" w:hAnsi="HelveticaNeueLT Std"/>
        </w:rPr>
      </w:pPr>
      <w:r w:rsidRPr="1F165B09">
        <w:rPr>
          <w:rFonts w:ascii="HelveticaNeueLT Std" w:hAnsi="HelveticaNeueLT Std"/>
          <w:b/>
          <w:bCs/>
        </w:rPr>
        <w:t>Expand outward FDI promotion:</w:t>
      </w:r>
      <w:r w:rsidRPr="1F165B09">
        <w:rPr>
          <w:rFonts w:ascii="HelveticaNeueLT Std" w:hAnsi="HelveticaNeueLT Std"/>
        </w:rPr>
        <w:t xml:space="preserve"> </w:t>
      </w:r>
      <w:r w:rsidR="00857367" w:rsidRPr="1F165B09">
        <w:rPr>
          <w:rFonts w:ascii="HelveticaNeueLT Std" w:hAnsi="HelveticaNeueLT Std"/>
        </w:rPr>
        <w:t xml:space="preserve">This would </w:t>
      </w:r>
      <w:proofErr w:type="gramStart"/>
      <w:r w:rsidR="00F7340A" w:rsidRPr="1F165B09">
        <w:rPr>
          <w:rFonts w:ascii="HelveticaNeueLT Std" w:hAnsi="HelveticaNeueLT Std"/>
        </w:rPr>
        <w:t>involves</w:t>
      </w:r>
      <w:proofErr w:type="gramEnd"/>
      <w:r w:rsidR="00F7340A" w:rsidRPr="1F165B09">
        <w:rPr>
          <w:rFonts w:ascii="HelveticaNeueLT Std" w:hAnsi="HelveticaNeueLT Std"/>
        </w:rPr>
        <w:t xml:space="preserve"> increasing the availability of political-risk insurance and other outward FDI promotion tools,</w:t>
      </w:r>
      <w:r w:rsidR="006C659C" w:rsidRPr="1F165B09">
        <w:rPr>
          <w:rFonts w:ascii="HelveticaNeueLT Std" w:hAnsi="HelveticaNeueLT Std"/>
        </w:rPr>
        <w:t xml:space="preserve"> improving </w:t>
      </w:r>
      <w:r w:rsidR="00F7340A" w:rsidRPr="1F165B09">
        <w:rPr>
          <w:rFonts w:ascii="HelveticaNeueLT Std" w:hAnsi="HelveticaNeueLT Std"/>
        </w:rPr>
        <w:t>sustainability criteria</w:t>
      </w:r>
      <w:r w:rsidR="006C659C" w:rsidRPr="1F165B09">
        <w:rPr>
          <w:rFonts w:ascii="HelveticaNeueLT Std" w:hAnsi="HelveticaNeueLT Std"/>
        </w:rPr>
        <w:t xml:space="preserve"> and </w:t>
      </w:r>
      <w:r w:rsidR="00F7340A" w:rsidRPr="1F165B09">
        <w:rPr>
          <w:rFonts w:ascii="HelveticaNeueLT Std" w:hAnsi="HelveticaNeueLT Std"/>
        </w:rPr>
        <w:t>reporting</w:t>
      </w:r>
      <w:r w:rsidR="006C659C" w:rsidRPr="1F165B09">
        <w:rPr>
          <w:rFonts w:ascii="HelveticaNeueLT Std" w:hAnsi="HelveticaNeueLT Std"/>
        </w:rPr>
        <w:t xml:space="preserve"> of</w:t>
      </w:r>
      <w:r w:rsidR="00F7340A" w:rsidRPr="1F165B09">
        <w:rPr>
          <w:rFonts w:ascii="HelveticaNeueLT Std" w:hAnsi="HelveticaNeueLT Std"/>
        </w:rPr>
        <w:t xml:space="preserve"> export credit agencies</w:t>
      </w:r>
      <w:r w:rsidR="006C659C" w:rsidRPr="1F165B09">
        <w:rPr>
          <w:rFonts w:ascii="HelveticaNeueLT Std" w:hAnsi="HelveticaNeueLT Std"/>
        </w:rPr>
        <w:t xml:space="preserve">.  </w:t>
      </w:r>
    </w:p>
    <w:p w14:paraId="663CDC05" w14:textId="09BF527E" w:rsidR="00EC27CD" w:rsidRPr="009679D5" w:rsidRDefault="00EC27CD" w:rsidP="009679D5">
      <w:pPr>
        <w:pStyle w:val="ListParagraph"/>
        <w:numPr>
          <w:ilvl w:val="0"/>
          <w:numId w:val="27"/>
        </w:numPr>
        <w:spacing w:line="276" w:lineRule="auto"/>
        <w:ind w:left="357" w:hanging="357"/>
        <w:contextualSpacing w:val="0"/>
        <w:jc w:val="both"/>
        <w:rPr>
          <w:rFonts w:ascii="HelveticaNeueLT Std" w:hAnsi="HelveticaNeueLT Std"/>
          <w:lang w:val="en-GB"/>
        </w:rPr>
      </w:pPr>
      <w:r w:rsidRPr="002A0A17">
        <w:rPr>
          <w:rFonts w:ascii="HelveticaNeueLT Std" w:hAnsi="HelveticaNeueLT Std"/>
          <w:b/>
          <w:bCs/>
          <w:lang w:val="en-GB"/>
        </w:rPr>
        <w:t xml:space="preserve">Establish a </w:t>
      </w:r>
      <w:r w:rsidR="007B78A6">
        <w:rPr>
          <w:rFonts w:ascii="HelveticaNeueLT Std" w:hAnsi="HelveticaNeueLT Std"/>
          <w:b/>
          <w:bCs/>
          <w:lang w:val="en-GB"/>
        </w:rPr>
        <w:t xml:space="preserve">consultative </w:t>
      </w:r>
      <w:r w:rsidR="007B78A6" w:rsidRPr="002A0A17">
        <w:rPr>
          <w:rFonts w:ascii="HelveticaNeueLT Std" w:hAnsi="HelveticaNeueLT Std"/>
          <w:b/>
          <w:bCs/>
          <w:lang w:val="en-GB"/>
        </w:rPr>
        <w:t>group</w:t>
      </w:r>
      <w:r w:rsidRPr="002A0A17">
        <w:rPr>
          <w:rFonts w:ascii="HelveticaNeueLT Std" w:hAnsi="HelveticaNeueLT Std"/>
          <w:b/>
          <w:bCs/>
          <w:lang w:val="en-GB"/>
        </w:rPr>
        <w:t xml:space="preserve"> on </w:t>
      </w:r>
      <w:r w:rsidR="00275766">
        <w:rPr>
          <w:rFonts w:ascii="HelveticaNeueLT Std" w:hAnsi="HelveticaNeueLT Std"/>
          <w:b/>
          <w:bCs/>
          <w:lang w:val="en-GB"/>
        </w:rPr>
        <w:t xml:space="preserve">further harmonization of </w:t>
      </w:r>
      <w:r w:rsidRPr="002A0A17">
        <w:rPr>
          <w:rFonts w:ascii="HelveticaNeueLT Std" w:hAnsi="HelveticaNeueLT Std"/>
          <w:b/>
          <w:bCs/>
          <w:lang w:val="en-GB"/>
        </w:rPr>
        <w:t xml:space="preserve">sustainability </w:t>
      </w:r>
      <w:r w:rsidR="00275766">
        <w:rPr>
          <w:rFonts w:ascii="HelveticaNeueLT Std" w:hAnsi="HelveticaNeueLT Std"/>
          <w:b/>
          <w:bCs/>
          <w:lang w:val="en-GB"/>
        </w:rPr>
        <w:t xml:space="preserve">disclosure and assurance </w:t>
      </w:r>
      <w:r w:rsidRPr="002A0A17">
        <w:rPr>
          <w:rFonts w:ascii="HelveticaNeueLT Std" w:hAnsi="HelveticaNeueLT Std"/>
          <w:b/>
          <w:bCs/>
          <w:lang w:val="en-GB"/>
        </w:rPr>
        <w:t xml:space="preserve">standards </w:t>
      </w:r>
      <w:r w:rsidR="00042F3B">
        <w:rPr>
          <w:rFonts w:ascii="HelveticaNeueLT Std" w:hAnsi="HelveticaNeueLT Std"/>
          <w:b/>
          <w:bCs/>
          <w:lang w:val="en-GB"/>
        </w:rPr>
        <w:t xml:space="preserve">and </w:t>
      </w:r>
      <w:r w:rsidR="00021885">
        <w:rPr>
          <w:rFonts w:ascii="HelveticaNeueLT Std" w:hAnsi="HelveticaNeueLT Std"/>
          <w:b/>
          <w:bCs/>
          <w:lang w:val="en-GB"/>
        </w:rPr>
        <w:t xml:space="preserve">on </w:t>
      </w:r>
      <w:r w:rsidR="00021885" w:rsidRPr="002A0A17">
        <w:rPr>
          <w:rFonts w:ascii="HelveticaNeueLT Std" w:hAnsi="HelveticaNeueLT Std"/>
          <w:b/>
          <w:bCs/>
          <w:lang w:val="en-GB"/>
        </w:rPr>
        <w:t>addressing</w:t>
      </w:r>
      <w:r w:rsidRPr="002A0A17">
        <w:rPr>
          <w:rFonts w:ascii="HelveticaNeueLT Std" w:hAnsi="HelveticaNeueLT Std"/>
          <w:b/>
          <w:bCs/>
          <w:lang w:val="en-GB"/>
        </w:rPr>
        <w:t xml:space="preserve"> greenwashing, built on the current work of UNCTAD</w:t>
      </w:r>
      <w:r w:rsidR="00D21D1D">
        <w:rPr>
          <w:rFonts w:ascii="HelveticaNeueLT Std" w:hAnsi="HelveticaNeueLT Std"/>
          <w:b/>
          <w:bCs/>
          <w:lang w:val="en-GB"/>
        </w:rPr>
        <w:t>’s</w:t>
      </w:r>
      <w:r w:rsidR="006A76F7">
        <w:rPr>
          <w:rFonts w:ascii="HelveticaNeueLT Std" w:hAnsi="HelveticaNeueLT Std"/>
          <w:b/>
          <w:bCs/>
          <w:lang w:val="en-GB"/>
        </w:rPr>
        <w:t xml:space="preserve"> </w:t>
      </w:r>
      <w:r w:rsidRPr="002A0A17">
        <w:rPr>
          <w:rFonts w:ascii="HelveticaNeueLT Std" w:hAnsi="HelveticaNeueLT Std"/>
          <w:b/>
          <w:bCs/>
          <w:lang w:val="en-GB"/>
        </w:rPr>
        <w:t xml:space="preserve">Inter-governmental Working Group </w:t>
      </w:r>
      <w:r w:rsidR="00D21D1D">
        <w:rPr>
          <w:rFonts w:ascii="HelveticaNeueLT Std" w:hAnsi="HelveticaNeueLT Std"/>
          <w:b/>
          <w:bCs/>
          <w:lang w:val="en-GB"/>
        </w:rPr>
        <w:t xml:space="preserve">of Experts on International Standards of Accounting and Reporting </w:t>
      </w:r>
      <w:r w:rsidRPr="002A0A17">
        <w:rPr>
          <w:rFonts w:ascii="HelveticaNeueLT Std" w:hAnsi="HelveticaNeueLT Std"/>
          <w:b/>
          <w:bCs/>
          <w:lang w:val="en-GB"/>
        </w:rPr>
        <w:t>(ISAR),</w:t>
      </w:r>
      <w:r>
        <w:rPr>
          <w:rFonts w:ascii="HelveticaNeueLT Std" w:hAnsi="HelveticaNeueLT Std"/>
          <w:lang w:val="en-GB"/>
        </w:rPr>
        <w:t xml:space="preserve"> to provide more resources on consensus building, capacity building and </w:t>
      </w:r>
      <w:proofErr w:type="gramStart"/>
      <w:r w:rsidRPr="00EC27CD">
        <w:rPr>
          <w:rFonts w:ascii="HelveticaNeueLT Std" w:hAnsi="HelveticaNeueLT Std"/>
          <w:lang w:val="en-GB"/>
        </w:rPr>
        <w:t>more  education</w:t>
      </w:r>
      <w:proofErr w:type="gramEnd"/>
      <w:r w:rsidR="007E6702">
        <w:rPr>
          <w:rFonts w:ascii="HelveticaNeueLT Std" w:hAnsi="HelveticaNeueLT Std"/>
          <w:lang w:val="en-GB"/>
        </w:rPr>
        <w:t xml:space="preserve"> and training of preparers and users of sustainability reports</w:t>
      </w:r>
      <w:r>
        <w:rPr>
          <w:rFonts w:ascii="HelveticaNeueLT Std" w:hAnsi="HelveticaNeueLT Std"/>
          <w:lang w:val="en-GB"/>
        </w:rPr>
        <w:t xml:space="preserve">. </w:t>
      </w:r>
    </w:p>
    <w:p w14:paraId="69D88EC2" w14:textId="7C5AE24C" w:rsidR="00CB14FA" w:rsidRDefault="00CB14FA" w:rsidP="009679D5">
      <w:pPr>
        <w:pStyle w:val="Heading2"/>
        <w:spacing w:before="240" w:after="240" w:line="276" w:lineRule="auto"/>
        <w:rPr>
          <w:rFonts w:ascii="HelveticaNeueLT Std" w:hAnsi="HelveticaNeueLT Std"/>
          <w:b/>
          <w:bCs/>
          <w:color w:val="079FDC"/>
          <w:sz w:val="22"/>
          <w:szCs w:val="22"/>
          <w:lang w:val="en-GB"/>
        </w:rPr>
      </w:pPr>
      <w:r w:rsidRPr="0069253A">
        <w:rPr>
          <w:rFonts w:ascii="HelveticaNeueLT Std" w:hAnsi="HelveticaNeueLT Std"/>
          <w:b/>
          <w:bCs/>
          <w:color w:val="079FDC"/>
          <w:sz w:val="22"/>
          <w:szCs w:val="22"/>
          <w:lang w:val="en-GB"/>
        </w:rPr>
        <w:t>Summary (75 words)</w:t>
      </w:r>
      <w:r w:rsidR="00117D2B" w:rsidRPr="0069253A">
        <w:rPr>
          <w:rFonts w:ascii="HelveticaNeueLT Std" w:hAnsi="HelveticaNeueLT Std"/>
          <w:b/>
          <w:bCs/>
          <w:color w:val="079FDC"/>
          <w:sz w:val="22"/>
          <w:szCs w:val="22"/>
          <w:lang w:val="en-GB"/>
        </w:rPr>
        <w:t xml:space="preserve"> </w:t>
      </w:r>
    </w:p>
    <w:p w14:paraId="6779AD93" w14:textId="5C48A53B" w:rsidR="007D1216" w:rsidRPr="0069253A" w:rsidRDefault="00DA42BE" w:rsidP="002A0A17">
      <w:pPr>
        <w:spacing w:line="276" w:lineRule="auto"/>
        <w:jc w:val="both"/>
        <w:rPr>
          <w:rFonts w:ascii="HelveticaNeueLT Std" w:hAnsi="HelveticaNeueLT Std"/>
          <w:lang w:val="en-GB"/>
        </w:rPr>
      </w:pPr>
      <w:r w:rsidRPr="0069253A">
        <w:rPr>
          <w:rFonts w:ascii="HelveticaNeueLT Std" w:hAnsi="HelveticaNeueLT Std"/>
          <w:lang w:val="en-GB"/>
        </w:rPr>
        <w:t xml:space="preserve">Global </w:t>
      </w:r>
      <w:r w:rsidR="009F0115" w:rsidRPr="0069253A">
        <w:rPr>
          <w:rFonts w:ascii="HelveticaNeueLT Std" w:hAnsi="HelveticaNeueLT Std"/>
          <w:lang w:val="en-GB"/>
        </w:rPr>
        <w:t>FDI</w:t>
      </w:r>
      <w:r w:rsidRPr="0069253A">
        <w:rPr>
          <w:rFonts w:ascii="HelveticaNeueLT Std" w:hAnsi="HelveticaNeueLT Std"/>
          <w:lang w:val="en-GB"/>
        </w:rPr>
        <w:t xml:space="preserve"> flows declined </w:t>
      </w:r>
      <w:r w:rsidR="005B1067">
        <w:rPr>
          <w:rFonts w:ascii="HelveticaNeueLT Std" w:hAnsi="HelveticaNeueLT Std"/>
          <w:lang w:val="en-GB"/>
        </w:rPr>
        <w:t>since</w:t>
      </w:r>
      <w:r w:rsidR="005B1067" w:rsidRPr="0069253A">
        <w:rPr>
          <w:rFonts w:ascii="HelveticaNeueLT Std" w:hAnsi="HelveticaNeueLT Std"/>
          <w:lang w:val="en-GB"/>
        </w:rPr>
        <w:t xml:space="preserve"> </w:t>
      </w:r>
      <w:r w:rsidRPr="0069253A">
        <w:rPr>
          <w:rFonts w:ascii="HelveticaNeueLT Std" w:hAnsi="HelveticaNeueLT Std"/>
          <w:lang w:val="en-GB"/>
        </w:rPr>
        <w:t>20</w:t>
      </w:r>
      <w:r w:rsidR="005B1067">
        <w:rPr>
          <w:rFonts w:ascii="HelveticaNeueLT Std" w:hAnsi="HelveticaNeueLT Std"/>
          <w:lang w:val="en-GB"/>
        </w:rPr>
        <w:t>15</w:t>
      </w:r>
      <w:r w:rsidR="0003297C">
        <w:rPr>
          <w:rFonts w:ascii="HelveticaNeueLT Std" w:hAnsi="HelveticaNeueLT Std"/>
          <w:lang w:val="en-GB"/>
        </w:rPr>
        <w:t xml:space="preserve">, </w:t>
      </w:r>
      <w:r w:rsidR="003F294B" w:rsidRPr="0069253A">
        <w:rPr>
          <w:rFonts w:ascii="HelveticaNeueLT Std" w:hAnsi="HelveticaNeueLT Std"/>
          <w:lang w:val="en-GB"/>
        </w:rPr>
        <w:t>hinderi</w:t>
      </w:r>
      <w:r w:rsidR="00993867" w:rsidRPr="0069253A">
        <w:rPr>
          <w:rFonts w:ascii="HelveticaNeueLT Std" w:hAnsi="HelveticaNeueLT Std"/>
          <w:lang w:val="en-GB"/>
        </w:rPr>
        <w:t>ng progress</w:t>
      </w:r>
      <w:r w:rsidR="0003297C">
        <w:rPr>
          <w:rFonts w:ascii="HelveticaNeueLT Std" w:hAnsi="HelveticaNeueLT Std"/>
          <w:lang w:val="en-GB"/>
        </w:rPr>
        <w:t xml:space="preserve"> towards the SDGs. </w:t>
      </w:r>
      <w:r w:rsidR="007B1342" w:rsidRPr="0069253A">
        <w:rPr>
          <w:rFonts w:ascii="HelveticaNeueLT Std" w:hAnsi="HelveticaNeueLT Std"/>
          <w:lang w:val="en-GB"/>
        </w:rPr>
        <w:t>F</w:t>
      </w:r>
      <w:r w:rsidR="007B1342">
        <w:rPr>
          <w:rFonts w:ascii="HelveticaNeueLT Std" w:hAnsi="HelveticaNeueLT Std"/>
          <w:lang w:val="en-GB"/>
        </w:rPr>
        <w:t>f</w:t>
      </w:r>
      <w:r w:rsidR="007B1342" w:rsidRPr="0069253A">
        <w:rPr>
          <w:rFonts w:ascii="HelveticaNeueLT Std" w:hAnsi="HelveticaNeueLT Std"/>
          <w:lang w:val="en-GB"/>
        </w:rPr>
        <w:t xml:space="preserve">D4 </w:t>
      </w:r>
      <w:r w:rsidRPr="0069253A">
        <w:rPr>
          <w:rFonts w:ascii="HelveticaNeueLT Std" w:hAnsi="HelveticaNeueLT Std"/>
          <w:lang w:val="en-GB"/>
        </w:rPr>
        <w:t xml:space="preserve">should </w:t>
      </w:r>
      <w:r w:rsidR="004228CA">
        <w:rPr>
          <w:rFonts w:ascii="HelveticaNeueLT Std" w:hAnsi="HelveticaNeueLT Std"/>
          <w:lang w:val="en-GB"/>
        </w:rPr>
        <w:t>seek to</w:t>
      </w:r>
      <w:r w:rsidR="00702557">
        <w:rPr>
          <w:rFonts w:ascii="HelveticaNeueLT Std" w:hAnsi="HelveticaNeueLT Std"/>
          <w:lang w:val="en-GB"/>
        </w:rPr>
        <w:t xml:space="preserve"> </w:t>
      </w:r>
      <w:r w:rsidRPr="0069253A">
        <w:rPr>
          <w:rFonts w:ascii="HelveticaNeueLT Std" w:hAnsi="HelveticaNeueLT Std"/>
          <w:lang w:val="en-GB"/>
        </w:rPr>
        <w:t xml:space="preserve">leverage </w:t>
      </w:r>
      <w:r w:rsidR="00B13EDE">
        <w:rPr>
          <w:rFonts w:ascii="HelveticaNeueLT Std" w:hAnsi="HelveticaNeueLT Std"/>
          <w:lang w:val="en-GB"/>
        </w:rPr>
        <w:t>partnerships between investment stakeholders</w:t>
      </w:r>
      <w:r w:rsidRPr="0069253A">
        <w:rPr>
          <w:rFonts w:ascii="HelveticaNeueLT Std" w:hAnsi="HelveticaNeueLT Std"/>
          <w:lang w:val="en-GB"/>
        </w:rPr>
        <w:t xml:space="preserve">, </w:t>
      </w:r>
      <w:r w:rsidR="00A26BEF">
        <w:rPr>
          <w:rFonts w:ascii="HelveticaNeueLT Std" w:hAnsi="HelveticaNeueLT Std"/>
          <w:lang w:val="en-GB"/>
        </w:rPr>
        <w:t>enhance</w:t>
      </w:r>
      <w:r w:rsidR="007E71C3">
        <w:rPr>
          <w:rFonts w:ascii="HelveticaNeueLT Std" w:hAnsi="HelveticaNeueLT Std"/>
          <w:lang w:val="en-GB"/>
        </w:rPr>
        <w:t xml:space="preserve"> countries’ readiness to </w:t>
      </w:r>
      <w:r w:rsidR="00A26BEF">
        <w:rPr>
          <w:rFonts w:ascii="HelveticaNeueLT Std" w:hAnsi="HelveticaNeueLT Std"/>
          <w:lang w:val="en-GB"/>
        </w:rPr>
        <w:t xml:space="preserve">attract investment in SDG, and </w:t>
      </w:r>
      <w:r w:rsidR="00A66102">
        <w:rPr>
          <w:rFonts w:ascii="HelveticaNeueLT Std" w:hAnsi="HelveticaNeueLT Std"/>
          <w:lang w:val="en-GB"/>
        </w:rPr>
        <w:t>promote home-country initiatives to channel investment</w:t>
      </w:r>
      <w:r w:rsidR="002A0A17">
        <w:rPr>
          <w:rFonts w:ascii="HelveticaNeueLT Std" w:hAnsi="HelveticaNeueLT Std"/>
          <w:lang w:val="en-GB"/>
        </w:rPr>
        <w:t xml:space="preserve">. </w:t>
      </w:r>
      <w:r w:rsidR="002A0A17" w:rsidRPr="002A0A17">
        <w:rPr>
          <w:rFonts w:ascii="HelveticaNeueLT Std" w:hAnsi="HelveticaNeueLT Std"/>
          <w:lang w:val="en-GB"/>
        </w:rPr>
        <w:t>SWFs and institutional investors possess substantial capital that can be directed toward infrastructure and SDG</w:t>
      </w:r>
      <w:r w:rsidR="002A0A17">
        <w:rPr>
          <w:rFonts w:ascii="HelveticaNeueLT Std" w:hAnsi="HelveticaNeueLT Std"/>
          <w:lang w:val="en-GB"/>
        </w:rPr>
        <w:t>, while more</w:t>
      </w:r>
      <w:r w:rsidR="002A0A17" w:rsidRPr="002A0A17">
        <w:rPr>
          <w:rFonts w:ascii="HelveticaNeueLT Std" w:hAnsi="HelveticaNeueLT Std"/>
          <w:lang w:val="en-GB"/>
        </w:rPr>
        <w:t xml:space="preserve"> de-risking initiatives need to be developed.  Systematic efforts to advance sustainability standards and address greenwashing is essential </w:t>
      </w:r>
      <w:r w:rsidR="002A0A17">
        <w:rPr>
          <w:rFonts w:ascii="HelveticaNeueLT Std" w:hAnsi="HelveticaNeueLT Std"/>
          <w:lang w:val="en-GB"/>
        </w:rPr>
        <w:t xml:space="preserve">to grow </w:t>
      </w:r>
      <w:r w:rsidR="002A0A17" w:rsidRPr="002A0A17">
        <w:rPr>
          <w:rFonts w:ascii="HelveticaNeueLT Std" w:hAnsi="HelveticaNeueLT Std"/>
          <w:lang w:val="en-GB"/>
        </w:rPr>
        <w:t xml:space="preserve">sustainable finance.   </w:t>
      </w:r>
    </w:p>
    <w:sectPr w:rsidR="007D1216" w:rsidRPr="0069253A" w:rsidSect="00C02A9D">
      <w:footerReference w:type="default" r:id="rId13"/>
      <w:pgSz w:w="11906" w:h="16838" w:code="9"/>
      <w:pgMar w:top="16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F36E4" w14:textId="77777777" w:rsidR="00DD72BA" w:rsidRDefault="00DD72BA" w:rsidP="003A03B5">
      <w:pPr>
        <w:spacing w:after="0" w:line="240" w:lineRule="auto"/>
      </w:pPr>
      <w:r>
        <w:separator/>
      </w:r>
    </w:p>
  </w:endnote>
  <w:endnote w:type="continuationSeparator" w:id="0">
    <w:p w14:paraId="190B3806" w14:textId="77777777" w:rsidR="00DD72BA" w:rsidRDefault="00DD72BA" w:rsidP="003A03B5">
      <w:pPr>
        <w:spacing w:after="0" w:line="240" w:lineRule="auto"/>
      </w:pPr>
      <w:r>
        <w:continuationSeparator/>
      </w:r>
    </w:p>
  </w:endnote>
  <w:endnote w:type="continuationNotice" w:id="1">
    <w:p w14:paraId="3220DB98" w14:textId="77777777" w:rsidR="00DD72BA" w:rsidRDefault="00DD7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20B0604020202020204"/>
    <w:charset w:val="00"/>
    <w:family w:val="swiss"/>
    <w:notTrueType/>
    <w:pitch w:val="variable"/>
    <w:sig w:usb0="00000003" w:usb1="00000000" w:usb2="00000000" w:usb3="00000000" w:csb0="00000001" w:csb1="00000000"/>
  </w:font>
  <w:font w:name="HelveticaNeueLT Std Cn">
    <w:altName w:val="Arial"/>
    <w:panose1 w:val="020B05060305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4306088"/>
      <w:docPartObj>
        <w:docPartGallery w:val="Page Numbers (Bottom of Page)"/>
        <w:docPartUnique/>
      </w:docPartObj>
    </w:sdtPr>
    <w:sdtEndPr>
      <w:rPr>
        <w:noProof/>
      </w:rPr>
    </w:sdtEndPr>
    <w:sdtContent>
      <w:p w14:paraId="37CB241D" w14:textId="6DC5E829" w:rsidR="00476005" w:rsidRDefault="004760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146567" w14:textId="77777777" w:rsidR="003B30CD" w:rsidRDefault="003B3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BFC3E" w14:textId="77777777" w:rsidR="00DD72BA" w:rsidRDefault="00DD72BA" w:rsidP="003A03B5">
      <w:pPr>
        <w:spacing w:after="0" w:line="240" w:lineRule="auto"/>
      </w:pPr>
      <w:r>
        <w:separator/>
      </w:r>
    </w:p>
  </w:footnote>
  <w:footnote w:type="continuationSeparator" w:id="0">
    <w:p w14:paraId="65416DFB" w14:textId="77777777" w:rsidR="00DD72BA" w:rsidRDefault="00DD72BA" w:rsidP="003A03B5">
      <w:pPr>
        <w:spacing w:after="0" w:line="240" w:lineRule="auto"/>
      </w:pPr>
      <w:r>
        <w:continuationSeparator/>
      </w:r>
    </w:p>
  </w:footnote>
  <w:footnote w:type="continuationNotice" w:id="1">
    <w:p w14:paraId="1C65B686" w14:textId="77777777" w:rsidR="00DD72BA" w:rsidRDefault="00DD72BA">
      <w:pPr>
        <w:spacing w:after="0" w:line="240" w:lineRule="auto"/>
      </w:pPr>
    </w:p>
  </w:footnote>
  <w:footnote w:id="2">
    <w:p w14:paraId="2507DD9E" w14:textId="343BB597" w:rsidR="0037516E" w:rsidRDefault="0037516E">
      <w:pPr>
        <w:pStyle w:val="FootnoteText"/>
      </w:pPr>
      <w:r>
        <w:rPr>
          <w:rStyle w:val="FootnoteReference"/>
        </w:rPr>
        <w:footnoteRef/>
      </w:r>
      <w:r>
        <w:t xml:space="preserve"> </w:t>
      </w:r>
      <w:r w:rsidRPr="00034EC5">
        <w:rPr>
          <w:rFonts w:ascii="HelveticaNeueLT Std" w:hAnsi="HelveticaNeueLT Std"/>
          <w:sz w:val="16"/>
          <w:szCs w:val="16"/>
        </w:rPr>
        <w:t xml:space="preserve">UNCTAD (2023). </w:t>
      </w:r>
      <w:r w:rsidRPr="00034EC5">
        <w:rPr>
          <w:rFonts w:ascii="HelveticaNeueLT Std" w:hAnsi="HelveticaNeueLT Std"/>
          <w:i/>
          <w:sz w:val="16"/>
          <w:szCs w:val="16"/>
        </w:rPr>
        <w:t>World Investment Report 2023: Investing in sustainable energy for all.</w:t>
      </w:r>
      <w:r w:rsidRPr="00034EC5">
        <w:rPr>
          <w:rFonts w:ascii="HelveticaNeueLT Std" w:hAnsi="HelveticaNeueLT Std"/>
          <w:sz w:val="16"/>
          <w:szCs w:val="16"/>
        </w:rPr>
        <w:t xml:space="preserve"> United Nations publication. Geneva.</w:t>
      </w:r>
    </w:p>
  </w:footnote>
  <w:footnote w:id="3">
    <w:p w14:paraId="08203F72" w14:textId="77777777" w:rsidR="003A3D94" w:rsidRDefault="003A3D94" w:rsidP="003A3D94">
      <w:pPr>
        <w:pStyle w:val="FootnoteText"/>
      </w:pPr>
      <w:r>
        <w:rPr>
          <w:rStyle w:val="FootnoteReference"/>
        </w:rPr>
        <w:footnoteRef/>
      </w:r>
      <w:r>
        <w:t xml:space="preserve"> UNCTAD (2022). </w:t>
      </w:r>
      <w:r w:rsidRPr="00034EC5">
        <w:rPr>
          <w:rFonts w:ascii="HelveticaNeueLT Std" w:hAnsi="HelveticaNeueLT Std"/>
          <w:i/>
          <w:sz w:val="16"/>
          <w:szCs w:val="16"/>
        </w:rPr>
        <w:t>World Investment Report 202</w:t>
      </w:r>
      <w:r>
        <w:rPr>
          <w:rFonts w:ascii="HelveticaNeueLT Std" w:hAnsi="HelveticaNeueLT Std"/>
          <w:i/>
          <w:sz w:val="16"/>
          <w:szCs w:val="16"/>
        </w:rPr>
        <w:t>2</w:t>
      </w:r>
      <w:r w:rsidRPr="00034EC5">
        <w:rPr>
          <w:rFonts w:ascii="HelveticaNeueLT Std" w:hAnsi="HelveticaNeueLT Std"/>
          <w:i/>
          <w:sz w:val="16"/>
          <w:szCs w:val="16"/>
        </w:rPr>
        <w:t>: In</w:t>
      </w:r>
      <w:r>
        <w:rPr>
          <w:rFonts w:ascii="HelveticaNeueLT Std" w:hAnsi="HelveticaNeueLT Std"/>
          <w:i/>
          <w:sz w:val="16"/>
          <w:szCs w:val="16"/>
        </w:rPr>
        <w:t>ternational tax reforms and sustainable investment</w:t>
      </w:r>
      <w:r w:rsidRPr="00034EC5">
        <w:rPr>
          <w:rFonts w:ascii="HelveticaNeueLT Std" w:hAnsi="HelveticaNeueLT Std"/>
          <w:i/>
          <w:sz w:val="16"/>
          <w:szCs w:val="16"/>
        </w:rPr>
        <w:t>.</w:t>
      </w:r>
      <w:r w:rsidRPr="00034EC5">
        <w:rPr>
          <w:rFonts w:ascii="HelveticaNeueLT Std" w:hAnsi="HelveticaNeueLT Std"/>
          <w:sz w:val="16"/>
          <w:szCs w:val="16"/>
        </w:rPr>
        <w:t xml:space="preserve"> United Nations publication. Geneva.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A0316"/>
    <w:multiLevelType w:val="multilevel"/>
    <w:tmpl w:val="26DE6AB4"/>
    <w:lvl w:ilvl="0">
      <w:start w:val="1"/>
      <w:numFmt w:val="bullet"/>
      <w:lvlText w:val=""/>
      <w:lvlJc w:val="left"/>
      <w:pPr>
        <w:ind w:left="720" w:hanging="360"/>
      </w:pPr>
      <w:rPr>
        <w:rFonts w:ascii="Symbol" w:hAnsi="Symbol" w:hint="default"/>
        <w:b w:val="0"/>
        <w:bCs/>
      </w:rPr>
    </w:lvl>
    <w:lvl w:ilvl="1">
      <w:start w:val="1"/>
      <w:numFmt w:val="bullet"/>
      <w:lvlText w:val=""/>
      <w:lvlJc w:val="left"/>
      <w:pPr>
        <w:ind w:left="1512" w:hanging="360"/>
      </w:pPr>
      <w:rPr>
        <w:rFonts w:ascii="Symbol" w:hAnsi="Symbol" w:hint="default"/>
      </w:rPr>
    </w:lvl>
    <w:lvl w:ilvl="2">
      <w:start w:val="1"/>
      <w:numFmt w:val="decimal"/>
      <w:lvlText w:val="%1.%2.%3"/>
      <w:lvlJc w:val="left"/>
      <w:pPr>
        <w:ind w:left="1008" w:hanging="720"/>
      </w:pPr>
      <w:rPr>
        <w:rFonts w:hint="default"/>
        <w:b w:val="0"/>
      </w:rPr>
    </w:lvl>
    <w:lvl w:ilvl="3">
      <w:start w:val="1"/>
      <w:numFmt w:val="decimal"/>
      <w:lvlText w:val="%1.%2.%3.%4"/>
      <w:lvlJc w:val="left"/>
      <w:pPr>
        <w:ind w:left="1728" w:hanging="1080"/>
      </w:pPr>
      <w:rPr>
        <w:rFonts w:hint="default"/>
        <w:b w:val="0"/>
      </w:rPr>
    </w:lvl>
    <w:lvl w:ilvl="4">
      <w:start w:val="1"/>
      <w:numFmt w:val="decimal"/>
      <w:lvlText w:val="%1.%2.%3.%4.%5"/>
      <w:lvlJc w:val="left"/>
      <w:pPr>
        <w:ind w:left="2088" w:hanging="1080"/>
      </w:pPr>
      <w:rPr>
        <w:rFonts w:hint="default"/>
        <w:b w:val="0"/>
      </w:rPr>
    </w:lvl>
    <w:lvl w:ilvl="5">
      <w:start w:val="1"/>
      <w:numFmt w:val="decimal"/>
      <w:lvlText w:val="%1.%2.%3.%4.%5.%6"/>
      <w:lvlJc w:val="left"/>
      <w:pPr>
        <w:ind w:left="2808" w:hanging="1440"/>
      </w:pPr>
      <w:rPr>
        <w:rFonts w:hint="default"/>
        <w:b w:val="0"/>
      </w:rPr>
    </w:lvl>
    <w:lvl w:ilvl="6">
      <w:start w:val="1"/>
      <w:numFmt w:val="decimal"/>
      <w:lvlText w:val="%1.%2.%3.%4.%5.%6.%7"/>
      <w:lvlJc w:val="left"/>
      <w:pPr>
        <w:ind w:left="3168" w:hanging="1440"/>
      </w:pPr>
      <w:rPr>
        <w:rFonts w:hint="default"/>
        <w:b w:val="0"/>
      </w:rPr>
    </w:lvl>
    <w:lvl w:ilvl="7">
      <w:start w:val="1"/>
      <w:numFmt w:val="decimal"/>
      <w:lvlText w:val="%1.%2.%3.%4.%5.%6.%7.%8"/>
      <w:lvlJc w:val="left"/>
      <w:pPr>
        <w:ind w:left="3888" w:hanging="1800"/>
      </w:pPr>
      <w:rPr>
        <w:rFonts w:hint="default"/>
        <w:b w:val="0"/>
      </w:rPr>
    </w:lvl>
    <w:lvl w:ilvl="8">
      <w:start w:val="1"/>
      <w:numFmt w:val="decimal"/>
      <w:lvlText w:val="%1.%2.%3.%4.%5.%6.%7.%8.%9"/>
      <w:lvlJc w:val="left"/>
      <w:pPr>
        <w:ind w:left="4248" w:hanging="1800"/>
      </w:pPr>
      <w:rPr>
        <w:rFonts w:hint="default"/>
        <w:b w:val="0"/>
      </w:rPr>
    </w:lvl>
  </w:abstractNum>
  <w:abstractNum w:abstractNumId="2" w15:restartNumberingAfterBreak="0">
    <w:nsid w:val="0418436B"/>
    <w:multiLevelType w:val="multilevel"/>
    <w:tmpl w:val="81447BBC"/>
    <w:lvl w:ilvl="0">
      <w:start w:val="1"/>
      <w:numFmt w:val="bullet"/>
      <w:lvlText w:val="o"/>
      <w:lvlJc w:val="left"/>
      <w:pPr>
        <w:ind w:left="720" w:hanging="360"/>
      </w:pPr>
      <w:rPr>
        <w:rFonts w:ascii="Courier New" w:hAnsi="Courier New" w:cs="Courier New" w:hint="default"/>
        <w:b w:val="0"/>
        <w:bCs/>
      </w:rPr>
    </w:lvl>
    <w:lvl w:ilvl="1">
      <w:start w:val="1"/>
      <w:numFmt w:val="bullet"/>
      <w:lvlText w:val="o"/>
      <w:lvlJc w:val="left"/>
      <w:pPr>
        <w:ind w:left="1080" w:hanging="360"/>
      </w:pPr>
      <w:rPr>
        <w:rFonts w:ascii="Courier New" w:hAnsi="Courier New" w:cs="Courier New" w:hint="default"/>
      </w:rPr>
    </w:lvl>
    <w:lvl w:ilvl="2">
      <w:start w:val="1"/>
      <w:numFmt w:val="decimal"/>
      <w:lvlText w:val="%1.%2.%3"/>
      <w:lvlJc w:val="left"/>
      <w:pPr>
        <w:ind w:left="1800" w:hanging="72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00" w:hanging="144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680" w:hanging="1800"/>
      </w:pPr>
      <w:rPr>
        <w:rFonts w:hint="default"/>
        <w:b w:val="0"/>
      </w:rPr>
    </w:lvl>
    <w:lvl w:ilvl="8">
      <w:start w:val="1"/>
      <w:numFmt w:val="decimal"/>
      <w:lvlText w:val="%1.%2.%3.%4.%5.%6.%7.%8.%9"/>
      <w:lvlJc w:val="left"/>
      <w:pPr>
        <w:ind w:left="5040" w:hanging="1800"/>
      </w:pPr>
      <w:rPr>
        <w:rFonts w:hint="default"/>
        <w:b w:val="0"/>
      </w:rPr>
    </w:lvl>
  </w:abstractNum>
  <w:abstractNum w:abstractNumId="3" w15:restartNumberingAfterBreak="0">
    <w:nsid w:val="048F0DD6"/>
    <w:multiLevelType w:val="multilevel"/>
    <w:tmpl w:val="00B0D384"/>
    <w:lvl w:ilvl="0">
      <w:start w:val="1"/>
      <w:numFmt w:val="lowerRoman"/>
      <w:lvlText w:val="%1."/>
      <w:lvlJc w:val="right"/>
      <w:pPr>
        <w:ind w:left="1800" w:hanging="360"/>
      </w:pPr>
      <w:rPr>
        <w:rFonts w:hint="default"/>
        <w:b w:val="0"/>
        <w:bCs/>
      </w:rPr>
    </w:lvl>
    <w:lvl w:ilvl="1">
      <w:start w:val="1"/>
      <w:numFmt w:val="decimal"/>
      <w:lvlText w:val="%1.%2"/>
      <w:lvlJc w:val="left"/>
      <w:pPr>
        <w:ind w:left="2160" w:hanging="360"/>
      </w:pPr>
      <w:rPr>
        <w:rFonts w:hint="default"/>
        <w:b/>
        <w:bCs w:val="0"/>
      </w:rPr>
    </w:lvl>
    <w:lvl w:ilvl="2">
      <w:start w:val="1"/>
      <w:numFmt w:val="decimal"/>
      <w:lvlText w:val="%1.%2.%3"/>
      <w:lvlJc w:val="left"/>
      <w:pPr>
        <w:ind w:left="2880" w:hanging="720"/>
      </w:pPr>
      <w:rPr>
        <w:rFonts w:hint="default"/>
        <w:b w:val="0"/>
      </w:rPr>
    </w:lvl>
    <w:lvl w:ilvl="3">
      <w:start w:val="1"/>
      <w:numFmt w:val="decimal"/>
      <w:lvlText w:val="%1.%2.%3.%4"/>
      <w:lvlJc w:val="left"/>
      <w:pPr>
        <w:ind w:left="360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44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760" w:hanging="1800"/>
      </w:pPr>
      <w:rPr>
        <w:rFonts w:hint="default"/>
        <w:b w:val="0"/>
      </w:rPr>
    </w:lvl>
    <w:lvl w:ilvl="8">
      <w:start w:val="1"/>
      <w:numFmt w:val="decimal"/>
      <w:lvlText w:val="%1.%2.%3.%4.%5.%6.%7.%8.%9"/>
      <w:lvlJc w:val="left"/>
      <w:pPr>
        <w:ind w:left="6120" w:hanging="1800"/>
      </w:pPr>
      <w:rPr>
        <w:rFonts w:hint="default"/>
        <w:b w:val="0"/>
      </w:rPr>
    </w:lvl>
  </w:abstractNum>
  <w:abstractNum w:abstractNumId="4" w15:restartNumberingAfterBreak="0">
    <w:nsid w:val="0DBE7392"/>
    <w:multiLevelType w:val="multilevel"/>
    <w:tmpl w:val="418C225C"/>
    <w:lvl w:ilvl="0">
      <w:start w:val="1"/>
      <w:numFmt w:val="bullet"/>
      <w:lvlText w:val=""/>
      <w:lvlJc w:val="left"/>
      <w:pPr>
        <w:ind w:left="720" w:hanging="360"/>
      </w:pPr>
      <w:rPr>
        <w:rFonts w:ascii="Symbol" w:hAnsi="Symbol" w:hint="default"/>
        <w:b/>
        <w:bCs w:val="0"/>
      </w:rPr>
    </w:lvl>
    <w:lvl w:ilvl="1">
      <w:start w:val="1"/>
      <w:numFmt w:val="bullet"/>
      <w:lvlText w:val="o"/>
      <w:lvlJc w:val="left"/>
      <w:pPr>
        <w:ind w:left="1080" w:hanging="360"/>
      </w:pPr>
      <w:rPr>
        <w:rFonts w:ascii="Courier New" w:hAnsi="Courier New" w:cs="Courier New" w:hint="default"/>
      </w:rPr>
    </w:lvl>
    <w:lvl w:ilvl="2">
      <w:start w:val="1"/>
      <w:numFmt w:val="decimal"/>
      <w:lvlText w:val="%1.%2.%3"/>
      <w:lvlJc w:val="left"/>
      <w:pPr>
        <w:ind w:left="1800" w:hanging="72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00" w:hanging="144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680" w:hanging="1800"/>
      </w:pPr>
      <w:rPr>
        <w:rFonts w:hint="default"/>
        <w:b w:val="0"/>
      </w:rPr>
    </w:lvl>
    <w:lvl w:ilvl="8">
      <w:start w:val="1"/>
      <w:numFmt w:val="decimal"/>
      <w:lvlText w:val="%1.%2.%3.%4.%5.%6.%7.%8.%9"/>
      <w:lvlJc w:val="left"/>
      <w:pPr>
        <w:ind w:left="5040" w:hanging="1800"/>
      </w:pPr>
      <w:rPr>
        <w:rFonts w:hint="default"/>
        <w:b w:val="0"/>
      </w:rPr>
    </w:lvl>
  </w:abstractNum>
  <w:abstractNum w:abstractNumId="5" w15:restartNumberingAfterBreak="0">
    <w:nsid w:val="1AAD19AD"/>
    <w:multiLevelType w:val="hybridMultilevel"/>
    <w:tmpl w:val="6FF456E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F19D9"/>
    <w:multiLevelType w:val="hybridMultilevel"/>
    <w:tmpl w:val="8B3E62A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2A9F491B"/>
    <w:multiLevelType w:val="hybridMultilevel"/>
    <w:tmpl w:val="4FDC191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E7357"/>
    <w:multiLevelType w:val="multilevel"/>
    <w:tmpl w:val="714842FE"/>
    <w:lvl w:ilvl="0">
      <w:start w:val="1"/>
      <w:numFmt w:val="bullet"/>
      <w:lvlText w:val=""/>
      <w:lvlJc w:val="left"/>
      <w:pPr>
        <w:ind w:left="720" w:hanging="360"/>
      </w:pPr>
      <w:rPr>
        <w:rFonts w:ascii="Symbol" w:hAnsi="Symbol" w:hint="default"/>
        <w:b w:val="0"/>
        <w:bCs/>
      </w:rPr>
    </w:lvl>
    <w:lvl w:ilvl="1">
      <w:start w:val="1"/>
      <w:numFmt w:val="bullet"/>
      <w:lvlText w:val="o"/>
      <w:lvlJc w:val="left"/>
      <w:pPr>
        <w:ind w:left="1080" w:hanging="360"/>
      </w:pPr>
      <w:rPr>
        <w:rFonts w:ascii="Courier New" w:hAnsi="Courier New" w:cs="Courier New" w:hint="default"/>
      </w:rPr>
    </w:lvl>
    <w:lvl w:ilvl="2">
      <w:start w:val="1"/>
      <w:numFmt w:val="decimal"/>
      <w:lvlText w:val="%1.%2.%3"/>
      <w:lvlJc w:val="left"/>
      <w:pPr>
        <w:ind w:left="1800" w:hanging="72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00" w:hanging="144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680" w:hanging="1800"/>
      </w:pPr>
      <w:rPr>
        <w:rFonts w:hint="default"/>
        <w:b w:val="0"/>
      </w:rPr>
    </w:lvl>
    <w:lvl w:ilvl="8">
      <w:start w:val="1"/>
      <w:numFmt w:val="decimal"/>
      <w:lvlText w:val="%1.%2.%3.%4.%5.%6.%7.%8.%9"/>
      <w:lvlJc w:val="left"/>
      <w:pPr>
        <w:ind w:left="5040" w:hanging="1800"/>
      </w:pPr>
      <w:rPr>
        <w:rFonts w:hint="default"/>
        <w:b w:val="0"/>
      </w:rPr>
    </w:lvl>
  </w:abstractNum>
  <w:abstractNum w:abstractNumId="11" w15:restartNumberingAfterBreak="0">
    <w:nsid w:val="2F5A3D95"/>
    <w:multiLevelType w:val="multilevel"/>
    <w:tmpl w:val="A2564528"/>
    <w:lvl w:ilvl="0">
      <w:start w:val="1"/>
      <w:numFmt w:val="bullet"/>
      <w:lvlText w:val="o"/>
      <w:lvlJc w:val="left"/>
      <w:pPr>
        <w:ind w:left="1440" w:hanging="360"/>
      </w:pPr>
      <w:rPr>
        <w:rFonts w:ascii="Courier New" w:hAnsi="Courier New" w:cs="Courier New" w:hint="default"/>
        <w:b w:val="0"/>
        <w:bCs/>
      </w:rPr>
    </w:lvl>
    <w:lvl w:ilvl="1">
      <w:start w:val="1"/>
      <w:numFmt w:val="decimal"/>
      <w:lvlText w:val="%1.%2"/>
      <w:lvlJc w:val="left"/>
      <w:pPr>
        <w:ind w:left="1800" w:hanging="360"/>
      </w:pPr>
      <w:rPr>
        <w:rFonts w:hint="default"/>
        <w:b/>
        <w:bCs w:val="0"/>
      </w:rPr>
    </w:lvl>
    <w:lvl w:ilvl="2">
      <w:start w:val="1"/>
      <w:numFmt w:val="decimal"/>
      <w:lvlText w:val="%1.%2.%3"/>
      <w:lvlJc w:val="left"/>
      <w:pPr>
        <w:ind w:left="252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1080"/>
      </w:pPr>
      <w:rPr>
        <w:rFonts w:hint="default"/>
        <w:b w:val="0"/>
      </w:rPr>
    </w:lvl>
    <w:lvl w:ilvl="5">
      <w:start w:val="1"/>
      <w:numFmt w:val="decimal"/>
      <w:lvlText w:val="%1.%2.%3.%4.%5.%6"/>
      <w:lvlJc w:val="left"/>
      <w:pPr>
        <w:ind w:left="4320" w:hanging="144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400" w:hanging="1800"/>
      </w:pPr>
      <w:rPr>
        <w:rFonts w:hint="default"/>
        <w:b w:val="0"/>
      </w:rPr>
    </w:lvl>
    <w:lvl w:ilvl="8">
      <w:start w:val="1"/>
      <w:numFmt w:val="decimal"/>
      <w:lvlText w:val="%1.%2.%3.%4.%5.%6.%7.%8.%9"/>
      <w:lvlJc w:val="left"/>
      <w:pPr>
        <w:ind w:left="5760" w:hanging="1800"/>
      </w:pPr>
      <w:rPr>
        <w:rFonts w:hint="default"/>
        <w:b w:val="0"/>
      </w:rPr>
    </w:lvl>
  </w:abstractNum>
  <w:abstractNum w:abstractNumId="12"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543FBC"/>
    <w:multiLevelType w:val="hybridMultilevel"/>
    <w:tmpl w:val="957AF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4AD92413"/>
    <w:multiLevelType w:val="hybridMultilevel"/>
    <w:tmpl w:val="5CCA2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8D16D2"/>
    <w:multiLevelType w:val="hybridMultilevel"/>
    <w:tmpl w:val="E4CE488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544068B6"/>
    <w:multiLevelType w:val="hybridMultilevel"/>
    <w:tmpl w:val="35BCBC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0A23F5"/>
    <w:multiLevelType w:val="multilevel"/>
    <w:tmpl w:val="EAA2EC84"/>
    <w:lvl w:ilvl="0">
      <w:start w:val="1"/>
      <w:numFmt w:val="bullet"/>
      <w:lvlText w:val="o"/>
      <w:lvlJc w:val="left"/>
      <w:pPr>
        <w:ind w:left="1440" w:hanging="360"/>
      </w:pPr>
      <w:rPr>
        <w:rFonts w:ascii="Courier New" w:hAnsi="Courier New" w:cs="Courier New" w:hint="default"/>
        <w:b w:val="0"/>
        <w:bCs/>
      </w:rPr>
    </w:lvl>
    <w:lvl w:ilvl="1">
      <w:start w:val="1"/>
      <w:numFmt w:val="bullet"/>
      <w:lvlText w:val=""/>
      <w:lvlJc w:val="left"/>
      <w:pPr>
        <w:ind w:left="1800" w:hanging="360"/>
      </w:pPr>
      <w:rPr>
        <w:rFonts w:ascii="Symbol" w:hAnsi="Symbol" w:hint="default"/>
      </w:rPr>
    </w:lvl>
    <w:lvl w:ilvl="2">
      <w:start w:val="1"/>
      <w:numFmt w:val="decimal"/>
      <w:lvlText w:val="%1.%2.%3"/>
      <w:lvlJc w:val="left"/>
      <w:pPr>
        <w:ind w:left="252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1080"/>
      </w:pPr>
      <w:rPr>
        <w:rFonts w:hint="default"/>
        <w:b w:val="0"/>
      </w:rPr>
    </w:lvl>
    <w:lvl w:ilvl="5">
      <w:start w:val="1"/>
      <w:numFmt w:val="decimal"/>
      <w:lvlText w:val="%1.%2.%3.%4.%5.%6"/>
      <w:lvlJc w:val="left"/>
      <w:pPr>
        <w:ind w:left="4320" w:hanging="144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400" w:hanging="1800"/>
      </w:pPr>
      <w:rPr>
        <w:rFonts w:hint="default"/>
        <w:b w:val="0"/>
      </w:rPr>
    </w:lvl>
    <w:lvl w:ilvl="8">
      <w:start w:val="1"/>
      <w:numFmt w:val="decimal"/>
      <w:lvlText w:val="%1.%2.%3.%4.%5.%6.%7.%8.%9"/>
      <w:lvlJc w:val="left"/>
      <w:pPr>
        <w:ind w:left="5760" w:hanging="1800"/>
      </w:pPr>
      <w:rPr>
        <w:rFonts w:hint="default"/>
        <w:b w:val="0"/>
      </w:rPr>
    </w:lvl>
  </w:abstractNum>
  <w:abstractNum w:abstractNumId="21" w15:restartNumberingAfterBreak="0">
    <w:nsid w:val="5BE939CA"/>
    <w:multiLevelType w:val="multilevel"/>
    <w:tmpl w:val="E926E3F8"/>
    <w:lvl w:ilvl="0">
      <w:start w:val="1"/>
      <w:numFmt w:val="bullet"/>
      <w:lvlText w:val=""/>
      <w:lvlJc w:val="left"/>
      <w:pPr>
        <w:ind w:left="720" w:hanging="360"/>
      </w:pPr>
      <w:rPr>
        <w:rFonts w:ascii="Symbol" w:hAnsi="Symbol" w:hint="default"/>
        <w:b w:val="0"/>
        <w:bCs/>
      </w:rPr>
    </w:lvl>
    <w:lvl w:ilvl="1">
      <w:start w:val="1"/>
      <w:numFmt w:val="decimal"/>
      <w:lvlText w:val="%1.%2"/>
      <w:lvlJc w:val="left"/>
      <w:pPr>
        <w:ind w:left="288" w:hanging="360"/>
      </w:pPr>
      <w:rPr>
        <w:rFonts w:hint="default"/>
        <w:b/>
        <w:bCs w:val="0"/>
      </w:rPr>
    </w:lvl>
    <w:lvl w:ilvl="2">
      <w:start w:val="1"/>
      <w:numFmt w:val="decimal"/>
      <w:lvlText w:val="%1.%2.%3"/>
      <w:lvlJc w:val="left"/>
      <w:pPr>
        <w:ind w:left="1008" w:hanging="720"/>
      </w:pPr>
      <w:rPr>
        <w:rFonts w:hint="default"/>
        <w:b w:val="0"/>
      </w:rPr>
    </w:lvl>
    <w:lvl w:ilvl="3">
      <w:start w:val="1"/>
      <w:numFmt w:val="decimal"/>
      <w:lvlText w:val="%1.%2.%3.%4"/>
      <w:lvlJc w:val="left"/>
      <w:pPr>
        <w:ind w:left="1728" w:hanging="1080"/>
      </w:pPr>
      <w:rPr>
        <w:rFonts w:hint="default"/>
        <w:b w:val="0"/>
      </w:rPr>
    </w:lvl>
    <w:lvl w:ilvl="4">
      <w:start w:val="1"/>
      <w:numFmt w:val="decimal"/>
      <w:lvlText w:val="%1.%2.%3.%4.%5"/>
      <w:lvlJc w:val="left"/>
      <w:pPr>
        <w:ind w:left="2088" w:hanging="1080"/>
      </w:pPr>
      <w:rPr>
        <w:rFonts w:hint="default"/>
        <w:b w:val="0"/>
      </w:rPr>
    </w:lvl>
    <w:lvl w:ilvl="5">
      <w:start w:val="1"/>
      <w:numFmt w:val="decimal"/>
      <w:lvlText w:val="%1.%2.%3.%4.%5.%6"/>
      <w:lvlJc w:val="left"/>
      <w:pPr>
        <w:ind w:left="2808" w:hanging="1440"/>
      </w:pPr>
      <w:rPr>
        <w:rFonts w:hint="default"/>
        <w:b w:val="0"/>
      </w:rPr>
    </w:lvl>
    <w:lvl w:ilvl="6">
      <w:start w:val="1"/>
      <w:numFmt w:val="decimal"/>
      <w:lvlText w:val="%1.%2.%3.%4.%5.%6.%7"/>
      <w:lvlJc w:val="left"/>
      <w:pPr>
        <w:ind w:left="3168" w:hanging="1440"/>
      </w:pPr>
      <w:rPr>
        <w:rFonts w:hint="default"/>
        <w:b w:val="0"/>
      </w:rPr>
    </w:lvl>
    <w:lvl w:ilvl="7">
      <w:start w:val="1"/>
      <w:numFmt w:val="decimal"/>
      <w:lvlText w:val="%1.%2.%3.%4.%5.%6.%7.%8"/>
      <w:lvlJc w:val="left"/>
      <w:pPr>
        <w:ind w:left="3888" w:hanging="1800"/>
      </w:pPr>
      <w:rPr>
        <w:rFonts w:hint="default"/>
        <w:b w:val="0"/>
      </w:rPr>
    </w:lvl>
    <w:lvl w:ilvl="8">
      <w:start w:val="1"/>
      <w:numFmt w:val="decimal"/>
      <w:lvlText w:val="%1.%2.%3.%4.%5.%6.%7.%8.%9"/>
      <w:lvlJc w:val="left"/>
      <w:pPr>
        <w:ind w:left="4248" w:hanging="1800"/>
      </w:pPr>
      <w:rPr>
        <w:rFonts w:hint="default"/>
        <w:b w:val="0"/>
      </w:rPr>
    </w:lvl>
  </w:abstractNum>
  <w:abstractNum w:abstractNumId="22" w15:restartNumberingAfterBreak="0">
    <w:nsid w:val="5DF958F1"/>
    <w:multiLevelType w:val="hybridMultilevel"/>
    <w:tmpl w:val="32847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843FC3"/>
    <w:multiLevelType w:val="hybridMultilevel"/>
    <w:tmpl w:val="CB86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A7D63"/>
    <w:multiLevelType w:val="hybridMultilevel"/>
    <w:tmpl w:val="033EC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E60B2D"/>
    <w:multiLevelType w:val="multilevel"/>
    <w:tmpl w:val="418C225C"/>
    <w:lvl w:ilvl="0">
      <w:start w:val="1"/>
      <w:numFmt w:val="bullet"/>
      <w:lvlText w:val=""/>
      <w:lvlJc w:val="left"/>
      <w:pPr>
        <w:ind w:left="720" w:hanging="360"/>
      </w:pPr>
      <w:rPr>
        <w:rFonts w:ascii="Symbol" w:hAnsi="Symbol" w:hint="default"/>
        <w:b/>
        <w:bCs w:val="0"/>
      </w:rPr>
    </w:lvl>
    <w:lvl w:ilvl="1">
      <w:start w:val="1"/>
      <w:numFmt w:val="bullet"/>
      <w:lvlText w:val="o"/>
      <w:lvlJc w:val="left"/>
      <w:pPr>
        <w:ind w:left="1080" w:hanging="360"/>
      </w:pPr>
      <w:rPr>
        <w:rFonts w:ascii="Courier New" w:hAnsi="Courier New" w:cs="Courier New" w:hint="default"/>
      </w:rPr>
    </w:lvl>
    <w:lvl w:ilvl="2">
      <w:start w:val="1"/>
      <w:numFmt w:val="decimal"/>
      <w:lvlText w:val="%1.%2.%3"/>
      <w:lvlJc w:val="left"/>
      <w:pPr>
        <w:ind w:left="1800" w:hanging="72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00" w:hanging="144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680" w:hanging="1800"/>
      </w:pPr>
      <w:rPr>
        <w:rFonts w:hint="default"/>
        <w:b w:val="0"/>
      </w:rPr>
    </w:lvl>
    <w:lvl w:ilvl="8">
      <w:start w:val="1"/>
      <w:numFmt w:val="decimal"/>
      <w:lvlText w:val="%1.%2.%3.%4.%5.%6.%7.%8.%9"/>
      <w:lvlJc w:val="left"/>
      <w:pPr>
        <w:ind w:left="5040" w:hanging="1800"/>
      </w:pPr>
      <w:rPr>
        <w:rFonts w:hint="default"/>
        <w:b w:val="0"/>
      </w:rPr>
    </w:lvl>
  </w:abstractNum>
  <w:abstractNum w:abstractNumId="26" w15:restartNumberingAfterBreak="0">
    <w:nsid w:val="7C32644E"/>
    <w:multiLevelType w:val="multilevel"/>
    <w:tmpl w:val="7752239E"/>
    <w:lvl w:ilvl="0">
      <w:start w:val="1"/>
      <w:numFmt w:val="bullet"/>
      <w:lvlText w:val=""/>
      <w:lvlJc w:val="left"/>
      <w:pPr>
        <w:ind w:left="720" w:hanging="360"/>
      </w:pPr>
      <w:rPr>
        <w:rFonts w:ascii="Symbol" w:hAnsi="Symbol" w:hint="default"/>
        <w:b w:val="0"/>
        <w:bCs/>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00" w:hanging="144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680" w:hanging="1800"/>
      </w:pPr>
      <w:rPr>
        <w:rFonts w:hint="default"/>
        <w:b w:val="0"/>
      </w:rPr>
    </w:lvl>
    <w:lvl w:ilvl="8">
      <w:start w:val="1"/>
      <w:numFmt w:val="decimal"/>
      <w:lvlText w:val="%1.%2.%3.%4.%5.%6.%7.%8.%9"/>
      <w:lvlJc w:val="left"/>
      <w:pPr>
        <w:ind w:left="5040" w:hanging="1800"/>
      </w:pPr>
      <w:rPr>
        <w:rFonts w:hint="default"/>
        <w:b w:val="0"/>
      </w:rPr>
    </w:lvl>
  </w:abstractNum>
  <w:abstractNum w:abstractNumId="27" w15:restartNumberingAfterBreak="0">
    <w:nsid w:val="7D632295"/>
    <w:multiLevelType w:val="multilevel"/>
    <w:tmpl w:val="FFF050DE"/>
    <w:lvl w:ilvl="0">
      <w:start w:val="1"/>
      <w:numFmt w:val="bullet"/>
      <w:lvlText w:val=""/>
      <w:lvlJc w:val="left"/>
      <w:pPr>
        <w:ind w:left="720" w:hanging="360"/>
      </w:pPr>
      <w:rPr>
        <w:rFonts w:ascii="Symbol" w:hAnsi="Symbol" w:hint="default"/>
        <w:b/>
        <w:bCs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Symbol" w:hAnsi="Symbol" w:hint="default"/>
      </w:rPr>
    </w:lvl>
    <w:lvl w:ilvl="3">
      <w:start w:val="1"/>
      <w:numFmt w:val="decimal"/>
      <w:lvlText w:val="%1.%2.%3.%4"/>
      <w:lvlJc w:val="left"/>
      <w:pPr>
        <w:ind w:left="252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00" w:hanging="144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680" w:hanging="1800"/>
      </w:pPr>
      <w:rPr>
        <w:rFonts w:hint="default"/>
        <w:b w:val="0"/>
      </w:rPr>
    </w:lvl>
    <w:lvl w:ilvl="8">
      <w:start w:val="1"/>
      <w:numFmt w:val="decimal"/>
      <w:lvlText w:val="%1.%2.%3.%4.%5.%6.%7.%8.%9"/>
      <w:lvlJc w:val="left"/>
      <w:pPr>
        <w:ind w:left="5040" w:hanging="1800"/>
      </w:pPr>
      <w:rPr>
        <w:rFonts w:hint="default"/>
        <w:b w:val="0"/>
      </w:rPr>
    </w:lvl>
  </w:abstractNum>
  <w:abstractNum w:abstractNumId="28" w15:restartNumberingAfterBreak="0">
    <w:nsid w:val="7F6937AD"/>
    <w:multiLevelType w:val="multilevel"/>
    <w:tmpl w:val="7752239E"/>
    <w:lvl w:ilvl="0">
      <w:start w:val="1"/>
      <w:numFmt w:val="bullet"/>
      <w:lvlText w:val=""/>
      <w:lvlJc w:val="left"/>
      <w:pPr>
        <w:ind w:left="720" w:hanging="360"/>
      </w:pPr>
      <w:rPr>
        <w:rFonts w:ascii="Symbol" w:hAnsi="Symbol" w:hint="default"/>
        <w:b w:val="0"/>
        <w:bCs/>
      </w:rPr>
    </w:lvl>
    <w:lvl w:ilvl="1">
      <w:start w:val="1"/>
      <w:numFmt w:val="bullet"/>
      <w:lvlText w:val=""/>
      <w:lvlJc w:val="left"/>
      <w:pPr>
        <w:ind w:left="1080" w:hanging="360"/>
      </w:pPr>
      <w:rPr>
        <w:rFonts w:ascii="Symbol" w:hAnsi="Symbol" w:hint="default"/>
      </w:rPr>
    </w:lvl>
    <w:lvl w:ilvl="2">
      <w:start w:val="1"/>
      <w:numFmt w:val="decimal"/>
      <w:lvlText w:val="%1.%2.%3"/>
      <w:lvlJc w:val="left"/>
      <w:pPr>
        <w:ind w:left="1800" w:hanging="72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00" w:hanging="1440"/>
      </w:pPr>
      <w:rPr>
        <w:rFonts w:hint="default"/>
        <w:b w:val="0"/>
      </w:rPr>
    </w:lvl>
    <w:lvl w:ilvl="6">
      <w:start w:val="1"/>
      <w:numFmt w:val="decimal"/>
      <w:lvlText w:val="%1.%2.%3.%4.%5.%6.%7"/>
      <w:lvlJc w:val="left"/>
      <w:pPr>
        <w:ind w:left="3960" w:hanging="1440"/>
      </w:pPr>
      <w:rPr>
        <w:rFonts w:hint="default"/>
        <w:b w:val="0"/>
      </w:rPr>
    </w:lvl>
    <w:lvl w:ilvl="7">
      <w:start w:val="1"/>
      <w:numFmt w:val="decimal"/>
      <w:lvlText w:val="%1.%2.%3.%4.%5.%6.%7.%8"/>
      <w:lvlJc w:val="left"/>
      <w:pPr>
        <w:ind w:left="4680" w:hanging="1800"/>
      </w:pPr>
      <w:rPr>
        <w:rFonts w:hint="default"/>
        <w:b w:val="0"/>
      </w:rPr>
    </w:lvl>
    <w:lvl w:ilvl="8">
      <w:start w:val="1"/>
      <w:numFmt w:val="decimal"/>
      <w:lvlText w:val="%1.%2.%3.%4.%5.%6.%7.%8.%9"/>
      <w:lvlJc w:val="left"/>
      <w:pPr>
        <w:ind w:left="5040" w:hanging="1800"/>
      </w:pPr>
      <w:rPr>
        <w:rFonts w:hint="default"/>
        <w:b w:val="0"/>
      </w:rPr>
    </w:lvl>
  </w:abstractNum>
  <w:num w:numId="1" w16cid:durableId="2099014310">
    <w:abstractNumId w:val="0"/>
  </w:num>
  <w:num w:numId="2" w16cid:durableId="705714083">
    <w:abstractNumId w:val="16"/>
  </w:num>
  <w:num w:numId="3" w16cid:durableId="1224489899">
    <w:abstractNumId w:val="12"/>
  </w:num>
  <w:num w:numId="4" w16cid:durableId="839007420">
    <w:abstractNumId w:val="13"/>
  </w:num>
  <w:num w:numId="5" w16cid:durableId="1795057800">
    <w:abstractNumId w:val="15"/>
  </w:num>
  <w:num w:numId="6" w16cid:durableId="1539704886">
    <w:abstractNumId w:val="9"/>
  </w:num>
  <w:num w:numId="7" w16cid:durableId="1965765382">
    <w:abstractNumId w:val="6"/>
  </w:num>
  <w:num w:numId="8" w16cid:durableId="10882904">
    <w:abstractNumId w:val="18"/>
  </w:num>
  <w:num w:numId="9" w16cid:durableId="200173115">
    <w:abstractNumId w:val="7"/>
  </w:num>
  <w:num w:numId="10" w16cid:durableId="2099522949">
    <w:abstractNumId w:val="26"/>
  </w:num>
  <w:num w:numId="11" w16cid:durableId="43990707">
    <w:abstractNumId w:val="4"/>
  </w:num>
  <w:num w:numId="12" w16cid:durableId="970746696">
    <w:abstractNumId w:val="25"/>
  </w:num>
  <w:num w:numId="13" w16cid:durableId="1063135560">
    <w:abstractNumId w:val="21"/>
  </w:num>
  <w:num w:numId="14" w16cid:durableId="514996558">
    <w:abstractNumId w:val="1"/>
  </w:num>
  <w:num w:numId="15" w16cid:durableId="538781082">
    <w:abstractNumId w:val="2"/>
  </w:num>
  <w:num w:numId="16" w16cid:durableId="446241454">
    <w:abstractNumId w:val="10"/>
  </w:num>
  <w:num w:numId="17" w16cid:durableId="661084999">
    <w:abstractNumId w:val="20"/>
  </w:num>
  <w:num w:numId="18" w16cid:durableId="2014801233">
    <w:abstractNumId w:val="3"/>
  </w:num>
  <w:num w:numId="19" w16cid:durableId="1241058613">
    <w:abstractNumId w:val="11"/>
  </w:num>
  <w:num w:numId="20" w16cid:durableId="1783186239">
    <w:abstractNumId w:val="5"/>
  </w:num>
  <w:num w:numId="21" w16cid:durableId="1456481431">
    <w:abstractNumId w:val="28"/>
  </w:num>
  <w:num w:numId="22" w16cid:durableId="1713534453">
    <w:abstractNumId w:val="27"/>
  </w:num>
  <w:num w:numId="23" w16cid:durableId="1253855855">
    <w:abstractNumId w:val="8"/>
  </w:num>
  <w:num w:numId="24" w16cid:durableId="19595394">
    <w:abstractNumId w:val="14"/>
  </w:num>
  <w:num w:numId="25" w16cid:durableId="1527982587">
    <w:abstractNumId w:val="17"/>
  </w:num>
  <w:num w:numId="26" w16cid:durableId="1071928515">
    <w:abstractNumId w:val="24"/>
  </w:num>
  <w:num w:numId="27" w16cid:durableId="166797425">
    <w:abstractNumId w:val="19"/>
  </w:num>
  <w:num w:numId="28" w16cid:durableId="1898206232">
    <w:abstractNumId w:val="23"/>
  </w:num>
  <w:num w:numId="29" w16cid:durableId="25613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0626"/>
    <w:rsid w:val="000023BC"/>
    <w:rsid w:val="0000315D"/>
    <w:rsid w:val="00003CF5"/>
    <w:rsid w:val="00003D96"/>
    <w:rsid w:val="0000578B"/>
    <w:rsid w:val="00007818"/>
    <w:rsid w:val="00010160"/>
    <w:rsid w:val="00012024"/>
    <w:rsid w:val="0001290C"/>
    <w:rsid w:val="00012FC2"/>
    <w:rsid w:val="00015BEA"/>
    <w:rsid w:val="00015CAE"/>
    <w:rsid w:val="0001603A"/>
    <w:rsid w:val="00021885"/>
    <w:rsid w:val="00021A68"/>
    <w:rsid w:val="00026CEE"/>
    <w:rsid w:val="00027001"/>
    <w:rsid w:val="00030637"/>
    <w:rsid w:val="0003089D"/>
    <w:rsid w:val="00030E3E"/>
    <w:rsid w:val="0003297C"/>
    <w:rsid w:val="00033236"/>
    <w:rsid w:val="00033D57"/>
    <w:rsid w:val="00034D04"/>
    <w:rsid w:val="00034E63"/>
    <w:rsid w:val="00034EC5"/>
    <w:rsid w:val="000371BE"/>
    <w:rsid w:val="0003784C"/>
    <w:rsid w:val="00040C33"/>
    <w:rsid w:val="00042982"/>
    <w:rsid w:val="00042F3B"/>
    <w:rsid w:val="00045FBD"/>
    <w:rsid w:val="00046A92"/>
    <w:rsid w:val="00046BE7"/>
    <w:rsid w:val="00046EA3"/>
    <w:rsid w:val="00051131"/>
    <w:rsid w:val="00052C70"/>
    <w:rsid w:val="0005459C"/>
    <w:rsid w:val="00054D87"/>
    <w:rsid w:val="000559B7"/>
    <w:rsid w:val="000566FC"/>
    <w:rsid w:val="000607F5"/>
    <w:rsid w:val="000639DC"/>
    <w:rsid w:val="00063F05"/>
    <w:rsid w:val="000641BF"/>
    <w:rsid w:val="000645BC"/>
    <w:rsid w:val="0006500F"/>
    <w:rsid w:val="0006750F"/>
    <w:rsid w:val="00071553"/>
    <w:rsid w:val="00073080"/>
    <w:rsid w:val="00073916"/>
    <w:rsid w:val="00073C2A"/>
    <w:rsid w:val="000741F7"/>
    <w:rsid w:val="00074419"/>
    <w:rsid w:val="000774DC"/>
    <w:rsid w:val="00080658"/>
    <w:rsid w:val="0008231F"/>
    <w:rsid w:val="00084977"/>
    <w:rsid w:val="00087A3D"/>
    <w:rsid w:val="00091956"/>
    <w:rsid w:val="000919AB"/>
    <w:rsid w:val="00091BD0"/>
    <w:rsid w:val="000942F0"/>
    <w:rsid w:val="00095563"/>
    <w:rsid w:val="0009643D"/>
    <w:rsid w:val="00096963"/>
    <w:rsid w:val="00096B9C"/>
    <w:rsid w:val="000A1880"/>
    <w:rsid w:val="000A31B6"/>
    <w:rsid w:val="000A3FBB"/>
    <w:rsid w:val="000A4F52"/>
    <w:rsid w:val="000A50A4"/>
    <w:rsid w:val="000A51A2"/>
    <w:rsid w:val="000A6A58"/>
    <w:rsid w:val="000A6FE2"/>
    <w:rsid w:val="000B05DB"/>
    <w:rsid w:val="000B15B3"/>
    <w:rsid w:val="000B2F89"/>
    <w:rsid w:val="000B3BBC"/>
    <w:rsid w:val="000B7775"/>
    <w:rsid w:val="000C0068"/>
    <w:rsid w:val="000C1FB6"/>
    <w:rsid w:val="000C2B9C"/>
    <w:rsid w:val="000C3C8E"/>
    <w:rsid w:val="000C3F73"/>
    <w:rsid w:val="000C53D2"/>
    <w:rsid w:val="000C607C"/>
    <w:rsid w:val="000C7B8B"/>
    <w:rsid w:val="000C7E94"/>
    <w:rsid w:val="000D0383"/>
    <w:rsid w:val="000D0B73"/>
    <w:rsid w:val="000D0F92"/>
    <w:rsid w:val="000D21CE"/>
    <w:rsid w:val="000D28CD"/>
    <w:rsid w:val="000D3194"/>
    <w:rsid w:val="000D37AB"/>
    <w:rsid w:val="000D3B86"/>
    <w:rsid w:val="000D598B"/>
    <w:rsid w:val="000E2275"/>
    <w:rsid w:val="000E4E2D"/>
    <w:rsid w:val="000E575D"/>
    <w:rsid w:val="000E61B3"/>
    <w:rsid w:val="000E6482"/>
    <w:rsid w:val="000E734F"/>
    <w:rsid w:val="000E7FEC"/>
    <w:rsid w:val="000F0547"/>
    <w:rsid w:val="000F198D"/>
    <w:rsid w:val="000F1F51"/>
    <w:rsid w:val="000F25A6"/>
    <w:rsid w:val="000F3668"/>
    <w:rsid w:val="000F38FF"/>
    <w:rsid w:val="000F3997"/>
    <w:rsid w:val="000F3ECD"/>
    <w:rsid w:val="000F503C"/>
    <w:rsid w:val="000F5629"/>
    <w:rsid w:val="000F73AD"/>
    <w:rsid w:val="0010238F"/>
    <w:rsid w:val="00106006"/>
    <w:rsid w:val="00113DBB"/>
    <w:rsid w:val="0011410E"/>
    <w:rsid w:val="001169E7"/>
    <w:rsid w:val="00117D2B"/>
    <w:rsid w:val="00117EA2"/>
    <w:rsid w:val="00120E64"/>
    <w:rsid w:val="001217C2"/>
    <w:rsid w:val="0012662F"/>
    <w:rsid w:val="001270C0"/>
    <w:rsid w:val="0012714D"/>
    <w:rsid w:val="00130C9A"/>
    <w:rsid w:val="0013152F"/>
    <w:rsid w:val="00133F34"/>
    <w:rsid w:val="00141DFA"/>
    <w:rsid w:val="0014471B"/>
    <w:rsid w:val="00145F9C"/>
    <w:rsid w:val="00146317"/>
    <w:rsid w:val="001469B9"/>
    <w:rsid w:val="0014732D"/>
    <w:rsid w:val="00147A5C"/>
    <w:rsid w:val="00147BCF"/>
    <w:rsid w:val="00150708"/>
    <w:rsid w:val="001507DF"/>
    <w:rsid w:val="001524F3"/>
    <w:rsid w:val="0015497D"/>
    <w:rsid w:val="00154B1C"/>
    <w:rsid w:val="001576C8"/>
    <w:rsid w:val="0016137C"/>
    <w:rsid w:val="00161BE0"/>
    <w:rsid w:val="0016248B"/>
    <w:rsid w:val="0016528E"/>
    <w:rsid w:val="001677B7"/>
    <w:rsid w:val="001677DD"/>
    <w:rsid w:val="00170486"/>
    <w:rsid w:val="00170670"/>
    <w:rsid w:val="001723BC"/>
    <w:rsid w:val="00173CE0"/>
    <w:rsid w:val="0017445F"/>
    <w:rsid w:val="00174569"/>
    <w:rsid w:val="00175617"/>
    <w:rsid w:val="00175EAB"/>
    <w:rsid w:val="00176DCB"/>
    <w:rsid w:val="001800A0"/>
    <w:rsid w:val="001807EB"/>
    <w:rsid w:val="001814CF"/>
    <w:rsid w:val="00181AA8"/>
    <w:rsid w:val="00182803"/>
    <w:rsid w:val="00182F00"/>
    <w:rsid w:val="0018316E"/>
    <w:rsid w:val="001832CF"/>
    <w:rsid w:val="00184E93"/>
    <w:rsid w:val="00185851"/>
    <w:rsid w:val="001864D8"/>
    <w:rsid w:val="00186B02"/>
    <w:rsid w:val="00186E70"/>
    <w:rsid w:val="00192215"/>
    <w:rsid w:val="00196073"/>
    <w:rsid w:val="00196451"/>
    <w:rsid w:val="001A03CC"/>
    <w:rsid w:val="001A0B58"/>
    <w:rsid w:val="001A0E53"/>
    <w:rsid w:val="001A12FD"/>
    <w:rsid w:val="001A17B8"/>
    <w:rsid w:val="001A1882"/>
    <w:rsid w:val="001A2A94"/>
    <w:rsid w:val="001A56F7"/>
    <w:rsid w:val="001A642C"/>
    <w:rsid w:val="001A6BEB"/>
    <w:rsid w:val="001A71B9"/>
    <w:rsid w:val="001B0178"/>
    <w:rsid w:val="001B16F3"/>
    <w:rsid w:val="001B38C6"/>
    <w:rsid w:val="001B484B"/>
    <w:rsid w:val="001B56C3"/>
    <w:rsid w:val="001B78B5"/>
    <w:rsid w:val="001C115D"/>
    <w:rsid w:val="001C1494"/>
    <w:rsid w:val="001C1EE3"/>
    <w:rsid w:val="001C4721"/>
    <w:rsid w:val="001C5D77"/>
    <w:rsid w:val="001C5F3C"/>
    <w:rsid w:val="001C5FC0"/>
    <w:rsid w:val="001D101D"/>
    <w:rsid w:val="001D2339"/>
    <w:rsid w:val="001D4A36"/>
    <w:rsid w:val="001E12B5"/>
    <w:rsid w:val="001E1D4C"/>
    <w:rsid w:val="001E2AFC"/>
    <w:rsid w:val="001E4DAF"/>
    <w:rsid w:val="001E56EE"/>
    <w:rsid w:val="001E7321"/>
    <w:rsid w:val="001F468A"/>
    <w:rsid w:val="001F48B7"/>
    <w:rsid w:val="001F4A03"/>
    <w:rsid w:val="001F663D"/>
    <w:rsid w:val="001F6AEA"/>
    <w:rsid w:val="002025BF"/>
    <w:rsid w:val="00204614"/>
    <w:rsid w:val="00204925"/>
    <w:rsid w:val="00206AA7"/>
    <w:rsid w:val="00210507"/>
    <w:rsid w:val="00210B15"/>
    <w:rsid w:val="0021178F"/>
    <w:rsid w:val="002119E5"/>
    <w:rsid w:val="00214208"/>
    <w:rsid w:val="00214D24"/>
    <w:rsid w:val="00215E89"/>
    <w:rsid w:val="00221171"/>
    <w:rsid w:val="00223681"/>
    <w:rsid w:val="00223F89"/>
    <w:rsid w:val="00223FA0"/>
    <w:rsid w:val="0022452D"/>
    <w:rsid w:val="00226DDE"/>
    <w:rsid w:val="0023012E"/>
    <w:rsid w:val="00230CC0"/>
    <w:rsid w:val="00231222"/>
    <w:rsid w:val="00231B71"/>
    <w:rsid w:val="002322A4"/>
    <w:rsid w:val="002352F4"/>
    <w:rsid w:val="00235BC8"/>
    <w:rsid w:val="00237B1D"/>
    <w:rsid w:val="002400D7"/>
    <w:rsid w:val="002410FE"/>
    <w:rsid w:val="00242F50"/>
    <w:rsid w:val="00244697"/>
    <w:rsid w:val="00250AA1"/>
    <w:rsid w:val="00251A33"/>
    <w:rsid w:val="002551BD"/>
    <w:rsid w:val="00255E6C"/>
    <w:rsid w:val="00256658"/>
    <w:rsid w:val="002574EE"/>
    <w:rsid w:val="00260012"/>
    <w:rsid w:val="00261AB2"/>
    <w:rsid w:val="00263359"/>
    <w:rsid w:val="00263687"/>
    <w:rsid w:val="0026370B"/>
    <w:rsid w:val="00264096"/>
    <w:rsid w:val="00264832"/>
    <w:rsid w:val="00265170"/>
    <w:rsid w:val="00266717"/>
    <w:rsid w:val="002723FF"/>
    <w:rsid w:val="002725B1"/>
    <w:rsid w:val="00272623"/>
    <w:rsid w:val="0027389E"/>
    <w:rsid w:val="00275650"/>
    <w:rsid w:val="00275766"/>
    <w:rsid w:val="002761D7"/>
    <w:rsid w:val="00276C03"/>
    <w:rsid w:val="0027773E"/>
    <w:rsid w:val="00277CE2"/>
    <w:rsid w:val="00280A5A"/>
    <w:rsid w:val="00281002"/>
    <w:rsid w:val="00282BFD"/>
    <w:rsid w:val="00285668"/>
    <w:rsid w:val="002865D6"/>
    <w:rsid w:val="00287647"/>
    <w:rsid w:val="00287AC4"/>
    <w:rsid w:val="00290071"/>
    <w:rsid w:val="00290688"/>
    <w:rsid w:val="00291DE4"/>
    <w:rsid w:val="00292347"/>
    <w:rsid w:val="00292F5B"/>
    <w:rsid w:val="00294476"/>
    <w:rsid w:val="00295E3C"/>
    <w:rsid w:val="00296936"/>
    <w:rsid w:val="00296A94"/>
    <w:rsid w:val="002A0052"/>
    <w:rsid w:val="002A0A17"/>
    <w:rsid w:val="002A14A6"/>
    <w:rsid w:val="002A2FFB"/>
    <w:rsid w:val="002A4DA4"/>
    <w:rsid w:val="002A51EF"/>
    <w:rsid w:val="002A5A0F"/>
    <w:rsid w:val="002B0D50"/>
    <w:rsid w:val="002B1521"/>
    <w:rsid w:val="002B2DB0"/>
    <w:rsid w:val="002B371D"/>
    <w:rsid w:val="002B48EB"/>
    <w:rsid w:val="002C11CF"/>
    <w:rsid w:val="002C13C3"/>
    <w:rsid w:val="002C2611"/>
    <w:rsid w:val="002C31EB"/>
    <w:rsid w:val="002C36D2"/>
    <w:rsid w:val="002C3982"/>
    <w:rsid w:val="002C48E0"/>
    <w:rsid w:val="002C6D77"/>
    <w:rsid w:val="002D0AB8"/>
    <w:rsid w:val="002D2C16"/>
    <w:rsid w:val="002D4A3A"/>
    <w:rsid w:val="002D67D1"/>
    <w:rsid w:val="002D6E49"/>
    <w:rsid w:val="002D7053"/>
    <w:rsid w:val="002D7471"/>
    <w:rsid w:val="002D7693"/>
    <w:rsid w:val="002D76E7"/>
    <w:rsid w:val="002E212A"/>
    <w:rsid w:val="002E31D3"/>
    <w:rsid w:val="002E376F"/>
    <w:rsid w:val="002E3DB1"/>
    <w:rsid w:val="002E3EDB"/>
    <w:rsid w:val="002E434E"/>
    <w:rsid w:val="002E4E29"/>
    <w:rsid w:val="002E6EF2"/>
    <w:rsid w:val="002E7769"/>
    <w:rsid w:val="002E7ADC"/>
    <w:rsid w:val="002F1E88"/>
    <w:rsid w:val="002F1F9E"/>
    <w:rsid w:val="002F243E"/>
    <w:rsid w:val="002F3079"/>
    <w:rsid w:val="002F317E"/>
    <w:rsid w:val="002F3196"/>
    <w:rsid w:val="002F31DB"/>
    <w:rsid w:val="002F4A33"/>
    <w:rsid w:val="002F6310"/>
    <w:rsid w:val="002F69FA"/>
    <w:rsid w:val="002F6B6C"/>
    <w:rsid w:val="003008E5"/>
    <w:rsid w:val="00300D8A"/>
    <w:rsid w:val="00301F92"/>
    <w:rsid w:val="003022B6"/>
    <w:rsid w:val="003027F2"/>
    <w:rsid w:val="00304869"/>
    <w:rsid w:val="00304FA1"/>
    <w:rsid w:val="003060C7"/>
    <w:rsid w:val="0030728B"/>
    <w:rsid w:val="00307ADF"/>
    <w:rsid w:val="00307F13"/>
    <w:rsid w:val="00310A39"/>
    <w:rsid w:val="00312D7C"/>
    <w:rsid w:val="003151D7"/>
    <w:rsid w:val="00316523"/>
    <w:rsid w:val="00316586"/>
    <w:rsid w:val="00316C07"/>
    <w:rsid w:val="00317113"/>
    <w:rsid w:val="003204EC"/>
    <w:rsid w:val="00321B4E"/>
    <w:rsid w:val="003223E3"/>
    <w:rsid w:val="003248E9"/>
    <w:rsid w:val="00324E3A"/>
    <w:rsid w:val="00325B4E"/>
    <w:rsid w:val="003279A8"/>
    <w:rsid w:val="00332CCB"/>
    <w:rsid w:val="00332EAC"/>
    <w:rsid w:val="003338A9"/>
    <w:rsid w:val="0033425F"/>
    <w:rsid w:val="003346CD"/>
    <w:rsid w:val="003346DC"/>
    <w:rsid w:val="0033541B"/>
    <w:rsid w:val="003356ED"/>
    <w:rsid w:val="00335AAB"/>
    <w:rsid w:val="00336122"/>
    <w:rsid w:val="00336ECA"/>
    <w:rsid w:val="00337876"/>
    <w:rsid w:val="00337A74"/>
    <w:rsid w:val="00340951"/>
    <w:rsid w:val="0034205F"/>
    <w:rsid w:val="0034282A"/>
    <w:rsid w:val="00343203"/>
    <w:rsid w:val="00344213"/>
    <w:rsid w:val="003450EC"/>
    <w:rsid w:val="003458CF"/>
    <w:rsid w:val="003468F0"/>
    <w:rsid w:val="00350A77"/>
    <w:rsid w:val="0035315D"/>
    <w:rsid w:val="003544A3"/>
    <w:rsid w:val="003550A1"/>
    <w:rsid w:val="00355A7C"/>
    <w:rsid w:val="00356995"/>
    <w:rsid w:val="00357833"/>
    <w:rsid w:val="00360EAE"/>
    <w:rsid w:val="003611CA"/>
    <w:rsid w:val="003632D3"/>
    <w:rsid w:val="003635AD"/>
    <w:rsid w:val="003643E8"/>
    <w:rsid w:val="003644F5"/>
    <w:rsid w:val="0036544A"/>
    <w:rsid w:val="00366878"/>
    <w:rsid w:val="0037055D"/>
    <w:rsid w:val="00371178"/>
    <w:rsid w:val="0037183D"/>
    <w:rsid w:val="00373CDC"/>
    <w:rsid w:val="0037494D"/>
    <w:rsid w:val="0037516E"/>
    <w:rsid w:val="003752CA"/>
    <w:rsid w:val="0037567D"/>
    <w:rsid w:val="003774B4"/>
    <w:rsid w:val="0037755F"/>
    <w:rsid w:val="00381815"/>
    <w:rsid w:val="00383032"/>
    <w:rsid w:val="0038476B"/>
    <w:rsid w:val="00385C77"/>
    <w:rsid w:val="00386481"/>
    <w:rsid w:val="0038649F"/>
    <w:rsid w:val="0038661E"/>
    <w:rsid w:val="0038706A"/>
    <w:rsid w:val="003900FC"/>
    <w:rsid w:val="003922AC"/>
    <w:rsid w:val="00393F53"/>
    <w:rsid w:val="00393FB7"/>
    <w:rsid w:val="00395BA6"/>
    <w:rsid w:val="003963B8"/>
    <w:rsid w:val="00396D55"/>
    <w:rsid w:val="00397E2E"/>
    <w:rsid w:val="003A03B5"/>
    <w:rsid w:val="003A1EF7"/>
    <w:rsid w:val="003A1F38"/>
    <w:rsid w:val="003A3D56"/>
    <w:rsid w:val="003A3D94"/>
    <w:rsid w:val="003A4099"/>
    <w:rsid w:val="003A4211"/>
    <w:rsid w:val="003A4222"/>
    <w:rsid w:val="003A48B8"/>
    <w:rsid w:val="003A5430"/>
    <w:rsid w:val="003A76A8"/>
    <w:rsid w:val="003B0E09"/>
    <w:rsid w:val="003B1359"/>
    <w:rsid w:val="003B1A04"/>
    <w:rsid w:val="003B2286"/>
    <w:rsid w:val="003B2E36"/>
    <w:rsid w:val="003B30CD"/>
    <w:rsid w:val="003B38A1"/>
    <w:rsid w:val="003B66B9"/>
    <w:rsid w:val="003B6781"/>
    <w:rsid w:val="003B6D3F"/>
    <w:rsid w:val="003C10B2"/>
    <w:rsid w:val="003C139D"/>
    <w:rsid w:val="003C1CDD"/>
    <w:rsid w:val="003C26C8"/>
    <w:rsid w:val="003C2F7A"/>
    <w:rsid w:val="003C760B"/>
    <w:rsid w:val="003D011B"/>
    <w:rsid w:val="003D2159"/>
    <w:rsid w:val="003D3527"/>
    <w:rsid w:val="003D44F0"/>
    <w:rsid w:val="003D4E76"/>
    <w:rsid w:val="003D505B"/>
    <w:rsid w:val="003D65C6"/>
    <w:rsid w:val="003E1088"/>
    <w:rsid w:val="003E162F"/>
    <w:rsid w:val="003E5B48"/>
    <w:rsid w:val="003E7CC1"/>
    <w:rsid w:val="003F0030"/>
    <w:rsid w:val="003F04B8"/>
    <w:rsid w:val="003F06A1"/>
    <w:rsid w:val="003F0D7D"/>
    <w:rsid w:val="003F294B"/>
    <w:rsid w:val="003F3393"/>
    <w:rsid w:val="003F44D8"/>
    <w:rsid w:val="003F4EA8"/>
    <w:rsid w:val="003F56B4"/>
    <w:rsid w:val="003F6AF9"/>
    <w:rsid w:val="00400C90"/>
    <w:rsid w:val="00400D3B"/>
    <w:rsid w:val="0040272F"/>
    <w:rsid w:val="00402A3E"/>
    <w:rsid w:val="0040387B"/>
    <w:rsid w:val="00405B62"/>
    <w:rsid w:val="00405E57"/>
    <w:rsid w:val="004106D9"/>
    <w:rsid w:val="00410E76"/>
    <w:rsid w:val="00411B54"/>
    <w:rsid w:val="004126AF"/>
    <w:rsid w:val="00413896"/>
    <w:rsid w:val="00416387"/>
    <w:rsid w:val="00416C4E"/>
    <w:rsid w:val="0041722E"/>
    <w:rsid w:val="0042016D"/>
    <w:rsid w:val="004213BB"/>
    <w:rsid w:val="00421A76"/>
    <w:rsid w:val="004228CA"/>
    <w:rsid w:val="004246B5"/>
    <w:rsid w:val="00425A5C"/>
    <w:rsid w:val="00426545"/>
    <w:rsid w:val="00426B4C"/>
    <w:rsid w:val="004278CD"/>
    <w:rsid w:val="0043073A"/>
    <w:rsid w:val="00432A46"/>
    <w:rsid w:val="004342EE"/>
    <w:rsid w:val="00435299"/>
    <w:rsid w:val="00442C27"/>
    <w:rsid w:val="00443225"/>
    <w:rsid w:val="004437DE"/>
    <w:rsid w:val="00443EDD"/>
    <w:rsid w:val="00444109"/>
    <w:rsid w:val="00444CD1"/>
    <w:rsid w:val="004470B5"/>
    <w:rsid w:val="004477CC"/>
    <w:rsid w:val="00450422"/>
    <w:rsid w:val="004506C0"/>
    <w:rsid w:val="00450763"/>
    <w:rsid w:val="004517AD"/>
    <w:rsid w:val="00452068"/>
    <w:rsid w:val="00452506"/>
    <w:rsid w:val="00454B86"/>
    <w:rsid w:val="00455216"/>
    <w:rsid w:val="004577B8"/>
    <w:rsid w:val="00460E66"/>
    <w:rsid w:val="00461212"/>
    <w:rsid w:val="0046193A"/>
    <w:rsid w:val="004621D8"/>
    <w:rsid w:val="0046355E"/>
    <w:rsid w:val="00465281"/>
    <w:rsid w:val="00465663"/>
    <w:rsid w:val="00467B3F"/>
    <w:rsid w:val="0047172C"/>
    <w:rsid w:val="00472ED9"/>
    <w:rsid w:val="00473833"/>
    <w:rsid w:val="00475991"/>
    <w:rsid w:val="00476005"/>
    <w:rsid w:val="00477802"/>
    <w:rsid w:val="00480480"/>
    <w:rsid w:val="00480FBB"/>
    <w:rsid w:val="004845F0"/>
    <w:rsid w:val="00485140"/>
    <w:rsid w:val="004853B9"/>
    <w:rsid w:val="00486FA9"/>
    <w:rsid w:val="004870E8"/>
    <w:rsid w:val="00490AB5"/>
    <w:rsid w:val="0049138E"/>
    <w:rsid w:val="00491C3B"/>
    <w:rsid w:val="00492590"/>
    <w:rsid w:val="00492879"/>
    <w:rsid w:val="00492A13"/>
    <w:rsid w:val="0049323E"/>
    <w:rsid w:val="0049352B"/>
    <w:rsid w:val="0049512F"/>
    <w:rsid w:val="004962CB"/>
    <w:rsid w:val="00497B94"/>
    <w:rsid w:val="004A060C"/>
    <w:rsid w:val="004A1E9B"/>
    <w:rsid w:val="004A2760"/>
    <w:rsid w:val="004A546A"/>
    <w:rsid w:val="004A6E16"/>
    <w:rsid w:val="004B25B6"/>
    <w:rsid w:val="004B2E68"/>
    <w:rsid w:val="004B3510"/>
    <w:rsid w:val="004B3EBD"/>
    <w:rsid w:val="004B4C0D"/>
    <w:rsid w:val="004B4D2D"/>
    <w:rsid w:val="004B6A7B"/>
    <w:rsid w:val="004B74AC"/>
    <w:rsid w:val="004C0DD2"/>
    <w:rsid w:val="004C116F"/>
    <w:rsid w:val="004C2504"/>
    <w:rsid w:val="004C2594"/>
    <w:rsid w:val="004C4732"/>
    <w:rsid w:val="004C5A9A"/>
    <w:rsid w:val="004C5CA2"/>
    <w:rsid w:val="004D0065"/>
    <w:rsid w:val="004D1024"/>
    <w:rsid w:val="004D2358"/>
    <w:rsid w:val="004D36BB"/>
    <w:rsid w:val="004D4EDF"/>
    <w:rsid w:val="004D5BFA"/>
    <w:rsid w:val="004E003B"/>
    <w:rsid w:val="004E0416"/>
    <w:rsid w:val="004E0776"/>
    <w:rsid w:val="004E1642"/>
    <w:rsid w:val="004E442A"/>
    <w:rsid w:val="004E57DC"/>
    <w:rsid w:val="004E6975"/>
    <w:rsid w:val="004E774E"/>
    <w:rsid w:val="004E7DB6"/>
    <w:rsid w:val="004F0664"/>
    <w:rsid w:val="004F0B52"/>
    <w:rsid w:val="004F1E99"/>
    <w:rsid w:val="004F3CB0"/>
    <w:rsid w:val="004F49FE"/>
    <w:rsid w:val="004F4DF5"/>
    <w:rsid w:val="0050321E"/>
    <w:rsid w:val="00505402"/>
    <w:rsid w:val="00506354"/>
    <w:rsid w:val="0051053D"/>
    <w:rsid w:val="00510C26"/>
    <w:rsid w:val="00512A7E"/>
    <w:rsid w:val="0051548F"/>
    <w:rsid w:val="00516FDA"/>
    <w:rsid w:val="0051708F"/>
    <w:rsid w:val="005217FF"/>
    <w:rsid w:val="00522306"/>
    <w:rsid w:val="00524D9D"/>
    <w:rsid w:val="00526BE0"/>
    <w:rsid w:val="0052751E"/>
    <w:rsid w:val="005301FE"/>
    <w:rsid w:val="00530E05"/>
    <w:rsid w:val="005330BF"/>
    <w:rsid w:val="0053358C"/>
    <w:rsid w:val="00533A90"/>
    <w:rsid w:val="005344C8"/>
    <w:rsid w:val="00540296"/>
    <w:rsid w:val="0054309B"/>
    <w:rsid w:val="00545A7C"/>
    <w:rsid w:val="00546D23"/>
    <w:rsid w:val="00551585"/>
    <w:rsid w:val="00551AD8"/>
    <w:rsid w:val="00553F32"/>
    <w:rsid w:val="00554F4D"/>
    <w:rsid w:val="005606E9"/>
    <w:rsid w:val="00563DD7"/>
    <w:rsid w:val="00564153"/>
    <w:rsid w:val="005653EF"/>
    <w:rsid w:val="005659AB"/>
    <w:rsid w:val="00565C6A"/>
    <w:rsid w:val="00565EC9"/>
    <w:rsid w:val="00570521"/>
    <w:rsid w:val="0057169B"/>
    <w:rsid w:val="005718A1"/>
    <w:rsid w:val="005729C0"/>
    <w:rsid w:val="00572E58"/>
    <w:rsid w:val="00573A95"/>
    <w:rsid w:val="00573CE7"/>
    <w:rsid w:val="0057779B"/>
    <w:rsid w:val="00577E4D"/>
    <w:rsid w:val="00581664"/>
    <w:rsid w:val="005828FC"/>
    <w:rsid w:val="0058545F"/>
    <w:rsid w:val="00587727"/>
    <w:rsid w:val="00590013"/>
    <w:rsid w:val="005900BC"/>
    <w:rsid w:val="00590689"/>
    <w:rsid w:val="005910B8"/>
    <w:rsid w:val="00591731"/>
    <w:rsid w:val="00593278"/>
    <w:rsid w:val="005939D9"/>
    <w:rsid w:val="00596E59"/>
    <w:rsid w:val="005977D4"/>
    <w:rsid w:val="005A003F"/>
    <w:rsid w:val="005A312D"/>
    <w:rsid w:val="005A4A8D"/>
    <w:rsid w:val="005A4B53"/>
    <w:rsid w:val="005A5020"/>
    <w:rsid w:val="005A51AB"/>
    <w:rsid w:val="005A5E27"/>
    <w:rsid w:val="005A6B99"/>
    <w:rsid w:val="005A6E61"/>
    <w:rsid w:val="005B069A"/>
    <w:rsid w:val="005B1067"/>
    <w:rsid w:val="005B1268"/>
    <w:rsid w:val="005B15F6"/>
    <w:rsid w:val="005B3DDE"/>
    <w:rsid w:val="005B4133"/>
    <w:rsid w:val="005B4E27"/>
    <w:rsid w:val="005B6EE4"/>
    <w:rsid w:val="005C1FFB"/>
    <w:rsid w:val="005C26A1"/>
    <w:rsid w:val="005C2E8A"/>
    <w:rsid w:val="005C2FCB"/>
    <w:rsid w:val="005C474A"/>
    <w:rsid w:val="005C63EF"/>
    <w:rsid w:val="005C7372"/>
    <w:rsid w:val="005C75AC"/>
    <w:rsid w:val="005C768F"/>
    <w:rsid w:val="005C7E82"/>
    <w:rsid w:val="005C7FE2"/>
    <w:rsid w:val="005D0926"/>
    <w:rsid w:val="005D1698"/>
    <w:rsid w:val="005D1C39"/>
    <w:rsid w:val="005D23A5"/>
    <w:rsid w:val="005D2A65"/>
    <w:rsid w:val="005D3B5D"/>
    <w:rsid w:val="005D469F"/>
    <w:rsid w:val="005D636E"/>
    <w:rsid w:val="005D69E3"/>
    <w:rsid w:val="005D6C8E"/>
    <w:rsid w:val="005D775A"/>
    <w:rsid w:val="005D7B67"/>
    <w:rsid w:val="005E0FE6"/>
    <w:rsid w:val="005E286E"/>
    <w:rsid w:val="005E35D9"/>
    <w:rsid w:val="005E42E4"/>
    <w:rsid w:val="005E431E"/>
    <w:rsid w:val="005E4989"/>
    <w:rsid w:val="005E620C"/>
    <w:rsid w:val="005E6FCD"/>
    <w:rsid w:val="005F04F9"/>
    <w:rsid w:val="005F069E"/>
    <w:rsid w:val="005F327D"/>
    <w:rsid w:val="005F37B3"/>
    <w:rsid w:val="005F3A7A"/>
    <w:rsid w:val="005F4BEE"/>
    <w:rsid w:val="005F566E"/>
    <w:rsid w:val="005F65A9"/>
    <w:rsid w:val="00600BDC"/>
    <w:rsid w:val="0060163A"/>
    <w:rsid w:val="0060256B"/>
    <w:rsid w:val="0060404D"/>
    <w:rsid w:val="006041A0"/>
    <w:rsid w:val="00604FD5"/>
    <w:rsid w:val="00605872"/>
    <w:rsid w:val="00605B1C"/>
    <w:rsid w:val="00607519"/>
    <w:rsid w:val="00610404"/>
    <w:rsid w:val="00610830"/>
    <w:rsid w:val="00611C20"/>
    <w:rsid w:val="006138AC"/>
    <w:rsid w:val="00615106"/>
    <w:rsid w:val="0061531B"/>
    <w:rsid w:val="006224D9"/>
    <w:rsid w:val="00623EC0"/>
    <w:rsid w:val="006260BE"/>
    <w:rsid w:val="00626D6B"/>
    <w:rsid w:val="006270F3"/>
    <w:rsid w:val="006306B7"/>
    <w:rsid w:val="00633800"/>
    <w:rsid w:val="00634133"/>
    <w:rsid w:val="0063460B"/>
    <w:rsid w:val="00640B96"/>
    <w:rsid w:val="00644456"/>
    <w:rsid w:val="006449CF"/>
    <w:rsid w:val="00644AF7"/>
    <w:rsid w:val="006451F9"/>
    <w:rsid w:val="00645DE5"/>
    <w:rsid w:val="00650523"/>
    <w:rsid w:val="00650FE6"/>
    <w:rsid w:val="0065589D"/>
    <w:rsid w:val="006561AF"/>
    <w:rsid w:val="006602A5"/>
    <w:rsid w:val="00661E05"/>
    <w:rsid w:val="00662180"/>
    <w:rsid w:val="00663831"/>
    <w:rsid w:val="006638A2"/>
    <w:rsid w:val="00663E20"/>
    <w:rsid w:val="00664128"/>
    <w:rsid w:val="006672E7"/>
    <w:rsid w:val="006710BA"/>
    <w:rsid w:val="00671419"/>
    <w:rsid w:val="00675F4A"/>
    <w:rsid w:val="00677432"/>
    <w:rsid w:val="006800FC"/>
    <w:rsid w:val="00680936"/>
    <w:rsid w:val="00681A5E"/>
    <w:rsid w:val="00682839"/>
    <w:rsid w:val="00682AF5"/>
    <w:rsid w:val="00682BDE"/>
    <w:rsid w:val="006846C3"/>
    <w:rsid w:val="00687777"/>
    <w:rsid w:val="00690484"/>
    <w:rsid w:val="0069253A"/>
    <w:rsid w:val="00694521"/>
    <w:rsid w:val="00694A49"/>
    <w:rsid w:val="00695174"/>
    <w:rsid w:val="00695FF6"/>
    <w:rsid w:val="006967E5"/>
    <w:rsid w:val="006A14BE"/>
    <w:rsid w:val="006A1935"/>
    <w:rsid w:val="006A343D"/>
    <w:rsid w:val="006A3DDF"/>
    <w:rsid w:val="006A4146"/>
    <w:rsid w:val="006A75AB"/>
    <w:rsid w:val="006A76F7"/>
    <w:rsid w:val="006B05C8"/>
    <w:rsid w:val="006B0830"/>
    <w:rsid w:val="006B0EDB"/>
    <w:rsid w:val="006B28BE"/>
    <w:rsid w:val="006C12DF"/>
    <w:rsid w:val="006C2E0C"/>
    <w:rsid w:val="006C3692"/>
    <w:rsid w:val="006C4E14"/>
    <w:rsid w:val="006C659C"/>
    <w:rsid w:val="006C6F0A"/>
    <w:rsid w:val="006C7D2A"/>
    <w:rsid w:val="006D1C44"/>
    <w:rsid w:val="006D3C18"/>
    <w:rsid w:val="006D40F0"/>
    <w:rsid w:val="006D4D4C"/>
    <w:rsid w:val="006D5195"/>
    <w:rsid w:val="006D5368"/>
    <w:rsid w:val="006D562E"/>
    <w:rsid w:val="006D67B9"/>
    <w:rsid w:val="006D706D"/>
    <w:rsid w:val="006D79B2"/>
    <w:rsid w:val="006E100F"/>
    <w:rsid w:val="006E10B1"/>
    <w:rsid w:val="006E24AD"/>
    <w:rsid w:val="006E2AAB"/>
    <w:rsid w:val="006E2FD2"/>
    <w:rsid w:val="006E36DF"/>
    <w:rsid w:val="006E4821"/>
    <w:rsid w:val="006F1025"/>
    <w:rsid w:val="006F2327"/>
    <w:rsid w:val="006F313B"/>
    <w:rsid w:val="006F5706"/>
    <w:rsid w:val="006F6E5A"/>
    <w:rsid w:val="007010E9"/>
    <w:rsid w:val="007012EA"/>
    <w:rsid w:val="00702557"/>
    <w:rsid w:val="0070512A"/>
    <w:rsid w:val="00706835"/>
    <w:rsid w:val="007077B4"/>
    <w:rsid w:val="00710F66"/>
    <w:rsid w:val="007112B3"/>
    <w:rsid w:val="007113A0"/>
    <w:rsid w:val="00711ADC"/>
    <w:rsid w:val="00711C0B"/>
    <w:rsid w:val="00711C4E"/>
    <w:rsid w:val="007121FE"/>
    <w:rsid w:val="007143B3"/>
    <w:rsid w:val="007146CD"/>
    <w:rsid w:val="00714B33"/>
    <w:rsid w:val="00714F5F"/>
    <w:rsid w:val="00715999"/>
    <w:rsid w:val="007170C2"/>
    <w:rsid w:val="00717EC8"/>
    <w:rsid w:val="0072044B"/>
    <w:rsid w:val="007218CD"/>
    <w:rsid w:val="007228DD"/>
    <w:rsid w:val="00722AF7"/>
    <w:rsid w:val="00724A27"/>
    <w:rsid w:val="00726C8D"/>
    <w:rsid w:val="00727FAB"/>
    <w:rsid w:val="0073137D"/>
    <w:rsid w:val="0073247F"/>
    <w:rsid w:val="007338C5"/>
    <w:rsid w:val="00734FF0"/>
    <w:rsid w:val="00735A22"/>
    <w:rsid w:val="007376EC"/>
    <w:rsid w:val="0074213A"/>
    <w:rsid w:val="0074219D"/>
    <w:rsid w:val="00742348"/>
    <w:rsid w:val="00743412"/>
    <w:rsid w:val="0074768E"/>
    <w:rsid w:val="007506BF"/>
    <w:rsid w:val="007514C8"/>
    <w:rsid w:val="00753FC0"/>
    <w:rsid w:val="007540F3"/>
    <w:rsid w:val="00754D99"/>
    <w:rsid w:val="007557EE"/>
    <w:rsid w:val="0075617B"/>
    <w:rsid w:val="007563B2"/>
    <w:rsid w:val="007610FD"/>
    <w:rsid w:val="00761803"/>
    <w:rsid w:val="00766DCC"/>
    <w:rsid w:val="007675D0"/>
    <w:rsid w:val="00770DEB"/>
    <w:rsid w:val="0077138E"/>
    <w:rsid w:val="00771C11"/>
    <w:rsid w:val="00771C8C"/>
    <w:rsid w:val="007721FA"/>
    <w:rsid w:val="007729D4"/>
    <w:rsid w:val="0077380F"/>
    <w:rsid w:val="00774280"/>
    <w:rsid w:val="00774CC2"/>
    <w:rsid w:val="00775153"/>
    <w:rsid w:val="0078026A"/>
    <w:rsid w:val="007814DE"/>
    <w:rsid w:val="0078165B"/>
    <w:rsid w:val="007826BD"/>
    <w:rsid w:val="007826FF"/>
    <w:rsid w:val="00783628"/>
    <w:rsid w:val="00783CA9"/>
    <w:rsid w:val="00784B9C"/>
    <w:rsid w:val="00790F45"/>
    <w:rsid w:val="00792137"/>
    <w:rsid w:val="00792566"/>
    <w:rsid w:val="0079267B"/>
    <w:rsid w:val="00794672"/>
    <w:rsid w:val="00796E14"/>
    <w:rsid w:val="00797C98"/>
    <w:rsid w:val="007A0082"/>
    <w:rsid w:val="007A02D9"/>
    <w:rsid w:val="007A10A2"/>
    <w:rsid w:val="007A290F"/>
    <w:rsid w:val="007A2BCC"/>
    <w:rsid w:val="007A2D16"/>
    <w:rsid w:val="007A4CF2"/>
    <w:rsid w:val="007B1342"/>
    <w:rsid w:val="007B1F0D"/>
    <w:rsid w:val="007B3634"/>
    <w:rsid w:val="007B5C20"/>
    <w:rsid w:val="007B5CB5"/>
    <w:rsid w:val="007B5E94"/>
    <w:rsid w:val="007B60C9"/>
    <w:rsid w:val="007B78A6"/>
    <w:rsid w:val="007C0345"/>
    <w:rsid w:val="007C1185"/>
    <w:rsid w:val="007C3912"/>
    <w:rsid w:val="007C3D34"/>
    <w:rsid w:val="007C5B7F"/>
    <w:rsid w:val="007C639D"/>
    <w:rsid w:val="007C7BDD"/>
    <w:rsid w:val="007D0B4C"/>
    <w:rsid w:val="007D1216"/>
    <w:rsid w:val="007D2310"/>
    <w:rsid w:val="007D381C"/>
    <w:rsid w:val="007D4700"/>
    <w:rsid w:val="007D4B12"/>
    <w:rsid w:val="007D636B"/>
    <w:rsid w:val="007E1DAA"/>
    <w:rsid w:val="007E3EB4"/>
    <w:rsid w:val="007E5206"/>
    <w:rsid w:val="007E60D6"/>
    <w:rsid w:val="007E6702"/>
    <w:rsid w:val="007E6F74"/>
    <w:rsid w:val="007E71C3"/>
    <w:rsid w:val="007F075C"/>
    <w:rsid w:val="007F13FF"/>
    <w:rsid w:val="007F1480"/>
    <w:rsid w:val="007F1A6D"/>
    <w:rsid w:val="007F5313"/>
    <w:rsid w:val="007F5673"/>
    <w:rsid w:val="00802C5D"/>
    <w:rsid w:val="00803EDD"/>
    <w:rsid w:val="008059C9"/>
    <w:rsid w:val="008101BD"/>
    <w:rsid w:val="00810B17"/>
    <w:rsid w:val="00810C12"/>
    <w:rsid w:val="00810F8B"/>
    <w:rsid w:val="00812F0E"/>
    <w:rsid w:val="008132CB"/>
    <w:rsid w:val="0081388F"/>
    <w:rsid w:val="008157B6"/>
    <w:rsid w:val="00816BEF"/>
    <w:rsid w:val="00816D43"/>
    <w:rsid w:val="0081732C"/>
    <w:rsid w:val="00817599"/>
    <w:rsid w:val="00820A5C"/>
    <w:rsid w:val="00822770"/>
    <w:rsid w:val="008246AD"/>
    <w:rsid w:val="00831EB4"/>
    <w:rsid w:val="008322BC"/>
    <w:rsid w:val="00833AA4"/>
    <w:rsid w:val="00833DD3"/>
    <w:rsid w:val="008361F7"/>
    <w:rsid w:val="008366C7"/>
    <w:rsid w:val="008407C1"/>
    <w:rsid w:val="008418B3"/>
    <w:rsid w:val="00842289"/>
    <w:rsid w:val="008422FD"/>
    <w:rsid w:val="00842368"/>
    <w:rsid w:val="008430C9"/>
    <w:rsid w:val="008432A3"/>
    <w:rsid w:val="00843F9F"/>
    <w:rsid w:val="00844726"/>
    <w:rsid w:val="00844FBD"/>
    <w:rsid w:val="00846FEE"/>
    <w:rsid w:val="00847CEC"/>
    <w:rsid w:val="00850BF3"/>
    <w:rsid w:val="00851208"/>
    <w:rsid w:val="00856EB9"/>
    <w:rsid w:val="00857367"/>
    <w:rsid w:val="00857D3C"/>
    <w:rsid w:val="00860219"/>
    <w:rsid w:val="00860AEB"/>
    <w:rsid w:val="0086155D"/>
    <w:rsid w:val="0086283B"/>
    <w:rsid w:val="008628DE"/>
    <w:rsid w:val="00863370"/>
    <w:rsid w:val="00863522"/>
    <w:rsid w:val="00863769"/>
    <w:rsid w:val="00863ADE"/>
    <w:rsid w:val="0086641A"/>
    <w:rsid w:val="008675E2"/>
    <w:rsid w:val="0087207E"/>
    <w:rsid w:val="008723C2"/>
    <w:rsid w:val="00873965"/>
    <w:rsid w:val="00877471"/>
    <w:rsid w:val="008808C9"/>
    <w:rsid w:val="008817D5"/>
    <w:rsid w:val="00881C1E"/>
    <w:rsid w:val="008821AA"/>
    <w:rsid w:val="0088663E"/>
    <w:rsid w:val="00886F4C"/>
    <w:rsid w:val="00887169"/>
    <w:rsid w:val="00887462"/>
    <w:rsid w:val="00890328"/>
    <w:rsid w:val="00893BA3"/>
    <w:rsid w:val="00893C1F"/>
    <w:rsid w:val="008950FB"/>
    <w:rsid w:val="008A0A8D"/>
    <w:rsid w:val="008A1292"/>
    <w:rsid w:val="008A1455"/>
    <w:rsid w:val="008A152C"/>
    <w:rsid w:val="008A1AD7"/>
    <w:rsid w:val="008A2606"/>
    <w:rsid w:val="008A6DAB"/>
    <w:rsid w:val="008A7781"/>
    <w:rsid w:val="008B1E33"/>
    <w:rsid w:val="008B57A7"/>
    <w:rsid w:val="008C10AC"/>
    <w:rsid w:val="008C1B86"/>
    <w:rsid w:val="008C4E83"/>
    <w:rsid w:val="008C5E0C"/>
    <w:rsid w:val="008C671B"/>
    <w:rsid w:val="008C7895"/>
    <w:rsid w:val="008C78DF"/>
    <w:rsid w:val="008D1FA7"/>
    <w:rsid w:val="008D24AB"/>
    <w:rsid w:val="008D4AB4"/>
    <w:rsid w:val="008D5EAC"/>
    <w:rsid w:val="008D5F2C"/>
    <w:rsid w:val="008D6557"/>
    <w:rsid w:val="008D68F4"/>
    <w:rsid w:val="008E005D"/>
    <w:rsid w:val="008E0257"/>
    <w:rsid w:val="008E0CEC"/>
    <w:rsid w:val="008E24CE"/>
    <w:rsid w:val="008E34AD"/>
    <w:rsid w:val="008E418D"/>
    <w:rsid w:val="008E45CB"/>
    <w:rsid w:val="008E4F1A"/>
    <w:rsid w:val="008E765B"/>
    <w:rsid w:val="008F116D"/>
    <w:rsid w:val="008F19AC"/>
    <w:rsid w:val="008F2134"/>
    <w:rsid w:val="008F2386"/>
    <w:rsid w:val="008F23EE"/>
    <w:rsid w:val="008F2F81"/>
    <w:rsid w:val="008F3830"/>
    <w:rsid w:val="008F57A0"/>
    <w:rsid w:val="0090006D"/>
    <w:rsid w:val="009004C7"/>
    <w:rsid w:val="00900A88"/>
    <w:rsid w:val="00901E2F"/>
    <w:rsid w:val="0090222A"/>
    <w:rsid w:val="009035C5"/>
    <w:rsid w:val="00904F67"/>
    <w:rsid w:val="00905705"/>
    <w:rsid w:val="009065D6"/>
    <w:rsid w:val="00906ECE"/>
    <w:rsid w:val="009078EF"/>
    <w:rsid w:val="009104F1"/>
    <w:rsid w:val="0091083B"/>
    <w:rsid w:val="0091309C"/>
    <w:rsid w:val="00913542"/>
    <w:rsid w:val="00913C22"/>
    <w:rsid w:val="00914A4B"/>
    <w:rsid w:val="0092075E"/>
    <w:rsid w:val="00920992"/>
    <w:rsid w:val="00921343"/>
    <w:rsid w:val="00922A41"/>
    <w:rsid w:val="00922EA5"/>
    <w:rsid w:val="0092369A"/>
    <w:rsid w:val="009238F5"/>
    <w:rsid w:val="00924183"/>
    <w:rsid w:val="00924E40"/>
    <w:rsid w:val="00925936"/>
    <w:rsid w:val="00925F97"/>
    <w:rsid w:val="00930A1D"/>
    <w:rsid w:val="0093199D"/>
    <w:rsid w:val="00933B65"/>
    <w:rsid w:val="00933D1F"/>
    <w:rsid w:val="0093581B"/>
    <w:rsid w:val="00935C81"/>
    <w:rsid w:val="009367DA"/>
    <w:rsid w:val="0093688E"/>
    <w:rsid w:val="00936E40"/>
    <w:rsid w:val="0094195D"/>
    <w:rsid w:val="00943572"/>
    <w:rsid w:val="00943D46"/>
    <w:rsid w:val="009446A6"/>
    <w:rsid w:val="00947534"/>
    <w:rsid w:val="00947F58"/>
    <w:rsid w:val="00950120"/>
    <w:rsid w:val="009526E6"/>
    <w:rsid w:val="00953527"/>
    <w:rsid w:val="00955275"/>
    <w:rsid w:val="00955D50"/>
    <w:rsid w:val="00960E52"/>
    <w:rsid w:val="009632A3"/>
    <w:rsid w:val="00963764"/>
    <w:rsid w:val="00963BF8"/>
    <w:rsid w:val="009679D5"/>
    <w:rsid w:val="00967CB3"/>
    <w:rsid w:val="009704A4"/>
    <w:rsid w:val="00973306"/>
    <w:rsid w:val="009745B3"/>
    <w:rsid w:val="009754B4"/>
    <w:rsid w:val="00980366"/>
    <w:rsid w:val="00980F04"/>
    <w:rsid w:val="00983671"/>
    <w:rsid w:val="009836EE"/>
    <w:rsid w:val="00991677"/>
    <w:rsid w:val="00993867"/>
    <w:rsid w:val="00995B25"/>
    <w:rsid w:val="0099622B"/>
    <w:rsid w:val="00996C7C"/>
    <w:rsid w:val="009A0966"/>
    <w:rsid w:val="009A247B"/>
    <w:rsid w:val="009A4292"/>
    <w:rsid w:val="009A568C"/>
    <w:rsid w:val="009A5ABE"/>
    <w:rsid w:val="009A5DB2"/>
    <w:rsid w:val="009B0338"/>
    <w:rsid w:val="009B19A7"/>
    <w:rsid w:val="009B4E21"/>
    <w:rsid w:val="009B5665"/>
    <w:rsid w:val="009B5810"/>
    <w:rsid w:val="009B5FD8"/>
    <w:rsid w:val="009B6EAE"/>
    <w:rsid w:val="009C0430"/>
    <w:rsid w:val="009C0E91"/>
    <w:rsid w:val="009C126D"/>
    <w:rsid w:val="009C1E8A"/>
    <w:rsid w:val="009C2983"/>
    <w:rsid w:val="009C79F9"/>
    <w:rsid w:val="009C7ADD"/>
    <w:rsid w:val="009C7C6E"/>
    <w:rsid w:val="009D0367"/>
    <w:rsid w:val="009D17C9"/>
    <w:rsid w:val="009D2237"/>
    <w:rsid w:val="009D5A5F"/>
    <w:rsid w:val="009D6678"/>
    <w:rsid w:val="009D67A6"/>
    <w:rsid w:val="009D6F9D"/>
    <w:rsid w:val="009D7226"/>
    <w:rsid w:val="009E01C7"/>
    <w:rsid w:val="009E0615"/>
    <w:rsid w:val="009E1123"/>
    <w:rsid w:val="009E193B"/>
    <w:rsid w:val="009E252B"/>
    <w:rsid w:val="009E31A6"/>
    <w:rsid w:val="009E3E5A"/>
    <w:rsid w:val="009F0115"/>
    <w:rsid w:val="009F07E1"/>
    <w:rsid w:val="009F5850"/>
    <w:rsid w:val="009F67C2"/>
    <w:rsid w:val="00A0057A"/>
    <w:rsid w:val="00A01EDF"/>
    <w:rsid w:val="00A02170"/>
    <w:rsid w:val="00A026D4"/>
    <w:rsid w:val="00A026E8"/>
    <w:rsid w:val="00A03440"/>
    <w:rsid w:val="00A03604"/>
    <w:rsid w:val="00A04EB8"/>
    <w:rsid w:val="00A0588F"/>
    <w:rsid w:val="00A07C17"/>
    <w:rsid w:val="00A10920"/>
    <w:rsid w:val="00A11357"/>
    <w:rsid w:val="00A12D42"/>
    <w:rsid w:val="00A12DE7"/>
    <w:rsid w:val="00A13090"/>
    <w:rsid w:val="00A15339"/>
    <w:rsid w:val="00A15575"/>
    <w:rsid w:val="00A178C9"/>
    <w:rsid w:val="00A22376"/>
    <w:rsid w:val="00A229C2"/>
    <w:rsid w:val="00A22E2A"/>
    <w:rsid w:val="00A23F12"/>
    <w:rsid w:val="00A244E4"/>
    <w:rsid w:val="00A24931"/>
    <w:rsid w:val="00A24F34"/>
    <w:rsid w:val="00A252C5"/>
    <w:rsid w:val="00A26BEF"/>
    <w:rsid w:val="00A302CF"/>
    <w:rsid w:val="00A306FE"/>
    <w:rsid w:val="00A309AA"/>
    <w:rsid w:val="00A3129C"/>
    <w:rsid w:val="00A3180B"/>
    <w:rsid w:val="00A31A1D"/>
    <w:rsid w:val="00A32AA7"/>
    <w:rsid w:val="00A32EEC"/>
    <w:rsid w:val="00A343C2"/>
    <w:rsid w:val="00A3574F"/>
    <w:rsid w:val="00A3753C"/>
    <w:rsid w:val="00A37F93"/>
    <w:rsid w:val="00A42D12"/>
    <w:rsid w:val="00A44B8E"/>
    <w:rsid w:val="00A44FB4"/>
    <w:rsid w:val="00A45146"/>
    <w:rsid w:val="00A4684B"/>
    <w:rsid w:val="00A47A5C"/>
    <w:rsid w:val="00A515F2"/>
    <w:rsid w:val="00A54E97"/>
    <w:rsid w:val="00A5531A"/>
    <w:rsid w:val="00A57769"/>
    <w:rsid w:val="00A60712"/>
    <w:rsid w:val="00A6411F"/>
    <w:rsid w:val="00A652C1"/>
    <w:rsid w:val="00A65987"/>
    <w:rsid w:val="00A66102"/>
    <w:rsid w:val="00A71357"/>
    <w:rsid w:val="00A71F6F"/>
    <w:rsid w:val="00A72552"/>
    <w:rsid w:val="00A733B7"/>
    <w:rsid w:val="00A733C3"/>
    <w:rsid w:val="00A7361A"/>
    <w:rsid w:val="00A7490E"/>
    <w:rsid w:val="00A75897"/>
    <w:rsid w:val="00A77EDB"/>
    <w:rsid w:val="00A8048B"/>
    <w:rsid w:val="00A807CF"/>
    <w:rsid w:val="00A80FDC"/>
    <w:rsid w:val="00A81E4E"/>
    <w:rsid w:val="00A83B5F"/>
    <w:rsid w:val="00A84123"/>
    <w:rsid w:val="00A846C3"/>
    <w:rsid w:val="00A860B0"/>
    <w:rsid w:val="00A90546"/>
    <w:rsid w:val="00A92B84"/>
    <w:rsid w:val="00A93194"/>
    <w:rsid w:val="00A9379B"/>
    <w:rsid w:val="00A94277"/>
    <w:rsid w:val="00A942AE"/>
    <w:rsid w:val="00A946F2"/>
    <w:rsid w:val="00A94F06"/>
    <w:rsid w:val="00A96887"/>
    <w:rsid w:val="00A96AA2"/>
    <w:rsid w:val="00AA05AE"/>
    <w:rsid w:val="00AA0D9C"/>
    <w:rsid w:val="00AA188A"/>
    <w:rsid w:val="00AA4541"/>
    <w:rsid w:val="00AA4816"/>
    <w:rsid w:val="00AA4C2E"/>
    <w:rsid w:val="00AA6D0D"/>
    <w:rsid w:val="00AB1826"/>
    <w:rsid w:val="00AB2D51"/>
    <w:rsid w:val="00AB3B39"/>
    <w:rsid w:val="00AB3EB4"/>
    <w:rsid w:val="00AB40F0"/>
    <w:rsid w:val="00AB46E4"/>
    <w:rsid w:val="00AB6783"/>
    <w:rsid w:val="00AB72FB"/>
    <w:rsid w:val="00AB76F9"/>
    <w:rsid w:val="00AC151C"/>
    <w:rsid w:val="00AC5120"/>
    <w:rsid w:val="00AC5441"/>
    <w:rsid w:val="00AC635D"/>
    <w:rsid w:val="00AC66B7"/>
    <w:rsid w:val="00AD1A17"/>
    <w:rsid w:val="00AD1EA1"/>
    <w:rsid w:val="00AD3274"/>
    <w:rsid w:val="00AD45BA"/>
    <w:rsid w:val="00AD61E7"/>
    <w:rsid w:val="00AE1273"/>
    <w:rsid w:val="00AE2B30"/>
    <w:rsid w:val="00AE4A38"/>
    <w:rsid w:val="00AE783F"/>
    <w:rsid w:val="00AF0528"/>
    <w:rsid w:val="00AF1ACE"/>
    <w:rsid w:val="00AF2441"/>
    <w:rsid w:val="00AF4280"/>
    <w:rsid w:val="00AF59C6"/>
    <w:rsid w:val="00AF6CD3"/>
    <w:rsid w:val="00B00175"/>
    <w:rsid w:val="00B0183F"/>
    <w:rsid w:val="00B01878"/>
    <w:rsid w:val="00B01BDE"/>
    <w:rsid w:val="00B025CE"/>
    <w:rsid w:val="00B02C55"/>
    <w:rsid w:val="00B03982"/>
    <w:rsid w:val="00B043EB"/>
    <w:rsid w:val="00B05003"/>
    <w:rsid w:val="00B05799"/>
    <w:rsid w:val="00B05CDB"/>
    <w:rsid w:val="00B0772D"/>
    <w:rsid w:val="00B10624"/>
    <w:rsid w:val="00B11B6C"/>
    <w:rsid w:val="00B1252C"/>
    <w:rsid w:val="00B12C5A"/>
    <w:rsid w:val="00B1310B"/>
    <w:rsid w:val="00B1315F"/>
    <w:rsid w:val="00B1389B"/>
    <w:rsid w:val="00B13EDE"/>
    <w:rsid w:val="00B14FF0"/>
    <w:rsid w:val="00B15113"/>
    <w:rsid w:val="00B15523"/>
    <w:rsid w:val="00B15C2C"/>
    <w:rsid w:val="00B15D3F"/>
    <w:rsid w:val="00B16F5C"/>
    <w:rsid w:val="00B17D4C"/>
    <w:rsid w:val="00B212DE"/>
    <w:rsid w:val="00B23563"/>
    <w:rsid w:val="00B23D7C"/>
    <w:rsid w:val="00B264D7"/>
    <w:rsid w:val="00B26EFE"/>
    <w:rsid w:val="00B27011"/>
    <w:rsid w:val="00B27E55"/>
    <w:rsid w:val="00B303BA"/>
    <w:rsid w:val="00B30EB4"/>
    <w:rsid w:val="00B34051"/>
    <w:rsid w:val="00B3566E"/>
    <w:rsid w:val="00B37572"/>
    <w:rsid w:val="00B41136"/>
    <w:rsid w:val="00B4440A"/>
    <w:rsid w:val="00B4570D"/>
    <w:rsid w:val="00B4578C"/>
    <w:rsid w:val="00B45DC6"/>
    <w:rsid w:val="00B4692E"/>
    <w:rsid w:val="00B472D1"/>
    <w:rsid w:val="00B473A7"/>
    <w:rsid w:val="00B51A16"/>
    <w:rsid w:val="00B52F12"/>
    <w:rsid w:val="00B53585"/>
    <w:rsid w:val="00B5384D"/>
    <w:rsid w:val="00B54FD8"/>
    <w:rsid w:val="00B60E2B"/>
    <w:rsid w:val="00B614F1"/>
    <w:rsid w:val="00B618A8"/>
    <w:rsid w:val="00B63140"/>
    <w:rsid w:val="00B6372A"/>
    <w:rsid w:val="00B6479D"/>
    <w:rsid w:val="00B64DB6"/>
    <w:rsid w:val="00B65651"/>
    <w:rsid w:val="00B65A1C"/>
    <w:rsid w:val="00B65F4D"/>
    <w:rsid w:val="00B66326"/>
    <w:rsid w:val="00B67420"/>
    <w:rsid w:val="00B67EDE"/>
    <w:rsid w:val="00B7379E"/>
    <w:rsid w:val="00B73BD6"/>
    <w:rsid w:val="00B73FC8"/>
    <w:rsid w:val="00B74F4B"/>
    <w:rsid w:val="00B75364"/>
    <w:rsid w:val="00B77D31"/>
    <w:rsid w:val="00B8065F"/>
    <w:rsid w:val="00B80D28"/>
    <w:rsid w:val="00B80F32"/>
    <w:rsid w:val="00B8187C"/>
    <w:rsid w:val="00B820B0"/>
    <w:rsid w:val="00B82388"/>
    <w:rsid w:val="00B83EA5"/>
    <w:rsid w:val="00B84F04"/>
    <w:rsid w:val="00B85169"/>
    <w:rsid w:val="00B91AC2"/>
    <w:rsid w:val="00B91BDB"/>
    <w:rsid w:val="00B95533"/>
    <w:rsid w:val="00BA5E50"/>
    <w:rsid w:val="00BB0524"/>
    <w:rsid w:val="00BB1834"/>
    <w:rsid w:val="00BB3F66"/>
    <w:rsid w:val="00BB44F3"/>
    <w:rsid w:val="00BB4F9C"/>
    <w:rsid w:val="00BB6408"/>
    <w:rsid w:val="00BC07A9"/>
    <w:rsid w:val="00BC1C81"/>
    <w:rsid w:val="00BC29DB"/>
    <w:rsid w:val="00BC3B54"/>
    <w:rsid w:val="00BC5AB1"/>
    <w:rsid w:val="00BC7A36"/>
    <w:rsid w:val="00BC7AAC"/>
    <w:rsid w:val="00BD04D2"/>
    <w:rsid w:val="00BD085F"/>
    <w:rsid w:val="00BD1E2F"/>
    <w:rsid w:val="00BD4291"/>
    <w:rsid w:val="00BD6BAE"/>
    <w:rsid w:val="00BD737E"/>
    <w:rsid w:val="00BE05AE"/>
    <w:rsid w:val="00BE0892"/>
    <w:rsid w:val="00BE10B7"/>
    <w:rsid w:val="00BE2643"/>
    <w:rsid w:val="00BE2B81"/>
    <w:rsid w:val="00BE3038"/>
    <w:rsid w:val="00BE35C7"/>
    <w:rsid w:val="00BE6F02"/>
    <w:rsid w:val="00BE76A6"/>
    <w:rsid w:val="00BF1B25"/>
    <w:rsid w:val="00BF2478"/>
    <w:rsid w:val="00BF2628"/>
    <w:rsid w:val="00BF455C"/>
    <w:rsid w:val="00BF4F99"/>
    <w:rsid w:val="00BF4FFA"/>
    <w:rsid w:val="00BF7F5C"/>
    <w:rsid w:val="00C01BF4"/>
    <w:rsid w:val="00C01D5B"/>
    <w:rsid w:val="00C02A9D"/>
    <w:rsid w:val="00C02B63"/>
    <w:rsid w:val="00C03E99"/>
    <w:rsid w:val="00C04599"/>
    <w:rsid w:val="00C047DF"/>
    <w:rsid w:val="00C04A87"/>
    <w:rsid w:val="00C05315"/>
    <w:rsid w:val="00C05373"/>
    <w:rsid w:val="00C056C9"/>
    <w:rsid w:val="00C0731B"/>
    <w:rsid w:val="00C07D50"/>
    <w:rsid w:val="00C125D2"/>
    <w:rsid w:val="00C12783"/>
    <w:rsid w:val="00C12A7A"/>
    <w:rsid w:val="00C1375C"/>
    <w:rsid w:val="00C15BF3"/>
    <w:rsid w:val="00C16289"/>
    <w:rsid w:val="00C213AF"/>
    <w:rsid w:val="00C21BEC"/>
    <w:rsid w:val="00C21D8C"/>
    <w:rsid w:val="00C240C3"/>
    <w:rsid w:val="00C25D3A"/>
    <w:rsid w:val="00C314EB"/>
    <w:rsid w:val="00C319D3"/>
    <w:rsid w:val="00C336F4"/>
    <w:rsid w:val="00C33AD1"/>
    <w:rsid w:val="00C34969"/>
    <w:rsid w:val="00C36DB4"/>
    <w:rsid w:val="00C401B3"/>
    <w:rsid w:val="00C4124B"/>
    <w:rsid w:val="00C4284F"/>
    <w:rsid w:val="00C4304A"/>
    <w:rsid w:val="00C43603"/>
    <w:rsid w:val="00C43FC7"/>
    <w:rsid w:val="00C44E43"/>
    <w:rsid w:val="00C461F3"/>
    <w:rsid w:val="00C476D1"/>
    <w:rsid w:val="00C47FDB"/>
    <w:rsid w:val="00C50966"/>
    <w:rsid w:val="00C5322F"/>
    <w:rsid w:val="00C5618E"/>
    <w:rsid w:val="00C56BB4"/>
    <w:rsid w:val="00C60C25"/>
    <w:rsid w:val="00C61065"/>
    <w:rsid w:val="00C61A58"/>
    <w:rsid w:val="00C64022"/>
    <w:rsid w:val="00C6488B"/>
    <w:rsid w:val="00C65706"/>
    <w:rsid w:val="00C65A22"/>
    <w:rsid w:val="00C66CAB"/>
    <w:rsid w:val="00C67DDF"/>
    <w:rsid w:val="00C7015E"/>
    <w:rsid w:val="00C7083E"/>
    <w:rsid w:val="00C70F61"/>
    <w:rsid w:val="00C748FF"/>
    <w:rsid w:val="00C753B7"/>
    <w:rsid w:val="00C754D2"/>
    <w:rsid w:val="00C775F3"/>
    <w:rsid w:val="00C8131E"/>
    <w:rsid w:val="00C81374"/>
    <w:rsid w:val="00C837F2"/>
    <w:rsid w:val="00C84261"/>
    <w:rsid w:val="00C84A5F"/>
    <w:rsid w:val="00C8641A"/>
    <w:rsid w:val="00C866B4"/>
    <w:rsid w:val="00C86D4D"/>
    <w:rsid w:val="00C90BF5"/>
    <w:rsid w:val="00C90E58"/>
    <w:rsid w:val="00C9157B"/>
    <w:rsid w:val="00C91900"/>
    <w:rsid w:val="00C91F58"/>
    <w:rsid w:val="00C92E8D"/>
    <w:rsid w:val="00C93C5C"/>
    <w:rsid w:val="00C93E33"/>
    <w:rsid w:val="00C961A4"/>
    <w:rsid w:val="00C96D87"/>
    <w:rsid w:val="00C97B04"/>
    <w:rsid w:val="00CA18B9"/>
    <w:rsid w:val="00CA1D47"/>
    <w:rsid w:val="00CA200E"/>
    <w:rsid w:val="00CA2F2B"/>
    <w:rsid w:val="00CA38F2"/>
    <w:rsid w:val="00CA7B81"/>
    <w:rsid w:val="00CB063B"/>
    <w:rsid w:val="00CB14FA"/>
    <w:rsid w:val="00CB31CE"/>
    <w:rsid w:val="00CB4325"/>
    <w:rsid w:val="00CB43E1"/>
    <w:rsid w:val="00CB499E"/>
    <w:rsid w:val="00CB6611"/>
    <w:rsid w:val="00CB6E2D"/>
    <w:rsid w:val="00CB7ACF"/>
    <w:rsid w:val="00CC05A4"/>
    <w:rsid w:val="00CC0624"/>
    <w:rsid w:val="00CC07C7"/>
    <w:rsid w:val="00CC1D03"/>
    <w:rsid w:val="00CC2A32"/>
    <w:rsid w:val="00CC2B1D"/>
    <w:rsid w:val="00CC30B9"/>
    <w:rsid w:val="00CC6F27"/>
    <w:rsid w:val="00CC7071"/>
    <w:rsid w:val="00CC7208"/>
    <w:rsid w:val="00CD34C5"/>
    <w:rsid w:val="00CD4D9D"/>
    <w:rsid w:val="00CD76BC"/>
    <w:rsid w:val="00CE25AB"/>
    <w:rsid w:val="00CE269A"/>
    <w:rsid w:val="00CE2BA6"/>
    <w:rsid w:val="00CE424C"/>
    <w:rsid w:val="00CE5BC7"/>
    <w:rsid w:val="00CE5C39"/>
    <w:rsid w:val="00CE5DB3"/>
    <w:rsid w:val="00CE6720"/>
    <w:rsid w:val="00CE7C1D"/>
    <w:rsid w:val="00CF0CA1"/>
    <w:rsid w:val="00CF1986"/>
    <w:rsid w:val="00CF3C68"/>
    <w:rsid w:val="00CF5842"/>
    <w:rsid w:val="00D00E17"/>
    <w:rsid w:val="00D0161C"/>
    <w:rsid w:val="00D01932"/>
    <w:rsid w:val="00D024A2"/>
    <w:rsid w:val="00D04622"/>
    <w:rsid w:val="00D10887"/>
    <w:rsid w:val="00D1107D"/>
    <w:rsid w:val="00D1164C"/>
    <w:rsid w:val="00D1187F"/>
    <w:rsid w:val="00D14383"/>
    <w:rsid w:val="00D158E9"/>
    <w:rsid w:val="00D20992"/>
    <w:rsid w:val="00D216C1"/>
    <w:rsid w:val="00D21835"/>
    <w:rsid w:val="00D21D1D"/>
    <w:rsid w:val="00D25AC9"/>
    <w:rsid w:val="00D26902"/>
    <w:rsid w:val="00D26D53"/>
    <w:rsid w:val="00D3184E"/>
    <w:rsid w:val="00D31A53"/>
    <w:rsid w:val="00D331FB"/>
    <w:rsid w:val="00D33D61"/>
    <w:rsid w:val="00D340DD"/>
    <w:rsid w:val="00D3497E"/>
    <w:rsid w:val="00D34AA0"/>
    <w:rsid w:val="00D35F10"/>
    <w:rsid w:val="00D36A22"/>
    <w:rsid w:val="00D37409"/>
    <w:rsid w:val="00D4005A"/>
    <w:rsid w:val="00D42946"/>
    <w:rsid w:val="00D42ACE"/>
    <w:rsid w:val="00D43699"/>
    <w:rsid w:val="00D448C0"/>
    <w:rsid w:val="00D44DCF"/>
    <w:rsid w:val="00D4504C"/>
    <w:rsid w:val="00D47176"/>
    <w:rsid w:val="00D4729C"/>
    <w:rsid w:val="00D50485"/>
    <w:rsid w:val="00D51713"/>
    <w:rsid w:val="00D52659"/>
    <w:rsid w:val="00D5350B"/>
    <w:rsid w:val="00D54861"/>
    <w:rsid w:val="00D54AAB"/>
    <w:rsid w:val="00D55025"/>
    <w:rsid w:val="00D5534A"/>
    <w:rsid w:val="00D55A02"/>
    <w:rsid w:val="00D55EA6"/>
    <w:rsid w:val="00D57737"/>
    <w:rsid w:val="00D6347F"/>
    <w:rsid w:val="00D63713"/>
    <w:rsid w:val="00D67F28"/>
    <w:rsid w:val="00D71A18"/>
    <w:rsid w:val="00D73889"/>
    <w:rsid w:val="00D73C1E"/>
    <w:rsid w:val="00D75EF3"/>
    <w:rsid w:val="00D76132"/>
    <w:rsid w:val="00D7635B"/>
    <w:rsid w:val="00D766FE"/>
    <w:rsid w:val="00D76EC4"/>
    <w:rsid w:val="00D778EB"/>
    <w:rsid w:val="00D77BA0"/>
    <w:rsid w:val="00D82727"/>
    <w:rsid w:val="00D8296E"/>
    <w:rsid w:val="00D8396E"/>
    <w:rsid w:val="00D86962"/>
    <w:rsid w:val="00D879F4"/>
    <w:rsid w:val="00D9000E"/>
    <w:rsid w:val="00D923DA"/>
    <w:rsid w:val="00D971F0"/>
    <w:rsid w:val="00DA1658"/>
    <w:rsid w:val="00DA1873"/>
    <w:rsid w:val="00DA1BD0"/>
    <w:rsid w:val="00DA2207"/>
    <w:rsid w:val="00DA242E"/>
    <w:rsid w:val="00DA3B13"/>
    <w:rsid w:val="00DA42BE"/>
    <w:rsid w:val="00DA520A"/>
    <w:rsid w:val="00DA6DFC"/>
    <w:rsid w:val="00DA7242"/>
    <w:rsid w:val="00DB0150"/>
    <w:rsid w:val="00DB22D1"/>
    <w:rsid w:val="00DB7B41"/>
    <w:rsid w:val="00DC1F89"/>
    <w:rsid w:val="00DC2165"/>
    <w:rsid w:val="00DC3265"/>
    <w:rsid w:val="00DC4F0A"/>
    <w:rsid w:val="00DC5FF5"/>
    <w:rsid w:val="00DC74AE"/>
    <w:rsid w:val="00DD09B7"/>
    <w:rsid w:val="00DD0DE9"/>
    <w:rsid w:val="00DD2C97"/>
    <w:rsid w:val="00DD5AF5"/>
    <w:rsid w:val="00DD5D06"/>
    <w:rsid w:val="00DD72BA"/>
    <w:rsid w:val="00DD7DE9"/>
    <w:rsid w:val="00DD7EA4"/>
    <w:rsid w:val="00DD7F49"/>
    <w:rsid w:val="00DE01B4"/>
    <w:rsid w:val="00DE2A2D"/>
    <w:rsid w:val="00DE35E5"/>
    <w:rsid w:val="00DE3D8E"/>
    <w:rsid w:val="00DE42E2"/>
    <w:rsid w:val="00DE5DC9"/>
    <w:rsid w:val="00DE6511"/>
    <w:rsid w:val="00DE65C6"/>
    <w:rsid w:val="00DE7ED8"/>
    <w:rsid w:val="00DF2185"/>
    <w:rsid w:val="00DF2661"/>
    <w:rsid w:val="00DF3065"/>
    <w:rsid w:val="00DF3ACA"/>
    <w:rsid w:val="00DF4F63"/>
    <w:rsid w:val="00DF512D"/>
    <w:rsid w:val="00DF7600"/>
    <w:rsid w:val="00DF7D1B"/>
    <w:rsid w:val="00E01DF6"/>
    <w:rsid w:val="00E01E0F"/>
    <w:rsid w:val="00E0224A"/>
    <w:rsid w:val="00E02500"/>
    <w:rsid w:val="00E026D5"/>
    <w:rsid w:val="00E037D5"/>
    <w:rsid w:val="00E03A31"/>
    <w:rsid w:val="00E03F14"/>
    <w:rsid w:val="00E0494A"/>
    <w:rsid w:val="00E04F62"/>
    <w:rsid w:val="00E0501D"/>
    <w:rsid w:val="00E0546E"/>
    <w:rsid w:val="00E054DA"/>
    <w:rsid w:val="00E0550C"/>
    <w:rsid w:val="00E07409"/>
    <w:rsid w:val="00E101E4"/>
    <w:rsid w:val="00E10F3C"/>
    <w:rsid w:val="00E11280"/>
    <w:rsid w:val="00E13ECD"/>
    <w:rsid w:val="00E1640B"/>
    <w:rsid w:val="00E16741"/>
    <w:rsid w:val="00E2072F"/>
    <w:rsid w:val="00E223F4"/>
    <w:rsid w:val="00E2289C"/>
    <w:rsid w:val="00E22F0D"/>
    <w:rsid w:val="00E24321"/>
    <w:rsid w:val="00E255AD"/>
    <w:rsid w:val="00E267E3"/>
    <w:rsid w:val="00E26848"/>
    <w:rsid w:val="00E339DE"/>
    <w:rsid w:val="00E33AC2"/>
    <w:rsid w:val="00E33C22"/>
    <w:rsid w:val="00E33EF8"/>
    <w:rsid w:val="00E35F01"/>
    <w:rsid w:val="00E3713C"/>
    <w:rsid w:val="00E3765F"/>
    <w:rsid w:val="00E37BCA"/>
    <w:rsid w:val="00E41559"/>
    <w:rsid w:val="00E42B06"/>
    <w:rsid w:val="00E4369B"/>
    <w:rsid w:val="00E455DF"/>
    <w:rsid w:val="00E45B1E"/>
    <w:rsid w:val="00E46132"/>
    <w:rsid w:val="00E4784F"/>
    <w:rsid w:val="00E50665"/>
    <w:rsid w:val="00E51C97"/>
    <w:rsid w:val="00E52A98"/>
    <w:rsid w:val="00E52BF0"/>
    <w:rsid w:val="00E52CAD"/>
    <w:rsid w:val="00E52E8B"/>
    <w:rsid w:val="00E5344A"/>
    <w:rsid w:val="00E53EC7"/>
    <w:rsid w:val="00E55B8F"/>
    <w:rsid w:val="00E56188"/>
    <w:rsid w:val="00E57A25"/>
    <w:rsid w:val="00E61B67"/>
    <w:rsid w:val="00E63214"/>
    <w:rsid w:val="00E637A7"/>
    <w:rsid w:val="00E645D6"/>
    <w:rsid w:val="00E65D9C"/>
    <w:rsid w:val="00E66E97"/>
    <w:rsid w:val="00E67162"/>
    <w:rsid w:val="00E706E3"/>
    <w:rsid w:val="00E72549"/>
    <w:rsid w:val="00E72E2E"/>
    <w:rsid w:val="00E737C2"/>
    <w:rsid w:val="00E760CC"/>
    <w:rsid w:val="00E7683C"/>
    <w:rsid w:val="00E777CD"/>
    <w:rsid w:val="00E77EF1"/>
    <w:rsid w:val="00E816AC"/>
    <w:rsid w:val="00E8243C"/>
    <w:rsid w:val="00E8244F"/>
    <w:rsid w:val="00E825EB"/>
    <w:rsid w:val="00E84B68"/>
    <w:rsid w:val="00E851FC"/>
    <w:rsid w:val="00E85487"/>
    <w:rsid w:val="00E878E9"/>
    <w:rsid w:val="00E905E9"/>
    <w:rsid w:val="00E92B63"/>
    <w:rsid w:val="00E9433F"/>
    <w:rsid w:val="00E951E7"/>
    <w:rsid w:val="00EA123D"/>
    <w:rsid w:val="00EA1416"/>
    <w:rsid w:val="00EA3284"/>
    <w:rsid w:val="00EA329F"/>
    <w:rsid w:val="00EA4F43"/>
    <w:rsid w:val="00EA6470"/>
    <w:rsid w:val="00EA67FD"/>
    <w:rsid w:val="00EB0E35"/>
    <w:rsid w:val="00EB1365"/>
    <w:rsid w:val="00EB20C3"/>
    <w:rsid w:val="00EB31AD"/>
    <w:rsid w:val="00EB44E9"/>
    <w:rsid w:val="00EB478F"/>
    <w:rsid w:val="00EB47D2"/>
    <w:rsid w:val="00EB4BAA"/>
    <w:rsid w:val="00EC0177"/>
    <w:rsid w:val="00EC0374"/>
    <w:rsid w:val="00EC0B6A"/>
    <w:rsid w:val="00EC1EC9"/>
    <w:rsid w:val="00EC27CD"/>
    <w:rsid w:val="00EC3916"/>
    <w:rsid w:val="00EC3F67"/>
    <w:rsid w:val="00EC40E0"/>
    <w:rsid w:val="00EC44E7"/>
    <w:rsid w:val="00EC53A5"/>
    <w:rsid w:val="00EC70AE"/>
    <w:rsid w:val="00ED33FC"/>
    <w:rsid w:val="00ED38A1"/>
    <w:rsid w:val="00ED5580"/>
    <w:rsid w:val="00ED6AE2"/>
    <w:rsid w:val="00ED7A0D"/>
    <w:rsid w:val="00EE4587"/>
    <w:rsid w:val="00EE4AEB"/>
    <w:rsid w:val="00EE5B06"/>
    <w:rsid w:val="00EE6D45"/>
    <w:rsid w:val="00EE7695"/>
    <w:rsid w:val="00EF2D09"/>
    <w:rsid w:val="00EF4786"/>
    <w:rsid w:val="00EF76E6"/>
    <w:rsid w:val="00F0085E"/>
    <w:rsid w:val="00F02394"/>
    <w:rsid w:val="00F02C52"/>
    <w:rsid w:val="00F030B7"/>
    <w:rsid w:val="00F0426F"/>
    <w:rsid w:val="00F0522A"/>
    <w:rsid w:val="00F05D56"/>
    <w:rsid w:val="00F064FF"/>
    <w:rsid w:val="00F06F52"/>
    <w:rsid w:val="00F0712E"/>
    <w:rsid w:val="00F13CA8"/>
    <w:rsid w:val="00F14180"/>
    <w:rsid w:val="00F15467"/>
    <w:rsid w:val="00F2253E"/>
    <w:rsid w:val="00F22DF3"/>
    <w:rsid w:val="00F22F3E"/>
    <w:rsid w:val="00F23A9C"/>
    <w:rsid w:val="00F30468"/>
    <w:rsid w:val="00F306BC"/>
    <w:rsid w:val="00F30A7E"/>
    <w:rsid w:val="00F31627"/>
    <w:rsid w:val="00F31841"/>
    <w:rsid w:val="00F31DF6"/>
    <w:rsid w:val="00F34203"/>
    <w:rsid w:val="00F34A30"/>
    <w:rsid w:val="00F401C5"/>
    <w:rsid w:val="00F403D5"/>
    <w:rsid w:val="00F414E7"/>
    <w:rsid w:val="00F43FB0"/>
    <w:rsid w:val="00F447DD"/>
    <w:rsid w:val="00F44A01"/>
    <w:rsid w:val="00F44C08"/>
    <w:rsid w:val="00F45E78"/>
    <w:rsid w:val="00F46F0D"/>
    <w:rsid w:val="00F4786B"/>
    <w:rsid w:val="00F479E4"/>
    <w:rsid w:val="00F51FFA"/>
    <w:rsid w:val="00F52DAE"/>
    <w:rsid w:val="00F544D3"/>
    <w:rsid w:val="00F557F7"/>
    <w:rsid w:val="00F55E5E"/>
    <w:rsid w:val="00F607CC"/>
    <w:rsid w:val="00F63348"/>
    <w:rsid w:val="00F637FB"/>
    <w:rsid w:val="00F63EE7"/>
    <w:rsid w:val="00F6660D"/>
    <w:rsid w:val="00F666D5"/>
    <w:rsid w:val="00F70478"/>
    <w:rsid w:val="00F70842"/>
    <w:rsid w:val="00F7135C"/>
    <w:rsid w:val="00F7340A"/>
    <w:rsid w:val="00F73BA5"/>
    <w:rsid w:val="00F806FE"/>
    <w:rsid w:val="00F80711"/>
    <w:rsid w:val="00F809B7"/>
    <w:rsid w:val="00F82227"/>
    <w:rsid w:val="00F8288E"/>
    <w:rsid w:val="00F83C88"/>
    <w:rsid w:val="00F83CC5"/>
    <w:rsid w:val="00F83F5B"/>
    <w:rsid w:val="00F84F7C"/>
    <w:rsid w:val="00F8544A"/>
    <w:rsid w:val="00F855C6"/>
    <w:rsid w:val="00F865AD"/>
    <w:rsid w:val="00F86AA8"/>
    <w:rsid w:val="00F86AF6"/>
    <w:rsid w:val="00F876E8"/>
    <w:rsid w:val="00F90D58"/>
    <w:rsid w:val="00F91E39"/>
    <w:rsid w:val="00F93121"/>
    <w:rsid w:val="00F93E71"/>
    <w:rsid w:val="00F96199"/>
    <w:rsid w:val="00F96FB3"/>
    <w:rsid w:val="00FA01A9"/>
    <w:rsid w:val="00FA195F"/>
    <w:rsid w:val="00FA1B1B"/>
    <w:rsid w:val="00FA23B7"/>
    <w:rsid w:val="00FA2705"/>
    <w:rsid w:val="00FA3C61"/>
    <w:rsid w:val="00FA3FF0"/>
    <w:rsid w:val="00FA7393"/>
    <w:rsid w:val="00FB1E13"/>
    <w:rsid w:val="00FB20C0"/>
    <w:rsid w:val="00FB2986"/>
    <w:rsid w:val="00FB2D8A"/>
    <w:rsid w:val="00FB35DE"/>
    <w:rsid w:val="00FB38C9"/>
    <w:rsid w:val="00FB397E"/>
    <w:rsid w:val="00FB3DBD"/>
    <w:rsid w:val="00FB4E81"/>
    <w:rsid w:val="00FB530C"/>
    <w:rsid w:val="00FB6A04"/>
    <w:rsid w:val="00FB6D53"/>
    <w:rsid w:val="00FB7A60"/>
    <w:rsid w:val="00FC0416"/>
    <w:rsid w:val="00FC18E9"/>
    <w:rsid w:val="00FC1D9C"/>
    <w:rsid w:val="00FC3B31"/>
    <w:rsid w:val="00FC5383"/>
    <w:rsid w:val="00FD0A67"/>
    <w:rsid w:val="00FD22EA"/>
    <w:rsid w:val="00FD32EE"/>
    <w:rsid w:val="00FD3426"/>
    <w:rsid w:val="00FD5059"/>
    <w:rsid w:val="00FD5D99"/>
    <w:rsid w:val="00FD6584"/>
    <w:rsid w:val="00FD7E6C"/>
    <w:rsid w:val="00FE42AF"/>
    <w:rsid w:val="00FE507D"/>
    <w:rsid w:val="00FE59D9"/>
    <w:rsid w:val="00FE5D88"/>
    <w:rsid w:val="00FE6CFE"/>
    <w:rsid w:val="00FE6E97"/>
    <w:rsid w:val="00FE77C6"/>
    <w:rsid w:val="00FF1114"/>
    <w:rsid w:val="00FF259F"/>
    <w:rsid w:val="00FF261E"/>
    <w:rsid w:val="00FF2AC3"/>
    <w:rsid w:val="00FF2D68"/>
    <w:rsid w:val="00FF3711"/>
    <w:rsid w:val="081A7F1C"/>
    <w:rsid w:val="0A6370C3"/>
    <w:rsid w:val="0A8F850F"/>
    <w:rsid w:val="14979E02"/>
    <w:rsid w:val="165F3251"/>
    <w:rsid w:val="172CDEE2"/>
    <w:rsid w:val="1BD7F972"/>
    <w:rsid w:val="1F165B09"/>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A3EE3BB8-43F5-41CE-B8E7-1868EEEE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customStyle="1" w:styleId="cf01">
    <w:name w:val="cf01"/>
    <w:basedOn w:val="DefaultParagraphFont"/>
    <w:rsid w:val="00593278"/>
    <w:rPr>
      <w:rFonts w:ascii="Segoe UI" w:hAnsi="Segoe UI" w:cs="Segoe UI" w:hint="default"/>
      <w:sz w:val="18"/>
      <w:szCs w:val="18"/>
    </w:rPr>
  </w:style>
  <w:style w:type="character" w:customStyle="1" w:styleId="apple-converted-space">
    <w:name w:val="apple-converted-space"/>
    <w:basedOn w:val="DefaultParagraphFont"/>
    <w:rsid w:val="00A10920"/>
  </w:style>
  <w:style w:type="character" w:styleId="Mention">
    <w:name w:val="Mention"/>
    <w:basedOn w:val="DefaultParagraphFont"/>
    <w:uiPriority w:val="99"/>
    <w:unhideWhenUsed/>
    <w:rsid w:val="0016528E"/>
    <w:rPr>
      <w:color w:val="2B579A"/>
      <w:shd w:val="clear" w:color="auto" w:fill="E1DFDD"/>
    </w:rPr>
  </w:style>
  <w:style w:type="paragraph" w:styleId="NormalWeb">
    <w:name w:val="Normal (Web)"/>
    <w:basedOn w:val="Normal"/>
    <w:uiPriority w:val="99"/>
    <w:unhideWhenUsed/>
    <w:rsid w:val="00E72E2E"/>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693623">
      <w:bodyDiv w:val="1"/>
      <w:marLeft w:val="0"/>
      <w:marRight w:val="0"/>
      <w:marTop w:val="0"/>
      <w:marBottom w:val="0"/>
      <w:divBdr>
        <w:top w:val="none" w:sz="0" w:space="0" w:color="auto"/>
        <w:left w:val="none" w:sz="0" w:space="0" w:color="auto"/>
        <w:bottom w:val="none" w:sz="0" w:space="0" w:color="auto"/>
        <w:right w:val="none" w:sz="0" w:space="0" w:color="auto"/>
      </w:divBdr>
    </w:div>
    <w:div w:id="630788371">
      <w:bodyDiv w:val="1"/>
      <w:marLeft w:val="0"/>
      <w:marRight w:val="0"/>
      <w:marTop w:val="0"/>
      <w:marBottom w:val="0"/>
      <w:divBdr>
        <w:top w:val="none" w:sz="0" w:space="0" w:color="auto"/>
        <w:left w:val="none" w:sz="0" w:space="0" w:color="auto"/>
        <w:bottom w:val="none" w:sz="0" w:space="0" w:color="auto"/>
        <w:right w:val="none" w:sz="0" w:space="0" w:color="auto"/>
      </w:divBdr>
    </w:div>
    <w:div w:id="1322545395">
      <w:bodyDiv w:val="1"/>
      <w:marLeft w:val="0"/>
      <w:marRight w:val="0"/>
      <w:marTop w:val="0"/>
      <w:marBottom w:val="0"/>
      <w:divBdr>
        <w:top w:val="none" w:sz="0" w:space="0" w:color="auto"/>
        <w:left w:val="none" w:sz="0" w:space="0" w:color="auto"/>
        <w:bottom w:val="none" w:sz="0" w:space="0" w:color="auto"/>
        <w:right w:val="none" w:sz="0" w:space="0" w:color="auto"/>
      </w:divBdr>
      <w:divsChild>
        <w:div w:id="1600720135">
          <w:marLeft w:val="0"/>
          <w:marRight w:val="0"/>
          <w:marTop w:val="0"/>
          <w:marBottom w:val="0"/>
          <w:divBdr>
            <w:top w:val="none" w:sz="0" w:space="0" w:color="auto"/>
            <w:left w:val="none" w:sz="0" w:space="0" w:color="auto"/>
            <w:bottom w:val="none" w:sz="0" w:space="0" w:color="auto"/>
            <w:right w:val="none" w:sz="0" w:space="0" w:color="auto"/>
          </w:divBdr>
          <w:divsChild>
            <w:div w:id="397049087">
              <w:marLeft w:val="0"/>
              <w:marRight w:val="0"/>
              <w:marTop w:val="0"/>
              <w:marBottom w:val="0"/>
              <w:divBdr>
                <w:top w:val="none" w:sz="0" w:space="0" w:color="auto"/>
                <w:left w:val="none" w:sz="0" w:space="0" w:color="auto"/>
                <w:bottom w:val="none" w:sz="0" w:space="0" w:color="auto"/>
                <w:right w:val="none" w:sz="0" w:space="0" w:color="auto"/>
              </w:divBdr>
              <w:divsChild>
                <w:div w:id="103812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4631">
      <w:bodyDiv w:val="1"/>
      <w:marLeft w:val="0"/>
      <w:marRight w:val="0"/>
      <w:marTop w:val="0"/>
      <w:marBottom w:val="0"/>
      <w:divBdr>
        <w:top w:val="none" w:sz="0" w:space="0" w:color="auto"/>
        <w:left w:val="none" w:sz="0" w:space="0" w:color="auto"/>
        <w:bottom w:val="none" w:sz="0" w:space="0" w:color="auto"/>
        <w:right w:val="none" w:sz="0" w:space="0" w:color="auto"/>
      </w:divBdr>
    </w:div>
    <w:div w:id="2003503529">
      <w:bodyDiv w:val="1"/>
      <w:marLeft w:val="0"/>
      <w:marRight w:val="0"/>
      <w:marTop w:val="0"/>
      <w:marBottom w:val="0"/>
      <w:divBdr>
        <w:top w:val="none" w:sz="0" w:space="0" w:color="auto"/>
        <w:left w:val="none" w:sz="0" w:space="0" w:color="auto"/>
        <w:bottom w:val="none" w:sz="0" w:space="0" w:color="auto"/>
        <w:right w:val="none" w:sz="0" w:space="0" w:color="auto"/>
      </w:divBdr>
    </w:div>
    <w:div w:id="21058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2.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3.xml><?xml version="1.0" encoding="utf-8"?>
<ds:datastoreItem xmlns:ds="http://schemas.openxmlformats.org/officeDocument/2006/customXml" ds:itemID="{7733ED62-4161-4FBA-9935-96CF3B1AA0A1}"/>
</file>

<file path=customXml/itemProps4.xml><?xml version="1.0" encoding="utf-8"?>
<ds:datastoreItem xmlns:ds="http://schemas.openxmlformats.org/officeDocument/2006/customXml" ds:itemID="{D5C2B009-8856-4E5C-9DB1-538BCD4D9C1B}">
  <ds:schemaRefs>
    <ds:schemaRef ds:uri="http://schemas.microsoft.com/office/2006/metadata/properties"/>
    <ds:schemaRef ds:uri="http://schemas.microsoft.com/office/infopath/2007/PartnerControls"/>
    <ds:schemaRef ds:uri="985ec44e-1bab-4c0b-9df0-6ba128686fc9"/>
    <ds:schemaRef ds:uri="1b66131c-dde2-47eb-aab6-bf4e8932aef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2175</Words>
  <Characters>12403</Characters>
  <Application>Microsoft Office Word</Application>
  <DocSecurity>0</DocSecurity>
  <Lines>103</Lines>
  <Paragraphs>29</Paragraphs>
  <ScaleCrop>false</ScaleCrop>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Juan Jose Martinez Badillo</cp:lastModifiedBy>
  <cp:revision>13</cp:revision>
  <dcterms:created xsi:type="dcterms:W3CDTF">2024-10-09T14:29:00Z</dcterms:created>
  <dcterms:modified xsi:type="dcterms:W3CDTF">2024-10-16T00:11:00Z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