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Pr="00EC2EA5" w:rsidRDefault="00B37572" w:rsidP="00E31CEE">
      <w:pPr>
        <w:pStyle w:val="IntenseQuote"/>
        <w:rPr>
          <w:b/>
          <w:bCs/>
          <w:sz w:val="44"/>
          <w:szCs w:val="44"/>
        </w:rPr>
      </w:pPr>
      <w:r w:rsidRPr="00EC2EA5">
        <w:rPr>
          <w:b/>
          <w:bCs/>
          <w:sz w:val="44"/>
          <w:szCs w:val="44"/>
        </w:rPr>
        <w:t xml:space="preserve">Financing </w:t>
      </w:r>
      <w:r w:rsidR="00251A33" w:rsidRPr="00EC2EA5">
        <w:rPr>
          <w:b/>
          <w:bCs/>
          <w:sz w:val="44"/>
          <w:szCs w:val="44"/>
        </w:rPr>
        <w:t>Po</w:t>
      </w:r>
      <w:r w:rsidR="002C6D77" w:rsidRPr="00EC2EA5">
        <w:rPr>
          <w:b/>
          <w:bCs/>
          <w:sz w:val="44"/>
          <w:szCs w:val="44"/>
        </w:rPr>
        <w:t xml:space="preserve">licy </w:t>
      </w:r>
      <w:r w:rsidRPr="00EC2EA5">
        <w:rPr>
          <w:b/>
          <w:bCs/>
          <w:sz w:val="44"/>
          <w:szCs w:val="44"/>
        </w:rPr>
        <w:t>Brief</w:t>
      </w:r>
      <w:r w:rsidR="00174569" w:rsidRPr="00EC2EA5">
        <w:rPr>
          <w:b/>
          <w:bCs/>
          <w:sz w:val="44"/>
          <w:szCs w:val="44"/>
        </w:rPr>
        <w:t xml:space="preserve"> Series </w:t>
      </w:r>
      <w:r w:rsidRPr="00EC2EA5">
        <w:rPr>
          <w:b/>
          <w:bCs/>
          <w:sz w:val="44"/>
          <w:szCs w:val="44"/>
        </w:rPr>
        <w:t xml:space="preserve">– </w:t>
      </w:r>
      <w:r w:rsidR="00B52F12" w:rsidRPr="00EC2EA5">
        <w:rPr>
          <w:b/>
          <w:bCs/>
          <w:sz w:val="44"/>
          <w:szCs w:val="44"/>
        </w:rPr>
        <w:t>Recommendations for</w:t>
      </w:r>
      <w:r w:rsidRPr="00EC2EA5">
        <w:rPr>
          <w:b/>
          <w:bCs/>
          <w:sz w:val="44"/>
          <w:szCs w:val="44"/>
        </w:rPr>
        <w:t xml:space="preserve"> FfD4</w:t>
      </w:r>
    </w:p>
    <w:p w14:paraId="33D102E9" w14:textId="7B65763E" w:rsidR="00174569" w:rsidRPr="00751247" w:rsidRDefault="00A63521" w:rsidP="00174569">
      <w:pPr>
        <w:pStyle w:val="Heading1"/>
        <w:jc w:val="center"/>
        <w:rPr>
          <w:b/>
          <w:bCs/>
        </w:rPr>
      </w:pPr>
      <w:r w:rsidRPr="00751247">
        <w:rPr>
          <w:b/>
          <w:bCs/>
        </w:rPr>
        <w:t xml:space="preserve">Better </w:t>
      </w:r>
      <w:r w:rsidR="000B79A2" w:rsidRPr="00751247">
        <w:rPr>
          <w:b/>
          <w:bCs/>
        </w:rPr>
        <w:t xml:space="preserve">Monitoring </w:t>
      </w:r>
      <w:r w:rsidRPr="00751247">
        <w:rPr>
          <w:b/>
          <w:bCs/>
        </w:rPr>
        <w:t xml:space="preserve">of </w:t>
      </w:r>
      <w:r w:rsidR="000B79A2" w:rsidRPr="00751247">
        <w:rPr>
          <w:b/>
          <w:bCs/>
        </w:rPr>
        <w:t>Health Spending</w:t>
      </w:r>
      <w:r w:rsidR="000105FE" w:rsidRPr="00751247">
        <w:rPr>
          <w:b/>
          <w:bCs/>
        </w:rPr>
        <w:t xml:space="preserve"> to Advance Toward UHC</w:t>
      </w:r>
    </w:p>
    <w:p w14:paraId="3759A8D8" w14:textId="77777777" w:rsidR="00B37572" w:rsidRPr="00751247" w:rsidRDefault="00B37572" w:rsidP="00E31CEE">
      <w:pPr>
        <w:jc w:val="both"/>
        <w:rPr>
          <w:b/>
          <w:bCs/>
        </w:rPr>
      </w:pPr>
    </w:p>
    <w:p w14:paraId="4931A488" w14:textId="2315491F" w:rsidR="00B37572" w:rsidRPr="00E31CEE" w:rsidRDefault="00174569" w:rsidP="00E31CEE">
      <w:pPr>
        <w:pStyle w:val="Heading2"/>
        <w:spacing w:line="276" w:lineRule="auto"/>
        <w:jc w:val="both"/>
        <w:rPr>
          <w:b/>
          <w:bCs/>
        </w:rPr>
      </w:pPr>
      <w:r w:rsidRPr="00E31CEE">
        <w:rPr>
          <w:b/>
          <w:bCs/>
        </w:rPr>
        <w:t xml:space="preserve">Key messages </w:t>
      </w:r>
    </w:p>
    <w:p w14:paraId="7A563674" w14:textId="3D3CFB2F" w:rsidR="00EA5C0E" w:rsidRDefault="00EA5C0E" w:rsidP="00E31CEE">
      <w:pPr>
        <w:pStyle w:val="ListParagraph"/>
        <w:numPr>
          <w:ilvl w:val="0"/>
          <w:numId w:val="23"/>
        </w:numPr>
        <w:jc w:val="both"/>
      </w:pPr>
      <w:r w:rsidRPr="00751247">
        <w:rPr>
          <w:rFonts w:eastAsia="Times New Roman" w:cstheme="minorHAnsi"/>
          <w:szCs w:val="24"/>
          <w:lang w:bidi="th-TH"/>
        </w:rPr>
        <w:t>The SDG target for universal health coverage (UHC)—ensuring that all people have equitable access to good-quality health services without financial hardship (SDG Target 3.8)</w:t>
      </w:r>
      <w:r w:rsidR="0006216F" w:rsidRPr="00751247">
        <w:rPr>
          <w:rFonts w:eastAsia="Times New Roman" w:cstheme="minorHAnsi"/>
          <w:szCs w:val="24"/>
          <w:lang w:bidi="th-TH"/>
        </w:rPr>
        <w:t xml:space="preserve">—is off track. People in vulnerable and marginalized situations, especially in low- and middle-income countries, </w:t>
      </w:r>
      <w:r w:rsidR="00DB57F7" w:rsidRPr="00751247">
        <w:rPr>
          <w:rFonts w:eastAsia="Times New Roman" w:cstheme="minorHAnsi"/>
          <w:szCs w:val="24"/>
          <w:lang w:bidi="th-TH"/>
        </w:rPr>
        <w:t xml:space="preserve">are </w:t>
      </w:r>
      <w:r w:rsidR="0006216F" w:rsidRPr="00751247">
        <w:rPr>
          <w:rFonts w:eastAsia="Times New Roman" w:cstheme="minorHAnsi"/>
          <w:szCs w:val="24"/>
          <w:lang w:bidi="th-TH"/>
        </w:rPr>
        <w:t>experienc</w:t>
      </w:r>
      <w:r w:rsidR="00DB57F7" w:rsidRPr="00751247">
        <w:rPr>
          <w:rFonts w:eastAsia="Times New Roman" w:cstheme="minorHAnsi"/>
          <w:szCs w:val="24"/>
          <w:lang w:bidi="th-TH"/>
        </w:rPr>
        <w:t>ing</w:t>
      </w:r>
      <w:r w:rsidR="00B54255" w:rsidRPr="00751247">
        <w:rPr>
          <w:rFonts w:eastAsia="Times New Roman" w:cstheme="minorHAnsi"/>
          <w:szCs w:val="24"/>
          <w:lang w:bidi="th-TH"/>
        </w:rPr>
        <w:t xml:space="preserve"> the greatest </w:t>
      </w:r>
      <w:r w:rsidR="00DB57F7" w:rsidRPr="00751247">
        <w:rPr>
          <w:rFonts w:eastAsia="Times New Roman" w:cstheme="minorHAnsi"/>
          <w:szCs w:val="24"/>
          <w:lang w:bidi="th-TH"/>
        </w:rPr>
        <w:t xml:space="preserve">adverse </w:t>
      </w:r>
      <w:r w:rsidR="00B54255" w:rsidRPr="00751247">
        <w:rPr>
          <w:rFonts w:eastAsia="Times New Roman" w:cstheme="minorHAnsi"/>
          <w:szCs w:val="24"/>
          <w:lang w:bidi="th-TH"/>
        </w:rPr>
        <w:t>impact</w:t>
      </w:r>
      <w:r w:rsidR="00A430E6" w:rsidRPr="00751247">
        <w:rPr>
          <w:rFonts w:eastAsia="Times New Roman" w:cstheme="minorHAnsi"/>
          <w:szCs w:val="24"/>
          <w:lang w:bidi="th-TH"/>
        </w:rPr>
        <w:t>s</w:t>
      </w:r>
      <w:r w:rsidR="00B54255" w:rsidRPr="00751247">
        <w:rPr>
          <w:rFonts w:eastAsia="Times New Roman" w:cstheme="minorHAnsi"/>
          <w:szCs w:val="24"/>
          <w:lang w:bidi="th-TH"/>
        </w:rPr>
        <w:t>.</w:t>
      </w:r>
    </w:p>
    <w:p w14:paraId="693C9F35" w14:textId="3479ECB5" w:rsidR="008A79FE" w:rsidRDefault="00A430E6" w:rsidP="00E31CEE">
      <w:pPr>
        <w:pStyle w:val="ListParagraph"/>
        <w:numPr>
          <w:ilvl w:val="0"/>
          <w:numId w:val="23"/>
        </w:numPr>
        <w:jc w:val="both"/>
      </w:pPr>
      <w:r>
        <w:t xml:space="preserve">Both the level and composition of health spending matters: </w:t>
      </w:r>
      <w:r w:rsidR="00BB500D">
        <w:t xml:space="preserve">domestic public funding is </w:t>
      </w:r>
      <w:r w:rsidR="00FA4CAA">
        <w:t xml:space="preserve">key </w:t>
      </w:r>
      <w:r w:rsidR="00044A04">
        <w:t xml:space="preserve">for advancing </w:t>
      </w:r>
      <w:r w:rsidR="00424CF7">
        <w:t xml:space="preserve">toward UHC </w:t>
      </w:r>
      <w:r w:rsidR="00FA4CAA">
        <w:t xml:space="preserve">because it is </w:t>
      </w:r>
      <w:r w:rsidR="0006216F" w:rsidRPr="00040267">
        <w:t>strongly linked to improved coverage of essential services and reduced financial hardship</w:t>
      </w:r>
      <w:r w:rsidR="0006216F">
        <w:t xml:space="preserve">. </w:t>
      </w:r>
      <w:r w:rsidR="008A79FE">
        <w:t>External aid remains critical for many low- and lower-middle-income countries.</w:t>
      </w:r>
    </w:p>
    <w:p w14:paraId="7794A173" w14:textId="57B030CD" w:rsidR="00041F1A" w:rsidRDefault="00253C70" w:rsidP="00E31CEE">
      <w:pPr>
        <w:pStyle w:val="ListParagraph"/>
        <w:numPr>
          <w:ilvl w:val="0"/>
          <w:numId w:val="23"/>
        </w:numPr>
        <w:jc w:val="both"/>
      </w:pPr>
      <w:r>
        <w:t>Effective m</w:t>
      </w:r>
      <w:r w:rsidR="008316FE">
        <w:t xml:space="preserve">onitoring </w:t>
      </w:r>
      <w:r>
        <w:t xml:space="preserve">of </w:t>
      </w:r>
      <w:r w:rsidR="008316FE">
        <w:t xml:space="preserve">health spending </w:t>
      </w:r>
      <w:r>
        <w:t xml:space="preserve">patterns and </w:t>
      </w:r>
      <w:r w:rsidR="008316FE">
        <w:t xml:space="preserve">trends </w:t>
      </w:r>
      <w:r w:rsidR="00696A48">
        <w:t xml:space="preserve">at the country level </w:t>
      </w:r>
      <w:r w:rsidR="008316FE">
        <w:t>is crucial</w:t>
      </w:r>
      <w:r w:rsidR="00696A48">
        <w:t xml:space="preserve"> for </w:t>
      </w:r>
      <w:r w:rsidR="007D13AE">
        <w:t xml:space="preserve">shaping the policies and </w:t>
      </w:r>
      <w:r w:rsidR="004B08AC">
        <w:t>investments to meet the SDG targets</w:t>
      </w:r>
      <w:r w:rsidR="00655ABB" w:rsidRPr="001513D6">
        <w:t>.</w:t>
      </w:r>
      <w:r w:rsidR="00655ABB">
        <w:t xml:space="preserve"> Health accounts </w:t>
      </w:r>
      <w:r w:rsidR="00E05D16" w:rsidRPr="001513D6">
        <w:t>serve as the international standard for tracking health resources at the country level</w:t>
      </w:r>
      <w:r w:rsidR="00E05D16">
        <w:t xml:space="preserve">, </w:t>
      </w:r>
      <w:r w:rsidR="00655ABB">
        <w:t>offer</w:t>
      </w:r>
      <w:r w:rsidR="00E05D16">
        <w:t>ing</w:t>
      </w:r>
      <w:r w:rsidR="00655ABB">
        <w:t xml:space="preserve"> </w:t>
      </w:r>
      <w:r w:rsidR="00E05D16">
        <w:t>a</w:t>
      </w:r>
      <w:r w:rsidR="00655ABB" w:rsidRPr="001513D6">
        <w:t xml:space="preserve"> </w:t>
      </w:r>
      <w:r w:rsidR="00E05D16">
        <w:t>c</w:t>
      </w:r>
      <w:r w:rsidR="008A79FE">
        <w:t>omprehensive</w:t>
      </w:r>
      <w:r w:rsidR="00601D2A">
        <w:t xml:space="preserve"> and </w:t>
      </w:r>
      <w:r w:rsidR="004916AE">
        <w:t xml:space="preserve">standardized </w:t>
      </w:r>
      <w:r w:rsidR="00041F1A">
        <w:t xml:space="preserve">insight into the level and composition of health spending and </w:t>
      </w:r>
      <w:r w:rsidR="008A0113">
        <w:t>trends over time</w:t>
      </w:r>
      <w:r w:rsidR="00041F1A">
        <w:t>.</w:t>
      </w:r>
      <w:r w:rsidR="008A0113">
        <w:t xml:space="preserve"> </w:t>
      </w:r>
      <w:r w:rsidR="000274B2" w:rsidRPr="00C736F7">
        <w:t xml:space="preserve"> </w:t>
      </w:r>
      <w:r w:rsidR="000274B2">
        <w:t xml:space="preserve"> </w:t>
      </w:r>
    </w:p>
    <w:p w14:paraId="19163C97" w14:textId="5D96B2D5" w:rsidR="00174569" w:rsidRDefault="008A79FE" w:rsidP="00E31CEE">
      <w:pPr>
        <w:pStyle w:val="ListParagraph"/>
        <w:numPr>
          <w:ilvl w:val="0"/>
          <w:numId w:val="23"/>
        </w:numPr>
        <w:jc w:val="both"/>
      </w:pPr>
      <w:r>
        <w:t>WHO is committed to work</w:t>
      </w:r>
      <w:r w:rsidR="0081072F">
        <w:t>ing</w:t>
      </w:r>
      <w:r>
        <w:t xml:space="preserve"> with partners </w:t>
      </w:r>
      <w:r w:rsidR="0081072F">
        <w:t xml:space="preserve">to </w:t>
      </w:r>
      <w:r>
        <w:t>suppor</w:t>
      </w:r>
      <w:r w:rsidR="0081072F">
        <w:t>t</w:t>
      </w:r>
      <w:r>
        <w:t xml:space="preserve"> countries </w:t>
      </w:r>
      <w:r w:rsidR="009D599A">
        <w:t xml:space="preserve">in strengthening their </w:t>
      </w:r>
      <w:r w:rsidR="000304A6">
        <w:t>capacity to routinely, reliably</w:t>
      </w:r>
      <w:r w:rsidR="00696A48">
        <w:t>, and accurately track health expenditure via health accounts</w:t>
      </w:r>
      <w:r w:rsidR="00CE21D0">
        <w:t xml:space="preserve"> </w:t>
      </w:r>
      <w:r w:rsidR="000304A6">
        <w:t xml:space="preserve">and manage the largest repository of health accounts, the </w:t>
      </w:r>
      <w:r w:rsidR="000304A6" w:rsidRPr="00C736F7">
        <w:t>Global Health Expenditure Database (GHED), a global public good.</w:t>
      </w:r>
    </w:p>
    <w:p w14:paraId="187279B0" w14:textId="77777777" w:rsidR="006C7BDD" w:rsidRDefault="006C7BDD" w:rsidP="006C7BDD">
      <w:pPr>
        <w:pStyle w:val="ListParagraph"/>
        <w:ind w:left="360"/>
        <w:jc w:val="both"/>
      </w:pPr>
    </w:p>
    <w:p w14:paraId="2B511B58" w14:textId="00134949" w:rsidR="00174569" w:rsidRPr="00E31CEE" w:rsidRDefault="00174569" w:rsidP="006C7BDD">
      <w:pPr>
        <w:pStyle w:val="Heading2"/>
        <w:spacing w:line="240" w:lineRule="auto"/>
        <w:jc w:val="both"/>
        <w:rPr>
          <w:b/>
          <w:bCs/>
        </w:rPr>
      </w:pPr>
      <w:r w:rsidRPr="00E31CEE">
        <w:rPr>
          <w:b/>
          <w:bCs/>
        </w:rPr>
        <w:t xml:space="preserve">Problem statement </w:t>
      </w:r>
    </w:p>
    <w:p w14:paraId="0AD91F9E" w14:textId="5DA7DD80" w:rsidR="0021133D" w:rsidRDefault="00BF73DA" w:rsidP="006C7BDD">
      <w:pPr>
        <w:spacing w:line="240" w:lineRule="auto"/>
        <w:jc w:val="both"/>
        <w:rPr>
          <w:rFonts w:eastAsia="Times New Roman" w:cstheme="minorHAnsi"/>
          <w:szCs w:val="24"/>
          <w:lang w:bidi="th-TH"/>
        </w:rPr>
      </w:pPr>
      <w:r>
        <w:rPr>
          <w:rFonts w:eastAsia="Times New Roman" w:cstheme="minorHAnsi"/>
          <w:szCs w:val="24"/>
          <w:lang w:bidi="th-TH"/>
        </w:rPr>
        <w:t>A</w:t>
      </w:r>
      <w:r w:rsidR="00E15915" w:rsidRPr="00E15915">
        <w:rPr>
          <w:rFonts w:eastAsia="Times New Roman" w:cstheme="minorHAnsi"/>
          <w:szCs w:val="24"/>
          <w:lang w:bidi="th-TH"/>
        </w:rPr>
        <w:t xml:space="preserve">t the </w:t>
      </w:r>
      <w:r w:rsidR="00B331EF">
        <w:rPr>
          <w:rFonts w:eastAsia="Times New Roman" w:cstheme="minorHAnsi"/>
          <w:szCs w:val="24"/>
          <w:lang w:bidi="th-TH"/>
        </w:rPr>
        <w:t>midpoint of the 2030 target for the Sustainable Development Goals (SDGs), progress towards achieving universal health coverage (UHC)—ensuring that all people have equitable access to good-quality health services without financial hardship (SDG Target 3.8)—is</w:t>
      </w:r>
      <w:r>
        <w:rPr>
          <w:rFonts w:eastAsia="Times New Roman" w:cstheme="minorHAnsi"/>
          <w:szCs w:val="24"/>
          <w:lang w:bidi="th-TH"/>
        </w:rPr>
        <w:t xml:space="preserve"> </w:t>
      </w:r>
      <w:r w:rsidR="00E15915" w:rsidRPr="00AF21D4">
        <w:rPr>
          <w:rFonts w:eastAsia="Times New Roman" w:cstheme="minorHAnsi"/>
          <w:i/>
          <w:iCs/>
          <w:szCs w:val="24"/>
          <w:lang w:bidi="th-TH"/>
        </w:rPr>
        <w:t>off track</w:t>
      </w:r>
      <w:r w:rsidR="00E15915">
        <w:rPr>
          <w:rFonts w:eastAsia="Times New Roman" w:cstheme="minorHAnsi"/>
          <w:szCs w:val="24"/>
          <w:lang w:val="en-GB" w:bidi="th-TH"/>
        </w:rPr>
        <w:t>.</w:t>
      </w:r>
      <w:r w:rsidR="00E15915">
        <w:rPr>
          <w:rStyle w:val="FootnoteReference"/>
          <w:rFonts w:eastAsia="Times New Roman" w:cstheme="minorHAnsi"/>
          <w:szCs w:val="24"/>
          <w:lang w:val="en-GB" w:bidi="th-TH"/>
        </w:rPr>
        <w:footnoteReference w:id="2"/>
      </w:r>
      <w:r w:rsidR="00E15915">
        <w:rPr>
          <w:rFonts w:eastAsia="Times New Roman" w:cstheme="minorHAnsi"/>
          <w:szCs w:val="24"/>
          <w:lang w:val="en-GB" w:bidi="th-TH"/>
        </w:rPr>
        <w:t xml:space="preserve"> </w:t>
      </w:r>
      <w:r w:rsidR="00AF21D4" w:rsidRPr="00AF21D4">
        <w:rPr>
          <w:rFonts w:eastAsia="Times New Roman" w:cstheme="minorHAnsi"/>
          <w:szCs w:val="24"/>
          <w:lang w:bidi="th-TH"/>
        </w:rPr>
        <w:t xml:space="preserve">Over 4.5 billion people, more than half of the global population, still lack full coverage for essential health services. Financial protection is </w:t>
      </w:r>
      <w:r w:rsidR="0021133D">
        <w:rPr>
          <w:rFonts w:eastAsia="Times New Roman" w:cstheme="minorHAnsi"/>
          <w:szCs w:val="24"/>
          <w:lang w:bidi="th-TH"/>
        </w:rPr>
        <w:t xml:space="preserve">also </w:t>
      </w:r>
      <w:r w:rsidR="00AF21D4" w:rsidRPr="00AF21D4">
        <w:rPr>
          <w:rFonts w:eastAsia="Times New Roman" w:cstheme="minorHAnsi"/>
          <w:szCs w:val="24"/>
          <w:lang w:bidi="th-TH"/>
        </w:rPr>
        <w:t xml:space="preserve">worsening, with two billion </w:t>
      </w:r>
      <w:r w:rsidR="00BE15C2" w:rsidRPr="00BE15C2">
        <w:rPr>
          <w:rFonts w:eastAsia="Times New Roman" w:cstheme="minorHAnsi"/>
          <w:szCs w:val="24"/>
          <w:lang w:bidi="th-TH"/>
        </w:rPr>
        <w:t xml:space="preserve">people experiencing financial hardship due to out-of-pocket </w:t>
      </w:r>
      <w:r w:rsidR="00BE15C2">
        <w:rPr>
          <w:rFonts w:eastAsia="Times New Roman" w:cstheme="minorHAnsi"/>
          <w:szCs w:val="24"/>
          <w:lang w:bidi="th-TH"/>
        </w:rPr>
        <w:t xml:space="preserve">(OOP) </w:t>
      </w:r>
      <w:r w:rsidR="00BE15C2" w:rsidRPr="00BE15C2">
        <w:rPr>
          <w:rFonts w:eastAsia="Times New Roman" w:cstheme="minorHAnsi"/>
          <w:szCs w:val="24"/>
          <w:lang w:bidi="th-TH"/>
        </w:rPr>
        <w:t>health costs</w:t>
      </w:r>
      <w:r w:rsidR="00AF21D4" w:rsidRPr="00AF21D4">
        <w:rPr>
          <w:rFonts w:eastAsia="Times New Roman" w:cstheme="minorHAnsi"/>
          <w:szCs w:val="24"/>
          <w:lang w:bidi="th-TH"/>
        </w:rPr>
        <w:t xml:space="preserve">. </w:t>
      </w:r>
    </w:p>
    <w:p w14:paraId="22F3C21C" w14:textId="427EF769" w:rsidR="00D3652E" w:rsidRDefault="0021133D" w:rsidP="00E31CEE">
      <w:pPr>
        <w:spacing w:before="160"/>
        <w:jc w:val="both"/>
        <w:rPr>
          <w:szCs w:val="24"/>
          <w:lang w:bidi="th-TH"/>
        </w:rPr>
      </w:pPr>
      <w:r>
        <w:rPr>
          <w:rFonts w:eastAsia="Times New Roman" w:cstheme="minorHAnsi"/>
          <w:szCs w:val="24"/>
          <w:lang w:bidi="th-TH"/>
        </w:rPr>
        <w:t>People</w:t>
      </w:r>
      <w:r w:rsidR="00AF21D4" w:rsidRPr="00AF21D4">
        <w:rPr>
          <w:rFonts w:eastAsia="Times New Roman" w:cstheme="minorHAnsi"/>
          <w:szCs w:val="24"/>
          <w:lang w:bidi="th-TH"/>
        </w:rPr>
        <w:t xml:space="preserve"> in vulnerable and marginalized situations, especially in low- and middle-income countries, are experiencing the greatest impact.</w:t>
      </w:r>
      <w:r>
        <w:rPr>
          <w:rFonts w:eastAsia="Times New Roman" w:cstheme="minorHAnsi"/>
          <w:szCs w:val="24"/>
          <w:lang w:bidi="th-TH"/>
        </w:rPr>
        <w:t xml:space="preserve"> </w:t>
      </w:r>
      <w:r w:rsidR="00D3652E">
        <w:rPr>
          <w:szCs w:val="24"/>
          <w:lang w:bidi="th-TH"/>
        </w:rPr>
        <w:t xml:space="preserve">Despite sharp increases in health spending across all income groups between 2000 and </w:t>
      </w:r>
      <w:r w:rsidR="00D3652E" w:rsidRPr="00881485">
        <w:rPr>
          <w:szCs w:val="24"/>
          <w:lang w:bidi="th-TH"/>
        </w:rPr>
        <w:t>2021, the proportion of the global population living in countries that spend less than US$100 per capita on health (</w:t>
      </w:r>
      <w:r w:rsidR="00D3652E">
        <w:rPr>
          <w:szCs w:val="24"/>
          <w:lang w:bidi="th-TH"/>
        </w:rPr>
        <w:t xml:space="preserve">from all sources, </w:t>
      </w:r>
      <w:r w:rsidR="00D3652E" w:rsidRPr="00881485">
        <w:rPr>
          <w:szCs w:val="24"/>
          <w:lang w:bidi="th-TH"/>
        </w:rPr>
        <w:t xml:space="preserve">in constant 2021 prices) has remained </w:t>
      </w:r>
      <w:r w:rsidR="00D3652E">
        <w:rPr>
          <w:szCs w:val="24"/>
          <w:lang w:bidi="th-TH"/>
        </w:rPr>
        <w:t xml:space="preserve">steady at </w:t>
      </w:r>
      <w:r w:rsidR="00D3652E" w:rsidRPr="00881485">
        <w:rPr>
          <w:szCs w:val="24"/>
          <w:lang w:bidi="th-TH"/>
        </w:rPr>
        <w:t>around 40</w:t>
      </w:r>
      <w:r w:rsidR="00D3652E">
        <w:rPr>
          <w:szCs w:val="24"/>
          <w:lang w:bidi="th-TH"/>
        </w:rPr>
        <w:t xml:space="preserve"> percent</w:t>
      </w:r>
      <w:r w:rsidR="00D3652E" w:rsidRPr="00881485">
        <w:rPr>
          <w:szCs w:val="24"/>
          <w:lang w:bidi="th-TH"/>
        </w:rPr>
        <w:t xml:space="preserve">. </w:t>
      </w:r>
    </w:p>
    <w:p w14:paraId="1CB0E610" w14:textId="77777777" w:rsidR="00E31CEE" w:rsidRDefault="00FB5355" w:rsidP="00E31CEE">
      <w:pPr>
        <w:spacing w:before="160"/>
        <w:jc w:val="both"/>
        <w:rPr>
          <w:rFonts w:cs="DIN Pro"/>
          <w:color w:val="000000"/>
          <w:lang w:val="en-GB"/>
        </w:rPr>
      </w:pPr>
      <w:r>
        <w:rPr>
          <w:lang w:val="en-GB"/>
        </w:rPr>
        <w:t xml:space="preserve">Government spending on </w:t>
      </w:r>
      <w:r w:rsidRPr="004F0931">
        <w:rPr>
          <w:lang w:val="en-GB"/>
        </w:rPr>
        <w:t>health</w:t>
      </w:r>
      <w:r>
        <w:rPr>
          <w:lang w:val="en-GB"/>
        </w:rPr>
        <w:t>, which is crucial for advancing toward</w:t>
      </w:r>
      <w:r w:rsidRPr="004F0931">
        <w:rPr>
          <w:lang w:val="en-GB"/>
        </w:rPr>
        <w:t xml:space="preserve"> UHC</w:t>
      </w:r>
      <w:r>
        <w:rPr>
          <w:lang w:val="en-GB"/>
        </w:rPr>
        <w:t>,</w:t>
      </w:r>
      <w:r w:rsidRPr="00FB5355">
        <w:rPr>
          <w:szCs w:val="24"/>
          <w:lang w:bidi="th-TH"/>
        </w:rPr>
        <w:t xml:space="preserve"> </w:t>
      </w:r>
      <w:r w:rsidR="00D3652E">
        <w:rPr>
          <w:szCs w:val="24"/>
          <w:lang w:bidi="th-TH"/>
        </w:rPr>
        <w:t xml:space="preserve">also </w:t>
      </w:r>
      <w:r w:rsidRPr="00881485">
        <w:rPr>
          <w:szCs w:val="24"/>
          <w:lang w:bidi="th-TH"/>
        </w:rPr>
        <w:t>remain</w:t>
      </w:r>
      <w:r>
        <w:rPr>
          <w:szCs w:val="24"/>
          <w:lang w:bidi="th-TH"/>
        </w:rPr>
        <w:t>s</w:t>
      </w:r>
      <w:r w:rsidRPr="00881485">
        <w:rPr>
          <w:szCs w:val="24"/>
          <w:lang w:bidi="th-TH"/>
        </w:rPr>
        <w:t xml:space="preserve"> highly uneven</w:t>
      </w:r>
      <w:r>
        <w:rPr>
          <w:lang w:val="en-GB"/>
        </w:rPr>
        <w:t>. In 2021, t</w:t>
      </w:r>
      <w:r>
        <w:rPr>
          <w:szCs w:val="24"/>
          <w:lang w:bidi="th-TH"/>
        </w:rPr>
        <w:t xml:space="preserve">he average amount spent by governments on health per person in </w:t>
      </w:r>
      <w:r>
        <w:rPr>
          <w:rFonts w:cs="DIN Pro"/>
          <w:color w:val="000000"/>
          <w:lang w:val="en-GB"/>
        </w:rPr>
        <w:t xml:space="preserve">high-income countries (US$ 2,923) was substantially greater than that of upper-middle-income countries (US$ 298), lower-middle-income </w:t>
      </w:r>
    </w:p>
    <w:p w14:paraId="6B1E8F78" w14:textId="77777777" w:rsidR="00E31CEE" w:rsidRDefault="00E31CEE" w:rsidP="00E31CEE">
      <w:pPr>
        <w:spacing w:before="160"/>
        <w:jc w:val="both"/>
        <w:rPr>
          <w:rFonts w:cs="DIN Pro"/>
          <w:color w:val="000000"/>
          <w:lang w:val="en-GB"/>
        </w:rPr>
      </w:pPr>
    </w:p>
    <w:p w14:paraId="4DF66F99" w14:textId="4976BC31" w:rsidR="001C213E" w:rsidRDefault="00FB5355" w:rsidP="00E31CEE">
      <w:pPr>
        <w:spacing w:before="160"/>
        <w:jc w:val="both"/>
        <w:rPr>
          <w:rFonts w:cstheme="minorHAnsi"/>
          <w:color w:val="000000"/>
          <w:lang w:val="en-GB"/>
        </w:rPr>
      </w:pPr>
      <w:r>
        <w:rPr>
          <w:rFonts w:cs="DIN Pro"/>
          <w:color w:val="000000"/>
          <w:lang w:val="en-GB"/>
        </w:rPr>
        <w:t>countries (US$ 68), and low-income</w:t>
      </w:r>
      <w:r w:rsidRPr="009D02AD">
        <w:rPr>
          <w:rFonts w:cstheme="minorHAnsi"/>
          <w:color w:val="000000"/>
          <w:lang w:val="en-GB"/>
        </w:rPr>
        <w:t xml:space="preserve"> countries</w:t>
      </w:r>
      <w:r>
        <w:rPr>
          <w:rFonts w:cstheme="minorHAnsi"/>
          <w:color w:val="000000"/>
          <w:lang w:val="en-GB"/>
        </w:rPr>
        <w:t xml:space="preserve"> (</w:t>
      </w:r>
      <w:r w:rsidRPr="009D02AD">
        <w:rPr>
          <w:rFonts w:cs="DIN Pro"/>
          <w:color w:val="000000"/>
          <w:lang w:val="en-GB"/>
        </w:rPr>
        <w:t xml:space="preserve">US$ </w:t>
      </w:r>
      <w:r>
        <w:rPr>
          <w:rFonts w:cs="DIN Pro"/>
          <w:color w:val="000000"/>
          <w:lang w:val="en-GB"/>
        </w:rPr>
        <w:t>10)</w:t>
      </w:r>
      <w:r w:rsidRPr="009D02AD">
        <w:rPr>
          <w:rFonts w:cstheme="minorHAnsi"/>
          <w:color w:val="000000"/>
          <w:lang w:val="en-GB"/>
        </w:rPr>
        <w:t>.</w:t>
      </w:r>
      <w:r w:rsidR="00490127">
        <w:rPr>
          <w:rFonts w:cstheme="minorHAnsi"/>
          <w:color w:val="000000"/>
          <w:lang w:val="en-GB"/>
        </w:rPr>
        <w:t xml:space="preserve"> Critically, the</w:t>
      </w:r>
      <w:r w:rsidR="009E60AC">
        <w:rPr>
          <w:rFonts w:cstheme="minorHAnsi"/>
          <w:color w:val="000000"/>
          <w:lang w:val="en-GB"/>
        </w:rPr>
        <w:t xml:space="preserve"> gap in government health spending between low-income countries and the rest </w:t>
      </w:r>
      <w:r w:rsidR="00490127">
        <w:rPr>
          <w:rFonts w:cstheme="minorHAnsi"/>
          <w:color w:val="000000"/>
          <w:lang w:val="en-GB"/>
        </w:rPr>
        <w:t>ha</w:t>
      </w:r>
      <w:r w:rsidR="009E60AC">
        <w:rPr>
          <w:rFonts w:cstheme="minorHAnsi"/>
          <w:color w:val="000000"/>
          <w:lang w:val="en-GB"/>
        </w:rPr>
        <w:t>s</w:t>
      </w:r>
      <w:r w:rsidR="00490127">
        <w:rPr>
          <w:rFonts w:cstheme="minorHAnsi"/>
          <w:color w:val="000000"/>
          <w:lang w:val="en-GB"/>
        </w:rPr>
        <w:t xml:space="preserve"> worsened over time. </w:t>
      </w:r>
      <w:r w:rsidR="00003F54">
        <w:rPr>
          <w:rFonts w:cstheme="minorHAnsi"/>
          <w:color w:val="000000"/>
          <w:lang w:val="en-GB"/>
        </w:rPr>
        <w:t>For most of this century, growth in g</w:t>
      </w:r>
      <w:r w:rsidR="009E60AC">
        <w:rPr>
          <w:rFonts w:cstheme="minorHAnsi"/>
          <w:color w:val="000000"/>
          <w:lang w:val="en-GB"/>
        </w:rPr>
        <w:t xml:space="preserve">overnment spending on health in </w:t>
      </w:r>
      <w:r w:rsidR="00003F54">
        <w:rPr>
          <w:rFonts w:cstheme="minorHAnsi"/>
          <w:color w:val="000000"/>
          <w:lang w:val="en-GB"/>
        </w:rPr>
        <w:t>low-income</w:t>
      </w:r>
      <w:r w:rsidR="009E60AC">
        <w:rPr>
          <w:rFonts w:cstheme="minorHAnsi"/>
          <w:color w:val="000000"/>
          <w:lang w:val="en-GB"/>
        </w:rPr>
        <w:t xml:space="preserve"> countries </w:t>
      </w:r>
      <w:r w:rsidR="00003F54">
        <w:rPr>
          <w:rFonts w:cstheme="minorHAnsi"/>
          <w:color w:val="000000"/>
          <w:lang w:val="en-GB"/>
        </w:rPr>
        <w:t xml:space="preserve">has been below that in other income groups (Figure 1). </w:t>
      </w:r>
      <w:r w:rsidR="001C213E" w:rsidRPr="00881485">
        <w:rPr>
          <w:szCs w:val="24"/>
          <w:lang w:bidi="th-TH"/>
        </w:rPr>
        <w:t>Th</w:t>
      </w:r>
      <w:r w:rsidR="00606519">
        <w:rPr>
          <w:szCs w:val="24"/>
          <w:lang w:bidi="th-TH"/>
        </w:rPr>
        <w:t xml:space="preserve">ese severe inequalities </w:t>
      </w:r>
      <w:r w:rsidR="001C213E" w:rsidRPr="00881485">
        <w:rPr>
          <w:szCs w:val="24"/>
          <w:lang w:bidi="th-TH"/>
        </w:rPr>
        <w:t xml:space="preserve">indicate that, </w:t>
      </w:r>
      <w:r w:rsidR="001C213E">
        <w:rPr>
          <w:szCs w:val="24"/>
          <w:lang w:bidi="th-TH"/>
        </w:rPr>
        <w:t xml:space="preserve">notwithstanding </w:t>
      </w:r>
      <w:r w:rsidR="001C213E" w:rsidRPr="00881485">
        <w:rPr>
          <w:szCs w:val="24"/>
          <w:lang w:bidi="th-TH"/>
        </w:rPr>
        <w:t xml:space="preserve">pledges to ensure no one is left behind, billions of people </w:t>
      </w:r>
      <w:r w:rsidR="001C213E">
        <w:rPr>
          <w:szCs w:val="24"/>
          <w:lang w:bidi="th-TH"/>
        </w:rPr>
        <w:t>live in countries struggling</w:t>
      </w:r>
      <w:r w:rsidR="001C213E" w:rsidRPr="00881485">
        <w:rPr>
          <w:szCs w:val="24"/>
          <w:lang w:bidi="th-TH"/>
        </w:rPr>
        <w:t xml:space="preserve"> to meet even basic </w:t>
      </w:r>
      <w:r w:rsidR="001C213E">
        <w:rPr>
          <w:szCs w:val="24"/>
          <w:lang w:bidi="th-TH"/>
        </w:rPr>
        <w:t>healthcare</w:t>
      </w:r>
      <w:r w:rsidR="001C213E" w:rsidRPr="00881485">
        <w:rPr>
          <w:szCs w:val="24"/>
          <w:lang w:bidi="th-TH"/>
        </w:rPr>
        <w:t xml:space="preserve"> needs.</w:t>
      </w:r>
      <w:r w:rsidR="001C213E" w:rsidRPr="00003F54">
        <w:rPr>
          <w:vertAlign w:val="superscript"/>
        </w:rPr>
        <w:footnoteReference w:id="3"/>
      </w:r>
    </w:p>
    <w:p w14:paraId="0F6B5AC5" w14:textId="340DFCF7" w:rsidR="00367B93" w:rsidRPr="00BD0A95" w:rsidRDefault="00367B93" w:rsidP="00E31CEE">
      <w:pPr>
        <w:keepNext/>
        <w:spacing w:before="480" w:after="0"/>
        <w:jc w:val="both"/>
        <w:rPr>
          <w:sz w:val="18"/>
          <w:szCs w:val="18"/>
          <w:lang w:val="en-GB"/>
        </w:rPr>
      </w:pPr>
      <w:r w:rsidRPr="003C5776">
        <w:rPr>
          <w:rFonts w:eastAsia="Times New Roman" w:cstheme="minorHAnsi"/>
          <w:b/>
          <w:lang w:val="en-GB" w:bidi="th-TH"/>
        </w:rPr>
        <w:t>Figure 1</w:t>
      </w:r>
      <w:r w:rsidR="00003F54">
        <w:rPr>
          <w:rFonts w:eastAsia="Times New Roman" w:cstheme="minorHAnsi"/>
          <w:b/>
          <w:lang w:val="en-GB" w:bidi="th-TH"/>
        </w:rPr>
        <w:t xml:space="preserve"> </w:t>
      </w:r>
      <w:r w:rsidRPr="003C5776">
        <w:rPr>
          <w:rFonts w:eastAsia="Times New Roman" w:cstheme="minorHAnsi"/>
          <w:b/>
          <w:lang w:val="en-GB" w:bidi="th-TH"/>
        </w:rPr>
        <w:t xml:space="preserve">Government spending on health </w:t>
      </w:r>
      <w:r w:rsidR="00003F54">
        <w:rPr>
          <w:rFonts w:eastAsia="Times New Roman" w:cstheme="minorHAnsi"/>
          <w:b/>
          <w:lang w:val="en-GB" w:bidi="th-TH"/>
        </w:rPr>
        <w:t xml:space="preserve">per capita </w:t>
      </w:r>
      <w:r w:rsidRPr="003C5776">
        <w:rPr>
          <w:rFonts w:eastAsia="Times New Roman" w:cstheme="minorHAnsi"/>
          <w:b/>
          <w:lang w:val="en-GB" w:bidi="th-TH"/>
        </w:rPr>
        <w:t xml:space="preserve">grew </w:t>
      </w:r>
      <w:r w:rsidR="00003F54">
        <w:rPr>
          <w:rFonts w:eastAsia="Times New Roman" w:cstheme="minorHAnsi"/>
          <w:b/>
          <w:lang w:val="en-GB" w:bidi="th-TH"/>
        </w:rPr>
        <w:t xml:space="preserve">slower in low-income countries than other income groups </w:t>
      </w:r>
      <w:r w:rsidRPr="003C5776">
        <w:rPr>
          <w:rFonts w:eastAsia="Times New Roman" w:cstheme="minorHAnsi"/>
          <w:b/>
          <w:lang w:val="en-GB" w:bidi="th-TH"/>
        </w:rPr>
        <w:t xml:space="preserve">during the Millennium Development Goals period and between the adoption of </w:t>
      </w:r>
      <w:r>
        <w:rPr>
          <w:rFonts w:eastAsia="Times New Roman" w:cstheme="minorHAnsi"/>
          <w:b/>
          <w:lang w:val="en-GB" w:bidi="th-TH"/>
        </w:rPr>
        <w:t xml:space="preserve">the </w:t>
      </w:r>
      <w:r w:rsidRPr="003C5776">
        <w:rPr>
          <w:rFonts w:eastAsia="Times New Roman" w:cstheme="minorHAnsi"/>
          <w:b/>
          <w:lang w:val="en-GB" w:bidi="th-TH"/>
        </w:rPr>
        <w:t>Sustainable Development Goals and the pandemic</w:t>
      </w:r>
      <w:r w:rsidR="00D953DB">
        <w:rPr>
          <w:rFonts w:eastAsia="Times New Roman" w:cstheme="minorHAnsi"/>
          <w:b/>
          <w:lang w:val="en-GB" w:bidi="th-TH"/>
        </w:rPr>
        <w:t>.</w:t>
      </w:r>
    </w:p>
    <w:p w14:paraId="2485E832" w14:textId="08803F4E" w:rsidR="00367B93" w:rsidRPr="00245889" w:rsidRDefault="00367B93" w:rsidP="00003F54">
      <w:pPr>
        <w:spacing w:after="0" w:line="240" w:lineRule="auto"/>
        <w:jc w:val="center"/>
        <w:rPr>
          <w:lang w:val="en-GB"/>
        </w:rPr>
      </w:pPr>
      <w:r w:rsidRPr="00E71CCD">
        <w:rPr>
          <w:noProof/>
          <w:lang w:val="en-GB"/>
        </w:rPr>
        <w:drawing>
          <wp:inline distT="0" distB="0" distL="0" distR="0" wp14:anchorId="17427FAB" wp14:editId="76CD9788">
            <wp:extent cx="4701026" cy="1674994"/>
            <wp:effectExtent l="0" t="0" r="4445"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1026" cy="1674994"/>
                    </a:xfrm>
                    <a:prstGeom prst="rect">
                      <a:avLst/>
                    </a:prstGeom>
                  </pic:spPr>
                </pic:pic>
              </a:graphicData>
            </a:graphic>
          </wp:inline>
        </w:drawing>
      </w:r>
    </w:p>
    <w:p w14:paraId="04C93C54" w14:textId="77777777" w:rsidR="00003F54" w:rsidRDefault="00367B93" w:rsidP="00003F54">
      <w:pPr>
        <w:spacing w:after="480"/>
        <w:rPr>
          <w:sz w:val="18"/>
          <w:szCs w:val="18"/>
          <w:lang w:val="en-GB"/>
        </w:rPr>
      </w:pPr>
      <w:r w:rsidRPr="004316D4">
        <w:rPr>
          <w:sz w:val="18"/>
          <w:szCs w:val="18"/>
          <w:lang w:val="en-GB"/>
        </w:rPr>
        <w:t xml:space="preserve">Note: Growth rates are based on per capita values in constant </w:t>
      </w:r>
      <w:r>
        <w:rPr>
          <w:sz w:val="18"/>
          <w:szCs w:val="18"/>
          <w:lang w:val="en-GB"/>
        </w:rPr>
        <w:t>(</w:t>
      </w:r>
      <w:r w:rsidRPr="004316D4">
        <w:rPr>
          <w:sz w:val="18"/>
          <w:szCs w:val="18"/>
          <w:lang w:val="en-GB"/>
        </w:rPr>
        <w:t>2021</w:t>
      </w:r>
      <w:r>
        <w:rPr>
          <w:sz w:val="18"/>
          <w:szCs w:val="18"/>
          <w:lang w:val="en-GB"/>
        </w:rPr>
        <w:t>)</w:t>
      </w:r>
      <w:r w:rsidRPr="004316D4">
        <w:rPr>
          <w:sz w:val="18"/>
          <w:szCs w:val="18"/>
          <w:lang w:val="en-GB"/>
        </w:rPr>
        <w:t xml:space="preserve"> national currency units. Country-specific GDP deflators were used to convert current values to constant values.</w:t>
      </w:r>
      <w:r>
        <w:rPr>
          <w:sz w:val="18"/>
          <w:szCs w:val="18"/>
          <w:lang w:val="en-GB"/>
        </w:rPr>
        <w:t xml:space="preserve"> The median is used rather than the mean to avoid the domination of extreme values. </w:t>
      </w:r>
      <w:r>
        <w:rPr>
          <w:sz w:val="18"/>
          <w:szCs w:val="18"/>
          <w:lang w:val="en-GB"/>
        </w:rPr>
        <w:br/>
      </w:r>
      <w:r w:rsidRPr="00673F8D">
        <w:rPr>
          <w:sz w:val="18"/>
          <w:szCs w:val="18"/>
          <w:lang w:val="en-GB"/>
        </w:rPr>
        <w:t>Data source: WHO Global Health Expenditure Database, 2023.</w:t>
      </w:r>
    </w:p>
    <w:p w14:paraId="3EF95267" w14:textId="2D0AD0FC" w:rsidR="00515152" w:rsidRDefault="002014FE" w:rsidP="00E31CEE">
      <w:pPr>
        <w:jc w:val="both"/>
        <w:rPr>
          <w:lang w:val="en-GB"/>
        </w:rPr>
      </w:pPr>
      <w:r>
        <w:rPr>
          <w:szCs w:val="24"/>
          <w:lang w:bidi="th-TH"/>
        </w:rPr>
        <w:t>A</w:t>
      </w:r>
      <w:r w:rsidR="00003F54">
        <w:rPr>
          <w:szCs w:val="24"/>
          <w:lang w:bidi="th-TH"/>
        </w:rPr>
        <w:t xml:space="preserve">mong low-income and </w:t>
      </w:r>
      <w:r w:rsidR="00515152">
        <w:rPr>
          <w:szCs w:val="24"/>
          <w:lang w:bidi="th-TH"/>
        </w:rPr>
        <w:t>lower-middle-income</w:t>
      </w:r>
      <w:r w:rsidR="00003F54">
        <w:rPr>
          <w:szCs w:val="24"/>
          <w:lang w:bidi="th-TH"/>
        </w:rPr>
        <w:t xml:space="preserve"> countries, the share of health in government spending has remained largely unchanged on average</w:t>
      </w:r>
      <w:r w:rsidR="00515152">
        <w:rPr>
          <w:szCs w:val="24"/>
          <w:lang w:bidi="th-TH"/>
        </w:rPr>
        <w:t xml:space="preserve"> since 2000</w:t>
      </w:r>
      <w:r w:rsidR="00CB3556">
        <w:rPr>
          <w:szCs w:val="24"/>
          <w:lang w:bidi="th-TH"/>
        </w:rPr>
        <w:t xml:space="preserve"> (Figure 2)</w:t>
      </w:r>
      <w:r w:rsidR="00003F54">
        <w:rPr>
          <w:szCs w:val="24"/>
          <w:lang w:bidi="th-TH"/>
        </w:rPr>
        <w:t xml:space="preserve">. </w:t>
      </w:r>
      <w:r w:rsidR="00515152">
        <w:rPr>
          <w:lang w:val="en-GB"/>
        </w:rPr>
        <w:t xml:space="preserve">Accordingly, growth in health spending has been driven by </w:t>
      </w:r>
      <w:r w:rsidR="00515152" w:rsidRPr="004F0931">
        <w:rPr>
          <w:szCs w:val="24"/>
          <w:lang w:val="en-GB" w:bidi="th-TH"/>
        </w:rPr>
        <w:t>economic growth, combined with efforts to raise additional public revenue</w:t>
      </w:r>
      <w:r w:rsidR="00515152">
        <w:rPr>
          <w:szCs w:val="24"/>
          <w:lang w:val="en-GB" w:bidi="th-TH"/>
        </w:rPr>
        <w:t xml:space="preserve"> in these countries</w:t>
      </w:r>
      <w:r w:rsidR="007E6303">
        <w:rPr>
          <w:szCs w:val="24"/>
          <w:lang w:val="en-GB" w:bidi="th-TH"/>
        </w:rPr>
        <w:t xml:space="preserve"> rather than health rising as a priority</w:t>
      </w:r>
      <w:r w:rsidR="00515152">
        <w:rPr>
          <w:szCs w:val="24"/>
          <w:lang w:val="en-GB" w:bidi="th-TH"/>
        </w:rPr>
        <w:t xml:space="preserve">. In contrast, </w:t>
      </w:r>
      <w:r w:rsidR="00515152">
        <w:rPr>
          <w:lang w:val="en-GB"/>
        </w:rPr>
        <w:t xml:space="preserve">health </w:t>
      </w:r>
      <w:r w:rsidR="007E6303">
        <w:rPr>
          <w:lang w:val="en-GB"/>
        </w:rPr>
        <w:t xml:space="preserve">has </w:t>
      </w:r>
      <w:r w:rsidR="00515152">
        <w:rPr>
          <w:lang w:val="en-GB"/>
        </w:rPr>
        <w:t xml:space="preserve">generally increased in priority within government budgets in upper-middle-income countries and high-income countries over the same period. These trends continued through the pandemic. </w:t>
      </w:r>
    </w:p>
    <w:p w14:paraId="644307C0" w14:textId="16FDB667" w:rsidR="00712AD7" w:rsidRDefault="007E6303" w:rsidP="00E31CEE">
      <w:pPr>
        <w:jc w:val="both"/>
        <w:rPr>
          <w:lang w:val="en-GB"/>
        </w:rPr>
      </w:pPr>
      <w:r w:rsidRPr="00D31735">
        <w:rPr>
          <w:lang w:val="en-GB"/>
        </w:rPr>
        <w:t>Without</w:t>
      </w:r>
      <w:r w:rsidR="00515152" w:rsidRPr="00D31735">
        <w:rPr>
          <w:lang w:val="en-GB"/>
        </w:rPr>
        <w:t xml:space="preserve"> </w:t>
      </w:r>
      <w:r w:rsidR="001513D6" w:rsidRPr="00D31735">
        <w:rPr>
          <w:lang w:val="en-GB"/>
        </w:rPr>
        <w:t>increas</w:t>
      </w:r>
      <w:r w:rsidR="00581547" w:rsidRPr="00D31735">
        <w:rPr>
          <w:lang w:val="en-GB"/>
        </w:rPr>
        <w:t>es</w:t>
      </w:r>
      <w:r w:rsidR="001513D6" w:rsidRPr="00D31735">
        <w:rPr>
          <w:lang w:val="en-GB"/>
        </w:rPr>
        <w:t xml:space="preserve"> in</w:t>
      </w:r>
      <w:r w:rsidR="00515152" w:rsidRPr="00D31735">
        <w:rPr>
          <w:lang w:val="en-GB"/>
        </w:rPr>
        <w:t xml:space="preserve"> government spending</w:t>
      </w:r>
      <w:r w:rsidR="00A75F1E">
        <w:rPr>
          <w:lang w:val="en-GB"/>
        </w:rPr>
        <w:t xml:space="preserve"> </w:t>
      </w:r>
      <w:r w:rsidR="00A75F1E" w:rsidRPr="00D31735">
        <w:rPr>
          <w:lang w:val="en-GB"/>
        </w:rPr>
        <w:t xml:space="preserve">in low- and </w:t>
      </w:r>
      <w:r w:rsidR="00A75F1E">
        <w:rPr>
          <w:lang w:val="en-GB"/>
        </w:rPr>
        <w:t>lower-</w:t>
      </w:r>
      <w:r w:rsidR="00A75F1E" w:rsidRPr="00D31735">
        <w:rPr>
          <w:lang w:val="en-GB"/>
        </w:rPr>
        <w:t>middle</w:t>
      </w:r>
      <w:r w:rsidR="00A75F1E">
        <w:rPr>
          <w:lang w:val="en-GB"/>
        </w:rPr>
        <w:t xml:space="preserve"> </w:t>
      </w:r>
      <w:r w:rsidR="00A75F1E" w:rsidRPr="00D31735">
        <w:rPr>
          <w:lang w:val="en-GB"/>
        </w:rPr>
        <w:t>income countries</w:t>
      </w:r>
      <w:r w:rsidR="00D348AA" w:rsidRPr="00D31735">
        <w:rPr>
          <w:lang w:val="en-GB"/>
        </w:rPr>
        <w:t xml:space="preserve">, out-of-pocket </w:t>
      </w:r>
      <w:r w:rsidR="00D42325" w:rsidRPr="00D31735">
        <w:rPr>
          <w:lang w:val="en-GB"/>
        </w:rPr>
        <w:t xml:space="preserve">(OOP) </w:t>
      </w:r>
      <w:r w:rsidR="00D348AA" w:rsidRPr="00D31735">
        <w:rPr>
          <w:lang w:val="en-GB"/>
        </w:rPr>
        <w:t xml:space="preserve">spending and health aid </w:t>
      </w:r>
      <w:r w:rsidR="005A565A">
        <w:rPr>
          <w:lang w:val="en-GB"/>
        </w:rPr>
        <w:t>are</w:t>
      </w:r>
      <w:r w:rsidR="005A565A" w:rsidRPr="00D31735">
        <w:rPr>
          <w:lang w:val="en-GB"/>
        </w:rPr>
        <w:t xml:space="preserve"> </w:t>
      </w:r>
      <w:r w:rsidR="00D953DB" w:rsidRPr="00D31735">
        <w:rPr>
          <w:lang w:val="en-GB"/>
        </w:rPr>
        <w:t>significant sources of health</w:t>
      </w:r>
      <w:r w:rsidR="00515152" w:rsidRPr="00D31735">
        <w:rPr>
          <w:lang w:val="en-GB"/>
        </w:rPr>
        <w:t xml:space="preserve"> revenues. </w:t>
      </w:r>
      <w:r w:rsidR="00D348AA" w:rsidRPr="00CF5434">
        <w:t xml:space="preserve">In </w:t>
      </w:r>
      <w:r w:rsidR="00D348AA">
        <w:t>2021</w:t>
      </w:r>
      <w:r w:rsidR="00D348AA" w:rsidRPr="00CF5434">
        <w:t xml:space="preserve">, </w:t>
      </w:r>
      <w:r w:rsidR="00D348AA">
        <w:t>nearly 70</w:t>
      </w:r>
      <w:r w:rsidR="001520B9">
        <w:t> </w:t>
      </w:r>
      <w:r w:rsidR="00D348AA">
        <w:t xml:space="preserve">percent </w:t>
      </w:r>
      <w:r w:rsidR="00D348AA" w:rsidRPr="00CF5434">
        <w:t xml:space="preserve">of health spending in </w:t>
      </w:r>
      <w:r w:rsidR="00D348AA">
        <w:t>low-income countries was financed by a combination of OOP</w:t>
      </w:r>
      <w:r w:rsidR="008C585E">
        <w:t xml:space="preserve"> spending</w:t>
      </w:r>
      <w:r w:rsidR="00D348AA">
        <w:t xml:space="preserve"> and external aid</w:t>
      </w:r>
      <w:r w:rsidR="00C64072">
        <w:t xml:space="preserve"> (of which </w:t>
      </w:r>
      <w:r w:rsidR="00C64072" w:rsidRPr="00712AD7">
        <w:rPr>
          <w:lang w:val="en-GB"/>
        </w:rPr>
        <w:t>3</w:t>
      </w:r>
      <w:r w:rsidR="00094C9A">
        <w:rPr>
          <w:lang w:val="en-GB"/>
        </w:rPr>
        <w:t>1</w:t>
      </w:r>
      <w:r w:rsidR="00C64072" w:rsidRPr="00712AD7">
        <w:rPr>
          <w:lang w:val="en-GB"/>
        </w:rPr>
        <w:t> percent</w:t>
      </w:r>
      <w:r w:rsidR="00C64072">
        <w:rPr>
          <w:lang w:val="en-GB"/>
        </w:rPr>
        <w:t xml:space="preserve"> was health aid)</w:t>
      </w:r>
      <w:r w:rsidR="00D348AA">
        <w:t xml:space="preserve">, whereas in lower-middle-income </w:t>
      </w:r>
      <w:r w:rsidR="00D348AA" w:rsidRPr="006D04D2">
        <w:rPr>
          <w:szCs w:val="24"/>
          <w:lang w:val="en-GB"/>
        </w:rPr>
        <w:t>countries</w:t>
      </w:r>
      <w:r w:rsidR="00D348AA">
        <w:t>, it was 52 percent</w:t>
      </w:r>
      <w:r w:rsidR="00712AD7">
        <w:t xml:space="preserve"> (of which </w:t>
      </w:r>
      <w:r w:rsidR="00FE0EEF">
        <w:t>14 percent was health aid)</w:t>
      </w:r>
      <w:r w:rsidR="00712AD7" w:rsidRPr="00712AD7">
        <w:rPr>
          <w:lang w:val="en-GB"/>
        </w:rPr>
        <w:t xml:space="preserve">. </w:t>
      </w:r>
    </w:p>
    <w:p w14:paraId="4564E991" w14:textId="77777777" w:rsidR="00E31CEE" w:rsidRDefault="00120B05" w:rsidP="00E31CEE">
      <w:pPr>
        <w:jc w:val="both"/>
        <w:rPr>
          <w:lang w:val="en-GB"/>
        </w:rPr>
      </w:pPr>
      <w:r>
        <w:t xml:space="preserve">Both sources of funding </w:t>
      </w:r>
      <w:r w:rsidR="00377F34">
        <w:t>present</w:t>
      </w:r>
      <w:r w:rsidR="00712AD7">
        <w:t xml:space="preserve"> challenges for advancing toward UHC</w:t>
      </w:r>
      <w:r w:rsidR="0050753C">
        <w:t>.</w:t>
      </w:r>
      <w:r w:rsidR="0050753C">
        <w:rPr>
          <w:lang w:val="en-GB"/>
        </w:rPr>
        <w:t xml:space="preserve"> </w:t>
      </w:r>
      <w:r w:rsidR="00515152" w:rsidRPr="00712AD7">
        <w:rPr>
          <w:lang w:val="en-GB"/>
        </w:rPr>
        <w:t>OOP payments</w:t>
      </w:r>
      <w:r w:rsidR="008C585E" w:rsidRPr="00712AD7">
        <w:rPr>
          <w:lang w:val="en-GB"/>
        </w:rPr>
        <w:t xml:space="preserve"> for health </w:t>
      </w:r>
      <w:r w:rsidR="00515152" w:rsidRPr="00712AD7">
        <w:rPr>
          <w:lang w:val="en-GB"/>
        </w:rPr>
        <w:t xml:space="preserve">are a highly inequitable form of financing </w:t>
      </w:r>
      <w:r w:rsidR="00377F34">
        <w:rPr>
          <w:lang w:val="en-GB"/>
        </w:rPr>
        <w:t xml:space="preserve">as they tie </w:t>
      </w:r>
      <w:r w:rsidR="00515152">
        <w:t xml:space="preserve">people’s </w:t>
      </w:r>
      <w:r w:rsidR="00515152" w:rsidRPr="00537EEB">
        <w:t xml:space="preserve">access to health services </w:t>
      </w:r>
      <w:r w:rsidR="00515152">
        <w:t xml:space="preserve">to their ability </w:t>
      </w:r>
      <w:r w:rsidR="00515152" w:rsidRPr="00537EEB">
        <w:t>to pay</w:t>
      </w:r>
      <w:r w:rsidR="00B852B3">
        <w:t>,</w:t>
      </w:r>
      <w:r w:rsidR="009F301E">
        <w:t xml:space="preserve"> contribut</w:t>
      </w:r>
      <w:r w:rsidR="00B852B3">
        <w:t>ing</w:t>
      </w:r>
      <w:r w:rsidR="009F301E">
        <w:t xml:space="preserve"> to financial hardship. </w:t>
      </w:r>
      <w:r w:rsidR="00B852B3">
        <w:rPr>
          <w:lang w:val="en-GB"/>
        </w:rPr>
        <w:t xml:space="preserve">There are persistent difficulties </w:t>
      </w:r>
      <w:r w:rsidR="001C110D" w:rsidRPr="00712AD7">
        <w:rPr>
          <w:lang w:val="en-GB"/>
        </w:rPr>
        <w:t xml:space="preserve">aligning external aid to national priorities and </w:t>
      </w:r>
      <w:r w:rsidR="00E31CEE" w:rsidRPr="00712AD7">
        <w:rPr>
          <w:lang w:val="en-GB"/>
        </w:rPr>
        <w:t>channelling</w:t>
      </w:r>
      <w:r w:rsidR="001C110D" w:rsidRPr="00712AD7">
        <w:rPr>
          <w:lang w:val="en-GB"/>
        </w:rPr>
        <w:t xml:space="preserve"> </w:t>
      </w:r>
    </w:p>
    <w:p w14:paraId="6AC8DB8E" w14:textId="77777777" w:rsidR="00E31CEE" w:rsidRDefault="00E31CEE" w:rsidP="00E31CEE">
      <w:pPr>
        <w:jc w:val="both"/>
        <w:rPr>
          <w:lang w:val="en-GB"/>
        </w:rPr>
      </w:pPr>
    </w:p>
    <w:p w14:paraId="361EE29D" w14:textId="4B613206" w:rsidR="00D348AA" w:rsidRPr="00772EE7" w:rsidRDefault="001C110D" w:rsidP="00E31CEE">
      <w:pPr>
        <w:jc w:val="both"/>
      </w:pPr>
      <w:r w:rsidRPr="00712AD7">
        <w:rPr>
          <w:lang w:val="en-GB"/>
        </w:rPr>
        <w:t xml:space="preserve">aid through </w:t>
      </w:r>
      <w:r w:rsidR="00130E23" w:rsidRPr="00712AD7">
        <w:rPr>
          <w:lang w:val="en-GB"/>
        </w:rPr>
        <w:t>national financial system</w:t>
      </w:r>
      <w:r w:rsidR="00D75F93">
        <w:rPr>
          <w:lang w:val="en-GB"/>
        </w:rPr>
        <w:t>s</w:t>
      </w:r>
      <w:r w:rsidR="006951B6">
        <w:rPr>
          <w:lang w:val="en-GB"/>
        </w:rPr>
        <w:t xml:space="preserve">, </w:t>
      </w:r>
      <w:r w:rsidR="00920DC8">
        <w:rPr>
          <w:lang w:val="en-GB"/>
        </w:rPr>
        <w:t xml:space="preserve">which limits its effectiveness as a </w:t>
      </w:r>
      <w:r w:rsidR="00805C77">
        <w:rPr>
          <w:lang w:val="en-GB"/>
        </w:rPr>
        <w:t>complement</w:t>
      </w:r>
      <w:r w:rsidR="006951B6">
        <w:rPr>
          <w:lang w:val="en-GB"/>
        </w:rPr>
        <w:t xml:space="preserve"> </w:t>
      </w:r>
      <w:r w:rsidR="00805C77">
        <w:t xml:space="preserve">to </w:t>
      </w:r>
      <w:r w:rsidR="006951B6" w:rsidRPr="00712AD7">
        <w:rPr>
          <w:lang w:val="en-GB"/>
        </w:rPr>
        <w:t xml:space="preserve">government spending </w:t>
      </w:r>
      <w:r w:rsidR="00805C77">
        <w:rPr>
          <w:lang w:val="en-GB"/>
        </w:rPr>
        <w:t xml:space="preserve">in </w:t>
      </w:r>
      <w:r w:rsidR="00920DC8">
        <w:rPr>
          <w:lang w:val="en-GB"/>
        </w:rPr>
        <w:t xml:space="preserve">contexts </w:t>
      </w:r>
      <w:r w:rsidR="00805C77">
        <w:rPr>
          <w:lang w:val="en-GB"/>
        </w:rPr>
        <w:t xml:space="preserve">where </w:t>
      </w:r>
      <w:r w:rsidR="006951B6" w:rsidRPr="00712AD7">
        <w:rPr>
          <w:lang w:val="en-GB"/>
        </w:rPr>
        <w:t xml:space="preserve">government capacity is limited. </w:t>
      </w:r>
    </w:p>
    <w:p w14:paraId="0DD67BEF" w14:textId="1566E37C" w:rsidR="007074EF" w:rsidRDefault="007E6303">
      <w:pPr>
        <w:pStyle w:val="pf0"/>
        <w:rPr>
          <w:rFonts w:ascii="Calibri" w:hAnsi="Calibri" w:cs="Calibri"/>
          <w:b/>
          <w:bCs/>
          <w:sz w:val="22"/>
          <w:szCs w:val="22"/>
          <w:lang w:val="en-GB"/>
        </w:rPr>
      </w:pPr>
      <w:r w:rsidRPr="00751247">
        <w:rPr>
          <w:rFonts w:ascii="Calibri" w:hAnsi="Calibri" w:cs="Calibri"/>
          <w:b/>
          <w:bCs/>
          <w:sz w:val="22"/>
          <w:szCs w:val="22"/>
          <w:lang w:val="en-GB"/>
        </w:rPr>
        <w:t xml:space="preserve">Figure 2. Out-of-pocket spending and health aid play a </w:t>
      </w:r>
      <w:r w:rsidR="00D953DB" w:rsidRPr="00751247">
        <w:rPr>
          <w:rFonts w:ascii="Calibri" w:hAnsi="Calibri" w:cs="Calibri"/>
          <w:b/>
          <w:bCs/>
          <w:sz w:val="22"/>
          <w:szCs w:val="22"/>
          <w:lang w:val="en-GB"/>
        </w:rPr>
        <w:t>significant</w:t>
      </w:r>
      <w:r w:rsidRPr="00751247">
        <w:rPr>
          <w:rFonts w:ascii="Calibri" w:hAnsi="Calibri" w:cs="Calibri"/>
          <w:b/>
          <w:bCs/>
          <w:sz w:val="22"/>
          <w:szCs w:val="22"/>
          <w:lang w:val="en-GB"/>
        </w:rPr>
        <w:t xml:space="preserve"> role in financing health in low and </w:t>
      </w:r>
      <w:r w:rsidR="00D953DB" w:rsidRPr="00751247">
        <w:rPr>
          <w:rFonts w:ascii="Calibri" w:hAnsi="Calibri" w:cs="Calibri"/>
          <w:b/>
          <w:bCs/>
          <w:sz w:val="22"/>
          <w:szCs w:val="22"/>
          <w:lang w:val="en-GB"/>
        </w:rPr>
        <w:t>lower-middle-income</w:t>
      </w:r>
      <w:r w:rsidRPr="00751247">
        <w:rPr>
          <w:rFonts w:ascii="Calibri" w:hAnsi="Calibri" w:cs="Calibri"/>
          <w:b/>
          <w:bCs/>
          <w:sz w:val="22"/>
          <w:szCs w:val="22"/>
          <w:lang w:val="en-GB"/>
        </w:rPr>
        <w:t xml:space="preserve"> countrie</w:t>
      </w:r>
      <w:r w:rsidR="007074EF">
        <w:rPr>
          <w:rFonts w:ascii="Calibri" w:hAnsi="Calibri" w:cs="Calibri"/>
          <w:b/>
          <w:bCs/>
          <w:sz w:val="22"/>
          <w:szCs w:val="22"/>
          <w:lang w:val="en-GB"/>
        </w:rPr>
        <w:t>s</w:t>
      </w:r>
    </w:p>
    <w:p w14:paraId="7F818D64" w14:textId="59937752" w:rsidR="007E6303" w:rsidRDefault="007E6303" w:rsidP="00751247">
      <w:pPr>
        <w:pStyle w:val="pf0"/>
        <w:rPr>
          <w:b/>
          <w:bCs/>
          <w:lang w:val="en-GB"/>
        </w:rPr>
      </w:pPr>
      <w:r w:rsidRPr="00734206">
        <w:rPr>
          <w:rFonts w:cstheme="minorHAnsi"/>
          <w:noProof/>
          <w:lang w:val="en-GB"/>
        </w:rPr>
        <w:drawing>
          <wp:inline distT="0" distB="0" distL="0" distR="0" wp14:anchorId="6DB9CC8B" wp14:editId="31FEBDA6">
            <wp:extent cx="5035550" cy="336242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236" cy="3365555"/>
                    </a:xfrm>
                    <a:prstGeom prst="rect">
                      <a:avLst/>
                    </a:prstGeom>
                  </pic:spPr>
                </pic:pic>
              </a:graphicData>
            </a:graphic>
          </wp:inline>
        </w:drawing>
      </w:r>
    </w:p>
    <w:p w14:paraId="0F916043" w14:textId="77777777" w:rsidR="007E6303" w:rsidRPr="00673F8D" w:rsidRDefault="007E6303" w:rsidP="007E6303">
      <w:pPr>
        <w:spacing w:after="480"/>
        <w:rPr>
          <w:rFonts w:cs="DIN Pro"/>
          <w:color w:val="000000"/>
          <w:sz w:val="18"/>
          <w:szCs w:val="18"/>
          <w:lang w:val="en-GB"/>
        </w:rPr>
      </w:pPr>
      <w:r w:rsidRPr="00673F8D">
        <w:rPr>
          <w:rFonts w:cs="DIN Pro"/>
          <w:color w:val="000000"/>
          <w:sz w:val="18"/>
          <w:szCs w:val="18"/>
          <w:lang w:val="en-GB"/>
        </w:rPr>
        <w:t xml:space="preserve">Data </w:t>
      </w:r>
      <w:r>
        <w:rPr>
          <w:rFonts w:cs="DIN Pro"/>
          <w:color w:val="000000"/>
          <w:sz w:val="18"/>
          <w:szCs w:val="18"/>
          <w:lang w:val="en-GB"/>
        </w:rPr>
        <w:t>s</w:t>
      </w:r>
      <w:r w:rsidRPr="00673F8D">
        <w:rPr>
          <w:rFonts w:cs="DIN Pro"/>
          <w:color w:val="000000"/>
          <w:sz w:val="18"/>
          <w:szCs w:val="18"/>
          <w:lang w:val="en-GB"/>
        </w:rPr>
        <w:t>ource: WHO Global Health Expenditure Database, 2023.</w:t>
      </w:r>
    </w:p>
    <w:p w14:paraId="67C533ED" w14:textId="09556527" w:rsidR="00174569" w:rsidRPr="00E31CEE" w:rsidRDefault="00174569" w:rsidP="00751247">
      <w:pPr>
        <w:pStyle w:val="Heading2"/>
        <w:spacing w:line="360" w:lineRule="auto"/>
        <w:rPr>
          <w:b/>
          <w:bCs/>
        </w:rPr>
      </w:pPr>
      <w:r w:rsidRPr="00E31CEE">
        <w:rPr>
          <w:b/>
          <w:bCs/>
        </w:rPr>
        <w:t>Policy solutions</w:t>
      </w:r>
      <w:r w:rsidR="002F4A33" w:rsidRPr="00E31CEE">
        <w:rPr>
          <w:b/>
          <w:bCs/>
        </w:rPr>
        <w:t xml:space="preserve"> </w:t>
      </w:r>
    </w:p>
    <w:p w14:paraId="588B70CF" w14:textId="0517AB7B" w:rsidR="00065D97" w:rsidRDefault="007B782D" w:rsidP="00751247">
      <w:pPr>
        <w:spacing w:line="360" w:lineRule="auto"/>
      </w:pPr>
      <w:r>
        <w:rPr>
          <w:b/>
          <w:bCs/>
        </w:rPr>
        <w:t>M</w:t>
      </w:r>
      <w:r w:rsidR="00065D97" w:rsidRPr="00751247">
        <w:rPr>
          <w:b/>
          <w:bCs/>
        </w:rPr>
        <w:t xml:space="preserve">ore government funding for health </w:t>
      </w:r>
      <w:r w:rsidR="005A5668">
        <w:rPr>
          <w:b/>
          <w:bCs/>
        </w:rPr>
        <w:t>and better quality spending</w:t>
      </w:r>
    </w:p>
    <w:p w14:paraId="6AF33092" w14:textId="3BBE6368" w:rsidR="003B1727" w:rsidRPr="004E2CFF" w:rsidRDefault="00A31545" w:rsidP="00E31CEE">
      <w:pPr>
        <w:jc w:val="both"/>
        <w:rPr>
          <w:szCs w:val="24"/>
          <w:lang w:val="en-GB"/>
        </w:rPr>
      </w:pPr>
      <w:r>
        <w:t>Additional g</w:t>
      </w:r>
      <w:r w:rsidR="0010234D" w:rsidRPr="00040267">
        <w:t>overnment funding</w:t>
      </w:r>
      <w:r w:rsidR="006B59C5">
        <w:t xml:space="preserve"> for health</w:t>
      </w:r>
      <w:r w:rsidR="0010234D" w:rsidRPr="00040267">
        <w:t xml:space="preserve"> is essential</w:t>
      </w:r>
      <w:r w:rsidR="007B782D">
        <w:t xml:space="preserve"> for advancing toward UHC</w:t>
      </w:r>
      <w:r w:rsidR="0010234D" w:rsidRPr="00040267">
        <w:t xml:space="preserve">, as it is strongly linked to improved coverage of essential services and reduced </w:t>
      </w:r>
      <w:r w:rsidR="00040267" w:rsidRPr="00040267">
        <w:t>financial hardship</w:t>
      </w:r>
      <w:r w:rsidR="0010234D" w:rsidRPr="00040267">
        <w:t>.</w:t>
      </w:r>
      <w:r w:rsidR="0010234D" w:rsidRPr="00AF5620">
        <w:t xml:space="preserve"> Private </w:t>
      </w:r>
      <w:r w:rsidR="00D22B8F">
        <w:t xml:space="preserve">sources of </w:t>
      </w:r>
      <w:r w:rsidR="00D953DB">
        <w:t>financing</w:t>
      </w:r>
      <w:r w:rsidR="0010234D" w:rsidRPr="00AF5620">
        <w:t xml:space="preserve">, such as voluntary health insurance and out-of-pocket payments, should only </w:t>
      </w:r>
      <w:r w:rsidR="00D953DB">
        <w:t>be supplementary</w:t>
      </w:r>
      <w:r w:rsidR="0010234D" w:rsidRPr="00AF5620">
        <w:t xml:space="preserve">. </w:t>
      </w:r>
    </w:p>
    <w:p w14:paraId="316F3B6A" w14:textId="45CA7169" w:rsidR="0010234D" w:rsidRDefault="0013745C" w:rsidP="00E31CEE">
      <w:pPr>
        <w:spacing w:line="278" w:lineRule="auto"/>
        <w:jc w:val="both"/>
        <w:rPr>
          <w:lang w:val="en-GB"/>
        </w:rPr>
      </w:pPr>
      <w:r w:rsidRPr="006D04D2">
        <w:rPr>
          <w:szCs w:val="24"/>
          <w:lang w:val="en-GB"/>
        </w:rPr>
        <w:t>However</w:t>
      </w:r>
      <w:r>
        <w:t xml:space="preserve">, </w:t>
      </w:r>
      <w:r w:rsidR="004E2CFF">
        <w:t xml:space="preserve">countries face an increasingly </w:t>
      </w:r>
      <w:r>
        <w:t xml:space="preserve">challenging </w:t>
      </w:r>
      <w:r w:rsidR="003B1727">
        <w:t xml:space="preserve">funding </w:t>
      </w:r>
      <w:r w:rsidR="004E2CFF">
        <w:t>environment</w:t>
      </w:r>
      <w:r>
        <w:t xml:space="preserve">. Economic headwinds and narrowing fiscal space mean that </w:t>
      </w:r>
      <w:r w:rsidRPr="006C7E11">
        <w:t xml:space="preserve">historical </w:t>
      </w:r>
      <w:r>
        <w:t xml:space="preserve">links between growth and spending </w:t>
      </w:r>
      <w:r w:rsidRPr="002C71B5">
        <w:t>cannot be taken for granted</w:t>
      </w:r>
      <w:r w:rsidRPr="00016046">
        <w:t xml:space="preserve">. </w:t>
      </w:r>
      <w:r w:rsidR="0010234D" w:rsidRPr="00AF5620">
        <w:t>Additionally, emerging issues like aging populations, urbanization, and changing lifestyles are expected to strain health systems, increasing demand for long-term care and management of multi-morbidities.</w:t>
      </w:r>
      <w:r w:rsidRPr="003B1727">
        <w:rPr>
          <w:lang w:val="en-GB"/>
        </w:rPr>
        <w:t xml:space="preserve"> </w:t>
      </w:r>
      <w:r w:rsidR="0010234D" w:rsidRPr="004F0931">
        <w:rPr>
          <w:lang w:val="en-GB"/>
        </w:rPr>
        <w:t xml:space="preserve">Additionally, rising age-dependency ratios for old age can have significant implications for the sustainability of health revenues, particularly among countries dependent on revenues from contributions to </w:t>
      </w:r>
      <w:r w:rsidR="0010234D">
        <w:rPr>
          <w:lang w:val="en-GB"/>
        </w:rPr>
        <w:t xml:space="preserve">social health insurance schemes </w:t>
      </w:r>
      <w:r w:rsidR="0010234D" w:rsidRPr="004F0931">
        <w:rPr>
          <w:lang w:val="en-GB"/>
        </w:rPr>
        <w:t xml:space="preserve">linked to the </w:t>
      </w:r>
      <w:r w:rsidR="00D953DB">
        <w:rPr>
          <w:lang w:val="en-GB"/>
        </w:rPr>
        <w:t>labo</w:t>
      </w:r>
      <w:r w:rsidR="008114D9">
        <w:rPr>
          <w:lang w:val="en-GB"/>
        </w:rPr>
        <w:t>u</w:t>
      </w:r>
      <w:r w:rsidR="00D953DB">
        <w:rPr>
          <w:lang w:val="en-GB"/>
        </w:rPr>
        <w:t>r</w:t>
      </w:r>
      <w:r w:rsidR="0010234D" w:rsidRPr="004F0931">
        <w:rPr>
          <w:lang w:val="en-GB"/>
        </w:rPr>
        <w:t xml:space="preserve"> markets.</w:t>
      </w:r>
    </w:p>
    <w:p w14:paraId="11FF26FB" w14:textId="77777777" w:rsidR="00E31CEE" w:rsidRDefault="00E31CEE" w:rsidP="00E31CEE">
      <w:pPr>
        <w:jc w:val="both"/>
        <w:rPr>
          <w:lang w:val="en-GB"/>
        </w:rPr>
      </w:pPr>
    </w:p>
    <w:p w14:paraId="5B93632B" w14:textId="369BCC73" w:rsidR="003B1727" w:rsidRPr="003B1727" w:rsidRDefault="003B1727" w:rsidP="00E31CEE">
      <w:pPr>
        <w:jc w:val="both"/>
        <w:rPr>
          <w:lang w:val="en-GB"/>
        </w:rPr>
      </w:pPr>
      <w:r>
        <w:rPr>
          <w:lang w:val="en-GB"/>
        </w:rPr>
        <w:t>Thus</w:t>
      </w:r>
      <w:r w:rsidRPr="003B1727">
        <w:rPr>
          <w:lang w:val="en-GB"/>
        </w:rPr>
        <w:t xml:space="preserve">, in addition to </w:t>
      </w:r>
      <w:r>
        <w:rPr>
          <w:lang w:val="en-GB"/>
        </w:rPr>
        <w:t xml:space="preserve">boosting </w:t>
      </w:r>
      <w:r w:rsidRPr="003B1727">
        <w:rPr>
          <w:lang w:val="en-GB"/>
        </w:rPr>
        <w:t xml:space="preserve">public funds, countries </w:t>
      </w:r>
      <w:r>
        <w:rPr>
          <w:lang w:val="en-GB"/>
        </w:rPr>
        <w:t xml:space="preserve">face the task of finding ways to </w:t>
      </w:r>
      <w:r w:rsidRPr="003B1727">
        <w:rPr>
          <w:lang w:val="en-GB"/>
        </w:rPr>
        <w:t xml:space="preserve">improve the equity and efficiency of health spending. </w:t>
      </w:r>
      <w:r>
        <w:rPr>
          <w:lang w:val="en-GB"/>
        </w:rPr>
        <w:t xml:space="preserve">At the core of this is </w:t>
      </w:r>
      <w:r w:rsidRPr="003B1727">
        <w:rPr>
          <w:lang w:val="en-GB"/>
        </w:rPr>
        <w:t xml:space="preserve">the prioritization of </w:t>
      </w:r>
      <w:r w:rsidR="00D953DB">
        <w:rPr>
          <w:lang w:val="en-GB"/>
        </w:rPr>
        <w:t xml:space="preserve">primary health care (PHC), which is essential for addressing both </w:t>
      </w:r>
      <w:r w:rsidRPr="003B1727">
        <w:rPr>
          <w:lang w:val="en-GB"/>
        </w:rPr>
        <w:t xml:space="preserve">current and emerging health challenges and crucial to an equitable and efficient health system. </w:t>
      </w:r>
      <w:r w:rsidR="00B82DB8">
        <w:rPr>
          <w:lang w:val="en-GB"/>
        </w:rPr>
        <w:t xml:space="preserve">Additionally, funds should be targeted </w:t>
      </w:r>
      <w:r w:rsidR="00B82DB8">
        <w:t xml:space="preserve">at protecting the most </w:t>
      </w:r>
      <w:r w:rsidR="00B82DB8" w:rsidRPr="00B82DB8">
        <w:t>vulnerable population</w:t>
      </w:r>
      <w:r w:rsidR="00B82DB8">
        <w:t>s</w:t>
      </w:r>
      <w:r w:rsidR="00B82DB8" w:rsidRPr="00B82DB8">
        <w:t xml:space="preserve"> and </w:t>
      </w:r>
      <w:r w:rsidR="00B82DB8">
        <w:t>ensuring no one is left behind.</w:t>
      </w:r>
    </w:p>
    <w:p w14:paraId="2000EED9" w14:textId="13002898" w:rsidR="0027694D" w:rsidRDefault="0027694D" w:rsidP="00E31CEE">
      <w:pPr>
        <w:jc w:val="both"/>
        <w:rPr>
          <w:szCs w:val="24"/>
          <w:lang w:val="en-GB"/>
        </w:rPr>
      </w:pPr>
      <w:r w:rsidRPr="00AF5620">
        <w:t xml:space="preserve">While aid is </w:t>
      </w:r>
      <w:r w:rsidR="000C02B8">
        <w:t xml:space="preserve">essential </w:t>
      </w:r>
      <w:r w:rsidRPr="00AF5620">
        <w:t xml:space="preserve">for addressing funding gaps in low- and lower-middle-income countries, it should complement rather than replace government spending. </w:t>
      </w:r>
      <w:r w:rsidR="00B82DB8">
        <w:t xml:space="preserve">Additionally, health aid should be </w:t>
      </w:r>
      <w:r w:rsidR="00B82DB8" w:rsidRPr="00B82DB8">
        <w:t xml:space="preserve">predictable </w:t>
      </w:r>
      <w:r w:rsidR="00B82DB8">
        <w:t xml:space="preserve">and aligned with </w:t>
      </w:r>
      <w:r w:rsidR="00B82DB8" w:rsidRPr="00B82DB8">
        <w:t>national priorit</w:t>
      </w:r>
      <w:r w:rsidR="00B82DB8">
        <w:t>ies.</w:t>
      </w:r>
    </w:p>
    <w:p w14:paraId="04B65E24" w14:textId="102C293B" w:rsidR="00065D97" w:rsidRDefault="006F6A85" w:rsidP="00E31CEE">
      <w:pPr>
        <w:jc w:val="both"/>
      </w:pPr>
      <w:r>
        <w:rPr>
          <w:b/>
          <w:bCs/>
        </w:rPr>
        <w:t>Better monitoring of h</w:t>
      </w:r>
      <w:r w:rsidR="00065D97" w:rsidRPr="00751247">
        <w:rPr>
          <w:b/>
          <w:bCs/>
        </w:rPr>
        <w:t xml:space="preserve">ealth </w:t>
      </w:r>
      <w:r>
        <w:rPr>
          <w:b/>
          <w:bCs/>
        </w:rPr>
        <w:t xml:space="preserve">spending to get countries back on track </w:t>
      </w:r>
    </w:p>
    <w:p w14:paraId="63A1ED95" w14:textId="3F8A3886" w:rsidR="00110C41" w:rsidRDefault="002E5154" w:rsidP="00E31CEE">
      <w:pPr>
        <w:jc w:val="both"/>
      </w:pPr>
      <w:r w:rsidRPr="001513D6">
        <w:t xml:space="preserve">To improve global and national decision-making during this challenging period, it is </w:t>
      </w:r>
      <w:r w:rsidR="00B71BCF">
        <w:t>important</w:t>
      </w:r>
      <w:r w:rsidR="00B71BCF" w:rsidRPr="001513D6">
        <w:t xml:space="preserve"> </w:t>
      </w:r>
      <w:r w:rsidRPr="001513D6">
        <w:t xml:space="preserve">to monitor health spending trends and patterns in relation to the SDG health targets. Health </w:t>
      </w:r>
      <w:r w:rsidR="00B25D80">
        <w:t>a</w:t>
      </w:r>
      <w:r w:rsidRPr="001513D6">
        <w:t>ccounts, which follow the System of Health Accounts (SHA) 2011, serve as the international standard for tracking health resources at the country level. By offering comprehensive data on health sector spending—covering how much is spent, the sources of funding, and how the money is used—</w:t>
      </w:r>
      <w:r w:rsidR="00150318">
        <w:t xml:space="preserve"> health accounts can </w:t>
      </w:r>
      <w:r w:rsidR="00150318" w:rsidRPr="00575FE8">
        <w:t xml:space="preserve">provide policymakers with </w:t>
      </w:r>
      <w:r w:rsidR="00150318">
        <w:t xml:space="preserve">critical </w:t>
      </w:r>
      <w:r w:rsidR="00150318" w:rsidRPr="00575FE8">
        <w:t xml:space="preserve">insights </w:t>
      </w:r>
      <w:r w:rsidR="00150318">
        <w:t>into the level and composition of health spending and trends over time. These can help gui</w:t>
      </w:r>
      <w:r w:rsidR="00150318" w:rsidRPr="00A90B6C">
        <w:t>de health financing policy and investment decisions, improve transparency, and enhance accountability</w:t>
      </w:r>
      <w:r w:rsidR="00110C41">
        <w:t xml:space="preserve">. </w:t>
      </w:r>
    </w:p>
    <w:p w14:paraId="6D09B687" w14:textId="185DDADC" w:rsidR="00960B2A" w:rsidRDefault="002E5154" w:rsidP="00E31CEE">
      <w:pPr>
        <w:jc w:val="both"/>
      </w:pPr>
      <w:r w:rsidRPr="001513D6">
        <w:t xml:space="preserve">Moreover, the standardized SHA 2011 framework enables benchmarking against peer countries. While each </w:t>
      </w:r>
      <w:r w:rsidR="009B3D78">
        <w:t xml:space="preserve">health accounts </w:t>
      </w:r>
      <w:r w:rsidRPr="001513D6">
        <w:t>is a snapshot, consistent reporting over time allows these snapshots to be combined, revealing valuable trends in health system dynamics</w:t>
      </w:r>
      <w:r w:rsidR="00A85B4C">
        <w:t>.</w:t>
      </w:r>
      <w:bookmarkStart w:id="0" w:name="_Hlk178341967"/>
    </w:p>
    <w:p w14:paraId="42DF7C21" w14:textId="34A7447F" w:rsidR="00463278" w:rsidRDefault="00FC3815" w:rsidP="00E31CEE">
      <w:pPr>
        <w:jc w:val="both"/>
        <w:rPr>
          <w:rFonts w:cstheme="minorHAnsi"/>
        </w:rPr>
      </w:pPr>
      <w:r>
        <w:rPr>
          <w:rFonts w:cstheme="minorHAnsi"/>
        </w:rPr>
        <w:t>H</w:t>
      </w:r>
      <w:r w:rsidR="00B25D80" w:rsidRPr="00B25D80">
        <w:rPr>
          <w:szCs w:val="24"/>
        </w:rPr>
        <w:t xml:space="preserve">ealth </w:t>
      </w:r>
      <w:r w:rsidR="00B25D80">
        <w:rPr>
          <w:szCs w:val="24"/>
        </w:rPr>
        <w:t xml:space="preserve">accounts </w:t>
      </w:r>
      <w:r w:rsidR="00A84B81">
        <w:rPr>
          <w:szCs w:val="24"/>
        </w:rPr>
        <w:t xml:space="preserve">data </w:t>
      </w:r>
      <w:r w:rsidR="00886205">
        <w:rPr>
          <w:szCs w:val="24"/>
        </w:rPr>
        <w:t xml:space="preserve">from </w:t>
      </w:r>
      <w:r w:rsidR="00886205">
        <w:rPr>
          <w:rFonts w:cstheme="minorHAnsi"/>
        </w:rPr>
        <w:t xml:space="preserve">more than </w:t>
      </w:r>
      <w:r w:rsidR="00886205" w:rsidRPr="0055049F">
        <w:rPr>
          <w:rFonts w:cstheme="minorHAnsi"/>
        </w:rPr>
        <w:t>190 countries</w:t>
      </w:r>
      <w:r w:rsidR="00BD5940">
        <w:rPr>
          <w:rFonts w:cstheme="minorHAnsi"/>
        </w:rPr>
        <w:t xml:space="preserve"> </w:t>
      </w:r>
      <w:r>
        <w:rPr>
          <w:rFonts w:cstheme="minorHAnsi"/>
        </w:rPr>
        <w:t xml:space="preserve">is stored </w:t>
      </w:r>
      <w:r w:rsidR="00837519">
        <w:rPr>
          <w:rFonts w:cstheme="minorHAnsi"/>
        </w:rPr>
        <w:t xml:space="preserve">in the WHO’s </w:t>
      </w:r>
      <w:r w:rsidRPr="00B25D80">
        <w:rPr>
          <w:szCs w:val="24"/>
        </w:rPr>
        <w:t>Global Health Expenditure Database (GHED)</w:t>
      </w:r>
      <w:r w:rsidR="00837519">
        <w:rPr>
          <w:szCs w:val="24"/>
        </w:rPr>
        <w:t xml:space="preserve">, which also </w:t>
      </w:r>
      <w:r w:rsidR="00BD5940">
        <w:rPr>
          <w:rFonts w:cstheme="minorHAnsi"/>
        </w:rPr>
        <w:t xml:space="preserve">provides time series information from the reference year 2000 through </w:t>
      </w:r>
      <w:bookmarkEnd w:id="0"/>
      <w:r w:rsidR="0055049F" w:rsidRPr="0055049F">
        <w:rPr>
          <w:rFonts w:cstheme="minorHAnsi"/>
        </w:rPr>
        <w:t xml:space="preserve">2021. </w:t>
      </w:r>
      <w:r w:rsidR="00BD5940">
        <w:rPr>
          <w:rFonts w:cstheme="minorHAnsi"/>
        </w:rPr>
        <w:t xml:space="preserve">As the world’s </w:t>
      </w:r>
      <w:r w:rsidR="00BD5940" w:rsidRPr="0055049F">
        <w:rPr>
          <w:rFonts w:cstheme="minorHAnsi"/>
        </w:rPr>
        <w:t xml:space="preserve">largest </w:t>
      </w:r>
      <w:r w:rsidR="00BD5940">
        <w:rPr>
          <w:rFonts w:cstheme="minorHAnsi"/>
        </w:rPr>
        <w:t>repository</w:t>
      </w:r>
      <w:r w:rsidR="00BD5940" w:rsidRPr="0055049F">
        <w:rPr>
          <w:rFonts w:cstheme="minorHAnsi"/>
        </w:rPr>
        <w:t xml:space="preserve"> of health spending</w:t>
      </w:r>
      <w:r w:rsidR="00BD5940">
        <w:rPr>
          <w:rFonts w:cstheme="minorHAnsi"/>
        </w:rPr>
        <w:t>, t</w:t>
      </w:r>
      <w:r w:rsidR="007A7B02">
        <w:rPr>
          <w:rFonts w:cstheme="minorHAnsi"/>
        </w:rPr>
        <w:t xml:space="preserve">he </w:t>
      </w:r>
      <w:r w:rsidR="006863C8">
        <w:rPr>
          <w:rFonts w:cstheme="minorHAnsi"/>
        </w:rPr>
        <w:t xml:space="preserve">GHED </w:t>
      </w:r>
      <w:r w:rsidR="003F5C64">
        <w:rPr>
          <w:rFonts w:cstheme="minorHAnsi"/>
        </w:rPr>
        <w:t xml:space="preserve">serves as </w:t>
      </w:r>
      <w:r w:rsidR="00134FBE">
        <w:rPr>
          <w:rFonts w:cstheme="minorHAnsi"/>
        </w:rPr>
        <w:t xml:space="preserve">an </w:t>
      </w:r>
      <w:r w:rsidR="00134FBE">
        <w:rPr>
          <w:szCs w:val="24"/>
          <w:lang w:val="en-GB"/>
        </w:rPr>
        <w:t xml:space="preserve">essential </w:t>
      </w:r>
      <w:r w:rsidR="00134FBE" w:rsidRPr="0010234D">
        <w:rPr>
          <w:lang w:val="en-AU"/>
        </w:rPr>
        <w:t>global public good</w:t>
      </w:r>
      <w:r w:rsidR="007A7B02">
        <w:rPr>
          <w:lang w:val="en-AU"/>
        </w:rPr>
        <w:t xml:space="preserve">. The WHO </w:t>
      </w:r>
      <w:r w:rsidR="007A7B02">
        <w:rPr>
          <w:rFonts w:cstheme="minorHAnsi"/>
        </w:rPr>
        <w:t xml:space="preserve">updates the database annually and </w:t>
      </w:r>
      <w:r w:rsidR="003F5C64">
        <w:rPr>
          <w:rFonts w:cstheme="minorHAnsi"/>
        </w:rPr>
        <w:t xml:space="preserve">works with </w:t>
      </w:r>
      <w:r w:rsidR="0055049F" w:rsidRPr="0055049F">
        <w:rPr>
          <w:rFonts w:cstheme="minorHAnsi"/>
        </w:rPr>
        <w:t xml:space="preserve">countries to ensure the </w:t>
      </w:r>
      <w:r w:rsidR="007A7B02">
        <w:rPr>
          <w:rFonts w:cstheme="minorHAnsi"/>
        </w:rPr>
        <w:t xml:space="preserve">validity and </w:t>
      </w:r>
      <w:r w:rsidR="0055049F" w:rsidRPr="0055049F">
        <w:rPr>
          <w:rFonts w:cstheme="minorHAnsi"/>
        </w:rPr>
        <w:t xml:space="preserve">accuracy of the data. The database has grown </w:t>
      </w:r>
      <w:r w:rsidR="007A7B02">
        <w:rPr>
          <w:rFonts w:cstheme="minorHAnsi"/>
        </w:rPr>
        <w:t xml:space="preserve">over time </w:t>
      </w:r>
      <w:r w:rsidR="0055049F" w:rsidRPr="0055049F">
        <w:rPr>
          <w:rFonts w:cstheme="minorHAnsi"/>
        </w:rPr>
        <w:t>to include more countries and indicators, and this expansion is expected to continue</w:t>
      </w:r>
      <w:r w:rsidR="002228BA">
        <w:rPr>
          <w:rFonts w:cstheme="minorHAnsi"/>
        </w:rPr>
        <w:t>.</w:t>
      </w:r>
      <w:r w:rsidR="00D56DD9">
        <w:rPr>
          <w:rFonts w:cstheme="minorHAnsi"/>
        </w:rPr>
        <w:t xml:space="preserve"> </w:t>
      </w:r>
      <w:r w:rsidR="00463278">
        <w:rPr>
          <w:rFonts w:cstheme="minorHAnsi"/>
        </w:rPr>
        <w:t xml:space="preserve">It is relied upon </w:t>
      </w:r>
      <w:r w:rsidR="00110EDE">
        <w:rPr>
          <w:rFonts w:cstheme="minorHAnsi"/>
        </w:rPr>
        <w:t xml:space="preserve">by a wide range of users </w:t>
      </w:r>
      <w:r w:rsidR="006A25EF">
        <w:rPr>
          <w:rFonts w:cstheme="minorHAnsi"/>
        </w:rPr>
        <w:t xml:space="preserve">for analytical and policy purposes, including </w:t>
      </w:r>
      <w:r w:rsidR="0030099B">
        <w:rPr>
          <w:rFonts w:cstheme="minorHAnsi"/>
        </w:rPr>
        <w:t xml:space="preserve">(but not limited to) </w:t>
      </w:r>
      <w:r w:rsidR="006A25EF">
        <w:rPr>
          <w:rFonts w:cstheme="minorHAnsi"/>
        </w:rPr>
        <w:t>governments</w:t>
      </w:r>
      <w:r w:rsidR="0030099B">
        <w:rPr>
          <w:rFonts w:cstheme="minorHAnsi"/>
        </w:rPr>
        <w:t>,</w:t>
      </w:r>
      <w:r w:rsidR="006D66BB">
        <w:rPr>
          <w:rFonts w:cstheme="minorHAnsi"/>
        </w:rPr>
        <w:t xml:space="preserve"> development partners</w:t>
      </w:r>
      <w:r w:rsidR="0030099B">
        <w:rPr>
          <w:rFonts w:cstheme="minorHAnsi"/>
        </w:rPr>
        <w:t xml:space="preserve"> (including </w:t>
      </w:r>
      <w:r w:rsidR="00055C85">
        <w:rPr>
          <w:rFonts w:cstheme="minorHAnsi"/>
        </w:rPr>
        <w:t xml:space="preserve">WHO, </w:t>
      </w:r>
      <w:r w:rsidR="00F83CC7">
        <w:rPr>
          <w:rFonts w:cstheme="minorHAnsi"/>
        </w:rPr>
        <w:t xml:space="preserve">the World Bank, </w:t>
      </w:r>
      <w:r w:rsidR="00C82097">
        <w:rPr>
          <w:rFonts w:cstheme="minorHAnsi"/>
        </w:rPr>
        <w:t xml:space="preserve">IMF, the Global Fund, Gavi, regional development banks and other </w:t>
      </w:r>
      <w:r w:rsidR="006A25EF">
        <w:rPr>
          <w:rFonts w:cstheme="minorHAnsi"/>
        </w:rPr>
        <w:t xml:space="preserve">multilateral </w:t>
      </w:r>
      <w:r w:rsidR="00C82097">
        <w:rPr>
          <w:rFonts w:cstheme="minorHAnsi"/>
        </w:rPr>
        <w:t>and bilateral</w:t>
      </w:r>
      <w:r w:rsidR="006A25EF">
        <w:rPr>
          <w:rFonts w:cstheme="minorHAnsi"/>
        </w:rPr>
        <w:t xml:space="preserve"> </w:t>
      </w:r>
      <w:r w:rsidR="000D1256">
        <w:rPr>
          <w:rFonts w:cstheme="minorHAnsi"/>
        </w:rPr>
        <w:t>agencies</w:t>
      </w:r>
      <w:r w:rsidR="0030099B">
        <w:rPr>
          <w:rFonts w:cstheme="minorHAnsi"/>
        </w:rPr>
        <w:t xml:space="preserve"> and</w:t>
      </w:r>
      <w:r w:rsidR="006D66BB">
        <w:rPr>
          <w:rFonts w:cstheme="minorHAnsi"/>
        </w:rPr>
        <w:t xml:space="preserve"> </w:t>
      </w:r>
      <w:r w:rsidR="006A25EF">
        <w:rPr>
          <w:rFonts w:cstheme="minorHAnsi"/>
        </w:rPr>
        <w:t>global health initiatives</w:t>
      </w:r>
      <w:r w:rsidR="0030099B">
        <w:rPr>
          <w:rFonts w:cstheme="minorHAnsi"/>
        </w:rPr>
        <w:t>)</w:t>
      </w:r>
      <w:r w:rsidR="006A25EF">
        <w:rPr>
          <w:rFonts w:cstheme="minorHAnsi"/>
        </w:rPr>
        <w:t>,</w:t>
      </w:r>
      <w:r w:rsidR="006D66BB">
        <w:rPr>
          <w:rFonts w:cstheme="minorHAnsi"/>
        </w:rPr>
        <w:t xml:space="preserve"> academia and civil society.</w:t>
      </w:r>
    </w:p>
    <w:p w14:paraId="38AA7BEE" w14:textId="426DAD51" w:rsidR="00BE205A" w:rsidRDefault="00D953DB" w:rsidP="00E31CEE">
      <w:pPr>
        <w:jc w:val="both"/>
      </w:pPr>
      <w:r w:rsidRPr="00AF5620">
        <w:t>Currently, data availability is a significant barrier</w:t>
      </w:r>
      <w:r w:rsidR="009C1AD4">
        <w:t xml:space="preserve"> to the effectiveness of </w:t>
      </w:r>
      <w:r w:rsidR="000B771B">
        <w:t xml:space="preserve">health accounts </w:t>
      </w:r>
      <w:r w:rsidR="003F5C64">
        <w:t>and the completeness of the GHED</w:t>
      </w:r>
      <w:r w:rsidRPr="00AF5620">
        <w:t xml:space="preserve">. While many countries report aggregated health spending data, </w:t>
      </w:r>
      <w:r w:rsidR="00364B42">
        <w:t>some</w:t>
      </w:r>
      <w:r w:rsidR="00FB6B63">
        <w:t xml:space="preserve"> </w:t>
      </w:r>
      <w:r w:rsidR="0063035B">
        <w:t>still</w:t>
      </w:r>
      <w:r w:rsidR="00FB6B63">
        <w:t xml:space="preserve"> find it difficult to produce timely </w:t>
      </w:r>
      <w:r w:rsidR="00E51D00">
        <w:t>data</w:t>
      </w:r>
      <w:r w:rsidR="00364B42">
        <w:t xml:space="preserve">. Additionally, </w:t>
      </w:r>
      <w:r w:rsidRPr="00AF5620">
        <w:t xml:space="preserve">detailed reports are </w:t>
      </w:r>
      <w:r w:rsidR="00364B42">
        <w:t xml:space="preserve">relatively </w:t>
      </w:r>
      <w:r w:rsidR="009C1AD4">
        <w:t>rare</w:t>
      </w:r>
      <w:r w:rsidR="00E51D00">
        <w:t xml:space="preserve">. These challenges </w:t>
      </w:r>
      <w:r w:rsidRPr="00AF5620">
        <w:t>limit</w:t>
      </w:r>
      <w:r w:rsidR="00E51D00">
        <w:t xml:space="preserve"> </w:t>
      </w:r>
      <w:r w:rsidRPr="00AF5620">
        <w:t xml:space="preserve">the </w:t>
      </w:r>
      <w:r w:rsidR="009C1AD4">
        <w:t xml:space="preserve">capacity to </w:t>
      </w:r>
      <w:r w:rsidR="0063035B">
        <w:t xml:space="preserve">effectively </w:t>
      </w:r>
      <w:r w:rsidR="009C1AD4">
        <w:t xml:space="preserve">analyze </w:t>
      </w:r>
      <w:r w:rsidRPr="00AF5620">
        <w:t xml:space="preserve">health spending dynamics. </w:t>
      </w:r>
    </w:p>
    <w:p w14:paraId="3FCE4361" w14:textId="7AD9CCF4" w:rsidR="00C87687" w:rsidRDefault="00C87687" w:rsidP="00E31CEE">
      <w:pPr>
        <w:jc w:val="both"/>
      </w:pPr>
      <w:r>
        <w:t xml:space="preserve">As </w:t>
      </w:r>
      <w:r w:rsidRPr="00A90B6C">
        <w:t xml:space="preserve">health accounts </w:t>
      </w:r>
      <w:r w:rsidR="000F7423">
        <w:t xml:space="preserve">become more institutionalized, the more likely countries will </w:t>
      </w:r>
      <w:r w:rsidR="00432319">
        <w:t xml:space="preserve">be able to </w:t>
      </w:r>
      <w:r w:rsidR="000F7423">
        <w:t>produce complete, reliable and timely health expenditure data aligned with international standards</w:t>
      </w:r>
      <w:r w:rsidR="00CE235B">
        <w:t>.</w:t>
      </w:r>
      <w:r>
        <w:t xml:space="preserve"> </w:t>
      </w:r>
      <w:r w:rsidRPr="00CE155A">
        <w:t xml:space="preserve">While each country’s approach </w:t>
      </w:r>
      <w:r w:rsidRPr="00680288">
        <w:t xml:space="preserve">to institutionalization </w:t>
      </w:r>
      <w:r w:rsidRPr="00CE155A">
        <w:t xml:space="preserve">will differ, countries with well-established health accounts share common traits: the process is country-led, </w:t>
      </w:r>
      <w:r w:rsidRPr="006701CE">
        <w:rPr>
          <w:rFonts w:ascii="Calibri" w:hAnsi="Calibri" w:cs="Calibri"/>
          <w:lang w:val="en-GB"/>
        </w:rPr>
        <w:t>staff and data collection</w:t>
      </w:r>
      <w:r>
        <w:rPr>
          <w:rFonts w:ascii="Calibri" w:hAnsi="Calibri" w:cs="Calibri"/>
          <w:lang w:val="en-GB"/>
        </w:rPr>
        <w:t xml:space="preserve"> are </w:t>
      </w:r>
      <w:r w:rsidRPr="00CE155A">
        <w:t xml:space="preserve">funded by domestic government resources, </w:t>
      </w:r>
      <w:r>
        <w:t xml:space="preserve">teams </w:t>
      </w:r>
      <w:r w:rsidR="00D47BC4">
        <w:t>can</w:t>
      </w:r>
      <w:r>
        <w:t xml:space="preserve"> </w:t>
      </w:r>
      <w:r w:rsidRPr="006701CE">
        <w:rPr>
          <w:rFonts w:ascii="Calibri" w:eastAsiaTheme="majorEastAsia" w:hAnsi="Calibri" w:cs="Calibri"/>
        </w:rPr>
        <w:t xml:space="preserve">routinely access essential health spending </w:t>
      </w:r>
      <w:r w:rsidRPr="00CE155A">
        <w:t xml:space="preserve">data (often through digital systems), </w:t>
      </w:r>
      <w:r w:rsidRPr="006701CE">
        <w:rPr>
          <w:rFonts w:ascii="Calibri" w:eastAsiaTheme="majorEastAsia" w:hAnsi="Calibri" w:cs="Calibri"/>
        </w:rPr>
        <w:t xml:space="preserve">and </w:t>
      </w:r>
      <w:r>
        <w:rPr>
          <w:rFonts w:ascii="Calibri" w:eastAsiaTheme="majorEastAsia" w:hAnsi="Calibri" w:cs="Calibri"/>
        </w:rPr>
        <w:t xml:space="preserve">there are </w:t>
      </w:r>
      <w:r w:rsidRPr="006701CE">
        <w:rPr>
          <w:rFonts w:ascii="Calibri" w:eastAsiaTheme="majorEastAsia" w:hAnsi="Calibri" w:cs="Calibri"/>
        </w:rPr>
        <w:t xml:space="preserve">coordination mechanisms </w:t>
      </w:r>
      <w:r>
        <w:rPr>
          <w:rFonts w:ascii="Calibri" w:eastAsiaTheme="majorEastAsia" w:hAnsi="Calibri" w:cs="Calibri"/>
        </w:rPr>
        <w:t xml:space="preserve">in place </w:t>
      </w:r>
      <w:r w:rsidRPr="006701CE">
        <w:rPr>
          <w:rFonts w:ascii="Calibri" w:eastAsiaTheme="majorEastAsia" w:hAnsi="Calibri" w:cs="Calibri"/>
        </w:rPr>
        <w:t>to work with various data-providing stakeholders</w:t>
      </w:r>
      <w:r>
        <w:t>.</w:t>
      </w:r>
      <w:r w:rsidRPr="00A90B6C">
        <w:t xml:space="preserve"> </w:t>
      </w:r>
    </w:p>
    <w:p w14:paraId="4EA76B74" w14:textId="77777777" w:rsidR="00E31CEE" w:rsidRDefault="00E31CEE" w:rsidP="00E31CEE">
      <w:pPr>
        <w:jc w:val="both"/>
        <w:rPr>
          <w:rFonts w:asciiTheme="majorHAnsi" w:eastAsiaTheme="majorEastAsia" w:hAnsiTheme="majorHAnsi" w:cstheme="majorBidi"/>
          <w:color w:val="2F5496" w:themeColor="accent1" w:themeShade="BF"/>
          <w:sz w:val="26"/>
          <w:szCs w:val="26"/>
        </w:rPr>
      </w:pPr>
    </w:p>
    <w:p w14:paraId="3A9CA2B1" w14:textId="04871E70" w:rsidR="00174569" w:rsidRPr="00E31CEE" w:rsidRDefault="081A7F1C" w:rsidP="00E31CEE">
      <w:pPr>
        <w:jc w:val="both"/>
        <w:rPr>
          <w:rFonts w:asciiTheme="majorHAnsi" w:eastAsiaTheme="majorEastAsia" w:hAnsiTheme="majorHAnsi" w:cstheme="majorBidi"/>
          <w:b/>
          <w:bCs/>
          <w:color w:val="2F5496" w:themeColor="accent1" w:themeShade="BF"/>
          <w:sz w:val="26"/>
          <w:szCs w:val="26"/>
        </w:rPr>
      </w:pPr>
      <w:r w:rsidRPr="00E31CEE">
        <w:rPr>
          <w:rFonts w:asciiTheme="majorHAnsi" w:eastAsiaTheme="majorEastAsia" w:hAnsiTheme="majorHAnsi" w:cstheme="majorBidi"/>
          <w:b/>
          <w:bCs/>
          <w:color w:val="2F5496" w:themeColor="accent1" w:themeShade="BF"/>
          <w:sz w:val="26"/>
          <w:szCs w:val="26"/>
        </w:rPr>
        <w:t xml:space="preserve">Specific </w:t>
      </w:r>
      <w:r w:rsidR="7BC9008D" w:rsidRPr="00E31CEE">
        <w:rPr>
          <w:rFonts w:asciiTheme="majorHAnsi" w:eastAsiaTheme="majorEastAsia" w:hAnsiTheme="majorHAnsi" w:cstheme="majorBidi"/>
          <w:b/>
          <w:bCs/>
          <w:color w:val="2F5496" w:themeColor="accent1" w:themeShade="BF"/>
          <w:sz w:val="26"/>
          <w:szCs w:val="26"/>
        </w:rPr>
        <w:t>r</w:t>
      </w:r>
      <w:r w:rsidR="00174569" w:rsidRPr="00E31CEE">
        <w:rPr>
          <w:rFonts w:asciiTheme="majorHAnsi" w:eastAsiaTheme="majorEastAsia" w:hAnsiTheme="majorHAnsi" w:cstheme="majorBidi"/>
          <w:b/>
          <w:bCs/>
          <w:color w:val="2F5496" w:themeColor="accent1" w:themeShade="BF"/>
          <w:sz w:val="26"/>
          <w:szCs w:val="26"/>
        </w:rPr>
        <w:t>ecommendations for FFD4</w:t>
      </w:r>
      <w:r w:rsidR="002F4A33" w:rsidRPr="00E31CEE">
        <w:rPr>
          <w:rFonts w:asciiTheme="majorHAnsi" w:eastAsiaTheme="majorEastAsia" w:hAnsiTheme="majorHAnsi" w:cstheme="majorBidi"/>
          <w:b/>
          <w:bCs/>
          <w:color w:val="2F5496" w:themeColor="accent1" w:themeShade="BF"/>
          <w:sz w:val="26"/>
          <w:szCs w:val="26"/>
        </w:rPr>
        <w:t xml:space="preserve"> </w:t>
      </w:r>
    </w:p>
    <w:p w14:paraId="55438975" w14:textId="773DEC58" w:rsidR="009B244A" w:rsidRDefault="009B244A" w:rsidP="00E31CEE">
      <w:pPr>
        <w:jc w:val="both"/>
        <w:rPr>
          <w:rFonts w:eastAsia="Times New Roman"/>
          <w:b/>
          <w:bCs/>
          <w:color w:val="000000" w:themeColor="text1"/>
          <w:szCs w:val="20"/>
          <w:lang w:val="en-GB"/>
        </w:rPr>
      </w:pPr>
      <w:r w:rsidRPr="00751247">
        <w:t>The Universal Health Coverage</w:t>
      </w:r>
      <w:r w:rsidRPr="00DD2131">
        <w:rPr>
          <w:rFonts w:eastAsia="Times New Roman" w:cstheme="minorHAnsi"/>
          <w:szCs w:val="24"/>
        </w:rPr>
        <w:t xml:space="preserve"> (UHC) targets in the SDGs </w:t>
      </w:r>
      <w:r>
        <w:rPr>
          <w:rFonts w:eastAsia="Times New Roman" w:cstheme="minorHAnsi"/>
          <w:szCs w:val="24"/>
        </w:rPr>
        <w:t xml:space="preserve">remain an achievable goal. However, to get back on track, </w:t>
      </w:r>
      <w:r w:rsidRPr="00DD2131">
        <w:rPr>
          <w:rFonts w:eastAsia="Times New Roman" w:cstheme="minorHAnsi"/>
          <w:szCs w:val="24"/>
        </w:rPr>
        <w:t xml:space="preserve">countries </w:t>
      </w:r>
      <w:r>
        <w:rPr>
          <w:rFonts w:eastAsia="Times New Roman" w:cstheme="minorHAnsi"/>
          <w:szCs w:val="24"/>
        </w:rPr>
        <w:t xml:space="preserve">must </w:t>
      </w:r>
      <w:r w:rsidRPr="00DD2131">
        <w:rPr>
          <w:rFonts w:eastAsia="Times New Roman" w:cstheme="minorHAnsi"/>
          <w:szCs w:val="24"/>
        </w:rPr>
        <w:t>increase public spending on health per capita and ensure that private funding plays a supplementary and complementary role. In many low- and middle-income countries, development assistance will continue to be a crucial source of financing for the foreseeable future. Therefore, efforts must focus on improving the alignment and predictability of this assistance.</w:t>
      </w:r>
    </w:p>
    <w:p w14:paraId="04DA92ED" w14:textId="05683424" w:rsidR="008737FC" w:rsidRDefault="00227592" w:rsidP="00E31CEE">
      <w:pPr>
        <w:jc w:val="both"/>
        <w:rPr>
          <w:rFonts w:ascii="Calibri" w:hAnsi="Calibri" w:cs="Calibri"/>
        </w:rPr>
      </w:pPr>
      <w:r>
        <w:t>E</w:t>
      </w:r>
      <w:r w:rsidR="00D54C21">
        <w:t>ffective health resource tracking</w:t>
      </w:r>
      <w:r w:rsidR="002607E1">
        <w:t xml:space="preserve"> via </w:t>
      </w:r>
      <w:r w:rsidR="00E10903">
        <w:t xml:space="preserve">institutionalized </w:t>
      </w:r>
      <w:r w:rsidR="002607E1">
        <w:t>health accounts</w:t>
      </w:r>
      <w:r>
        <w:t xml:space="preserve"> is</w:t>
      </w:r>
      <w:r w:rsidR="00B8633E">
        <w:t xml:space="preserve"> also </w:t>
      </w:r>
      <w:r w:rsidR="00D54C21" w:rsidRPr="00CE0F52">
        <w:t xml:space="preserve">critical to achieving </w:t>
      </w:r>
      <w:r w:rsidR="00756700">
        <w:t>the SDG health targets</w:t>
      </w:r>
      <w:r w:rsidR="00D54C21" w:rsidRPr="00CE0F52">
        <w:t>.</w:t>
      </w:r>
      <w:r w:rsidR="00F96643">
        <w:t xml:space="preserve"> </w:t>
      </w:r>
      <w:r w:rsidR="002D25D4">
        <w:rPr>
          <w:rFonts w:ascii="Calibri" w:hAnsi="Calibri" w:cs="Calibri"/>
        </w:rPr>
        <w:t>According</w:t>
      </w:r>
      <w:r w:rsidR="00B93020">
        <w:rPr>
          <w:rFonts w:ascii="Calibri" w:hAnsi="Calibri" w:cs="Calibri"/>
        </w:rPr>
        <w:t>l</w:t>
      </w:r>
      <w:r w:rsidR="002D25D4">
        <w:rPr>
          <w:rFonts w:ascii="Calibri" w:hAnsi="Calibri" w:cs="Calibri"/>
        </w:rPr>
        <w:t xml:space="preserve">y, </w:t>
      </w:r>
      <w:r w:rsidR="00B93020">
        <w:rPr>
          <w:rFonts w:ascii="Calibri" w:hAnsi="Calibri" w:cs="Calibri"/>
        </w:rPr>
        <w:t>m</w:t>
      </w:r>
      <w:r w:rsidR="002D25D4">
        <w:rPr>
          <w:rFonts w:ascii="Calibri" w:hAnsi="Calibri" w:cs="Calibri"/>
        </w:rPr>
        <w:t xml:space="preserve">ember states </w:t>
      </w:r>
      <w:r w:rsidR="00B93020">
        <w:rPr>
          <w:rFonts w:ascii="Calibri" w:hAnsi="Calibri" w:cs="Calibri"/>
        </w:rPr>
        <w:t xml:space="preserve">should </w:t>
      </w:r>
      <w:r w:rsidR="005615BE">
        <w:rPr>
          <w:rFonts w:ascii="Calibri" w:hAnsi="Calibri" w:cs="Calibri"/>
        </w:rPr>
        <w:t>require</w:t>
      </w:r>
      <w:r w:rsidR="001A40F6">
        <w:rPr>
          <w:rFonts w:ascii="Calibri" w:hAnsi="Calibri" w:cs="Calibri"/>
        </w:rPr>
        <w:t xml:space="preserve"> health accounts</w:t>
      </w:r>
      <w:r w:rsidR="00B93020" w:rsidRPr="00A6273F">
        <w:rPr>
          <w:rFonts w:ascii="Calibri" w:hAnsi="Calibri" w:cs="Calibri"/>
        </w:rPr>
        <w:t xml:space="preserve"> </w:t>
      </w:r>
      <w:r w:rsidR="005615BE">
        <w:rPr>
          <w:rFonts w:ascii="Calibri" w:hAnsi="Calibri" w:cs="Calibri"/>
        </w:rPr>
        <w:t xml:space="preserve">are </w:t>
      </w:r>
      <w:r w:rsidR="00BB7970">
        <w:rPr>
          <w:rFonts w:ascii="Calibri" w:hAnsi="Calibri" w:cs="Calibri"/>
        </w:rPr>
        <w:t>regularly</w:t>
      </w:r>
      <w:r w:rsidR="005615BE">
        <w:rPr>
          <w:rFonts w:ascii="Calibri" w:hAnsi="Calibri" w:cs="Calibri"/>
        </w:rPr>
        <w:t xml:space="preserve"> produced</w:t>
      </w:r>
      <w:r w:rsidR="00BB7970">
        <w:rPr>
          <w:rFonts w:ascii="Calibri" w:hAnsi="Calibri" w:cs="Calibri"/>
        </w:rPr>
        <w:t xml:space="preserve">; </w:t>
      </w:r>
      <w:r w:rsidR="002D25D4">
        <w:rPr>
          <w:rFonts w:ascii="Calibri" w:hAnsi="Calibri" w:cs="Calibri"/>
        </w:rPr>
        <w:t>p</w:t>
      </w:r>
      <w:r w:rsidR="008737FC" w:rsidRPr="008652BF">
        <w:rPr>
          <w:rFonts w:ascii="Calibri" w:hAnsi="Calibri" w:cs="Calibri"/>
        </w:rPr>
        <w:t>rovid</w:t>
      </w:r>
      <w:r w:rsidR="005615BE">
        <w:rPr>
          <w:rFonts w:ascii="Calibri" w:hAnsi="Calibri" w:cs="Calibri"/>
        </w:rPr>
        <w:t>e</w:t>
      </w:r>
      <w:r w:rsidR="008737FC" w:rsidRPr="008652BF">
        <w:rPr>
          <w:rFonts w:ascii="Calibri" w:hAnsi="Calibri" w:cs="Calibri"/>
        </w:rPr>
        <w:t xml:space="preserve"> adequate and sustainable funding from the government budget, where feasible, </w:t>
      </w:r>
      <w:r w:rsidR="005615BE" w:rsidRPr="008652BF">
        <w:rPr>
          <w:rFonts w:ascii="Calibri" w:hAnsi="Calibri" w:cs="Calibri"/>
        </w:rPr>
        <w:t xml:space="preserve">for </w:t>
      </w:r>
      <w:r w:rsidR="005615BE">
        <w:rPr>
          <w:rFonts w:ascii="Calibri" w:hAnsi="Calibri" w:cs="Calibri"/>
        </w:rPr>
        <w:t xml:space="preserve">well-trained </w:t>
      </w:r>
      <w:r w:rsidR="005615BE" w:rsidRPr="008652BF">
        <w:rPr>
          <w:rFonts w:ascii="Calibri" w:hAnsi="Calibri" w:cs="Calibri"/>
        </w:rPr>
        <w:t>teams</w:t>
      </w:r>
      <w:r w:rsidR="00BB7970">
        <w:rPr>
          <w:rFonts w:ascii="Calibri" w:hAnsi="Calibri" w:cs="Calibri"/>
        </w:rPr>
        <w:t xml:space="preserve">, </w:t>
      </w:r>
      <w:r w:rsidR="008737FC" w:rsidRPr="008652BF">
        <w:rPr>
          <w:rFonts w:ascii="Calibri" w:hAnsi="Calibri" w:cs="Calibri"/>
        </w:rPr>
        <w:t xml:space="preserve">and </w:t>
      </w:r>
      <w:r w:rsidR="001A40F6">
        <w:rPr>
          <w:rFonts w:ascii="Calibri" w:hAnsi="Calibri" w:cs="Calibri"/>
        </w:rPr>
        <w:t>build</w:t>
      </w:r>
      <w:r w:rsidR="008737FC" w:rsidRPr="008652BF">
        <w:rPr>
          <w:rFonts w:ascii="Calibri" w:hAnsi="Calibri" w:cs="Calibri"/>
        </w:rPr>
        <w:t xml:space="preserve"> the systems to allow </w:t>
      </w:r>
      <w:r w:rsidR="0069221D">
        <w:rPr>
          <w:rFonts w:ascii="Calibri" w:hAnsi="Calibri" w:cs="Calibri"/>
        </w:rPr>
        <w:t>the</w:t>
      </w:r>
      <w:r w:rsidR="00BB7970">
        <w:rPr>
          <w:rFonts w:ascii="Calibri" w:hAnsi="Calibri" w:cs="Calibri"/>
        </w:rPr>
        <w:t>se</w:t>
      </w:r>
      <w:r w:rsidR="0069221D">
        <w:rPr>
          <w:rFonts w:ascii="Calibri" w:hAnsi="Calibri" w:cs="Calibri"/>
        </w:rPr>
        <w:t xml:space="preserve"> </w:t>
      </w:r>
      <w:r w:rsidR="008737FC" w:rsidRPr="008652BF">
        <w:rPr>
          <w:rFonts w:ascii="Calibri" w:hAnsi="Calibri" w:cs="Calibri"/>
        </w:rPr>
        <w:t xml:space="preserve">teams </w:t>
      </w:r>
      <w:r w:rsidR="008737FC">
        <w:rPr>
          <w:rFonts w:ascii="Calibri" w:hAnsi="Calibri" w:cs="Calibri"/>
        </w:rPr>
        <w:t xml:space="preserve">to </w:t>
      </w:r>
      <w:r w:rsidR="001A40F6">
        <w:rPr>
          <w:rFonts w:ascii="Calibri" w:hAnsi="Calibri" w:cs="Calibri"/>
        </w:rPr>
        <w:t xml:space="preserve">routinely access </w:t>
      </w:r>
      <w:r w:rsidR="00305FAC">
        <w:rPr>
          <w:rFonts w:ascii="Calibri" w:hAnsi="Calibri" w:cs="Calibri"/>
        </w:rPr>
        <w:t xml:space="preserve">data </w:t>
      </w:r>
      <w:r w:rsidR="00164C4A">
        <w:rPr>
          <w:rFonts w:ascii="Calibri" w:hAnsi="Calibri" w:cs="Calibri"/>
        </w:rPr>
        <w:t xml:space="preserve">and coordinate </w:t>
      </w:r>
      <w:r w:rsidR="00432AE3">
        <w:rPr>
          <w:rFonts w:ascii="Calibri" w:hAnsi="Calibri" w:cs="Calibri"/>
        </w:rPr>
        <w:t xml:space="preserve">with </w:t>
      </w:r>
      <w:r w:rsidR="002E7DDE" w:rsidRPr="006701CE">
        <w:rPr>
          <w:rFonts w:ascii="Calibri" w:eastAsiaTheme="majorEastAsia" w:hAnsi="Calibri" w:cs="Calibri"/>
        </w:rPr>
        <w:t xml:space="preserve">data-providing </w:t>
      </w:r>
      <w:r w:rsidR="00432AE3">
        <w:rPr>
          <w:rFonts w:ascii="Calibri" w:eastAsiaTheme="majorEastAsia" w:hAnsi="Calibri" w:cs="Calibri"/>
        </w:rPr>
        <w:t xml:space="preserve">and data-using </w:t>
      </w:r>
      <w:r w:rsidR="002E7DDE" w:rsidRPr="006701CE">
        <w:rPr>
          <w:rFonts w:ascii="Calibri" w:eastAsiaTheme="majorEastAsia" w:hAnsi="Calibri" w:cs="Calibri"/>
        </w:rPr>
        <w:t>stakeholders</w:t>
      </w:r>
      <w:r w:rsidR="002E7DDE">
        <w:t>.</w:t>
      </w:r>
      <w:r w:rsidR="002E7DDE" w:rsidRPr="00A90B6C">
        <w:t xml:space="preserve"> </w:t>
      </w:r>
      <w:r w:rsidR="002E7DDE" w:rsidRPr="00C022D7">
        <w:t>Regularly p</w:t>
      </w:r>
      <w:r w:rsidR="008737FC" w:rsidRPr="00C022D7">
        <w:t>roduc</w:t>
      </w:r>
      <w:r w:rsidR="00480C2D" w:rsidRPr="00C022D7">
        <w:t>ing</w:t>
      </w:r>
      <w:r w:rsidR="008737FC" w:rsidRPr="00C022D7">
        <w:t xml:space="preserve"> high-quality </w:t>
      </w:r>
      <w:r w:rsidR="00F6309B" w:rsidRPr="00C022D7">
        <w:t>health accounts</w:t>
      </w:r>
      <w:r w:rsidR="001F08BC" w:rsidRPr="00C022D7">
        <w:t xml:space="preserve"> and integrating the results </w:t>
      </w:r>
      <w:r w:rsidR="00CE235B" w:rsidRPr="00C022D7">
        <w:t>into national</w:t>
      </w:r>
      <w:r w:rsidR="008028E2" w:rsidRPr="00C022D7">
        <w:t>, regional</w:t>
      </w:r>
      <w:r w:rsidR="00CE235B" w:rsidRPr="00C022D7">
        <w:t xml:space="preserve"> and international monitoring systems </w:t>
      </w:r>
      <w:r w:rsidR="001F08BC" w:rsidRPr="00C022D7">
        <w:t xml:space="preserve">can stimulate a virtuous cycle that creates greater </w:t>
      </w:r>
      <w:r w:rsidR="00257862" w:rsidRPr="00C022D7">
        <w:t xml:space="preserve">analytical </w:t>
      </w:r>
      <w:r w:rsidR="001F08BC" w:rsidRPr="00C022D7">
        <w:t xml:space="preserve">demands for </w:t>
      </w:r>
      <w:r w:rsidR="00604935" w:rsidRPr="00C022D7">
        <w:t>better quality of data</w:t>
      </w:r>
      <w:r w:rsidR="008737FC" w:rsidRPr="00C022D7">
        <w:rPr>
          <w:rFonts w:ascii="Calibri" w:hAnsi="Calibri" w:cs="Calibri"/>
        </w:rPr>
        <w:t xml:space="preserve">. </w:t>
      </w:r>
    </w:p>
    <w:p w14:paraId="128533B9" w14:textId="7F6D1E2C" w:rsidR="009D4817" w:rsidRPr="005D5BF2" w:rsidRDefault="00814F1E" w:rsidP="00E31CEE">
      <w:pPr>
        <w:jc w:val="both"/>
      </w:pPr>
      <w:r>
        <w:t>P</w:t>
      </w:r>
      <w:r w:rsidR="003720B7">
        <w:t>artners</w:t>
      </w:r>
      <w:r w:rsidR="009D4817" w:rsidRPr="009D4817">
        <w:t xml:space="preserve">, including donors and supranational bodies, </w:t>
      </w:r>
      <w:r w:rsidR="00547931">
        <w:t xml:space="preserve">have an important role to play in </w:t>
      </w:r>
      <w:r w:rsidR="000D7F0B">
        <w:t xml:space="preserve">promoting </w:t>
      </w:r>
      <w:r w:rsidR="007B7308">
        <w:t>the </w:t>
      </w:r>
      <w:r w:rsidR="000D7F0B" w:rsidRPr="009D4817">
        <w:t>institutionaliz</w:t>
      </w:r>
      <w:r w:rsidR="000D7F0B">
        <w:t>ation of h</w:t>
      </w:r>
      <w:r w:rsidR="000D7F0B" w:rsidRPr="009D4817">
        <w:t xml:space="preserve">ealth </w:t>
      </w:r>
      <w:r w:rsidR="000D7F0B">
        <w:t>a</w:t>
      </w:r>
      <w:r w:rsidR="000D7F0B" w:rsidRPr="009D4817">
        <w:t>ccounts</w:t>
      </w:r>
      <w:r w:rsidR="009D4817" w:rsidRPr="009D4817">
        <w:t xml:space="preserve">. By advocating for the regular production </w:t>
      </w:r>
      <w:r w:rsidR="009D4817">
        <w:t xml:space="preserve">of health expenditure statistics </w:t>
      </w:r>
      <w:r w:rsidR="009D4817" w:rsidRPr="009D4817">
        <w:t xml:space="preserve">and investing in technical assistance, </w:t>
      </w:r>
      <w:r w:rsidR="009D4817" w:rsidRPr="005D5BF2">
        <w:t xml:space="preserve">external partners can drive the development of health accounts while also building local capacity and contributing to a global public good. </w:t>
      </w:r>
      <w:r w:rsidR="005D5BF2" w:rsidRPr="005D5BF2">
        <w:rPr>
          <w:rFonts w:ascii="Calibri" w:hAnsi="Calibri" w:cs="Calibri"/>
          <w:lang w:val="en-GB"/>
        </w:rPr>
        <w:t xml:space="preserve">Indeed, </w:t>
      </w:r>
      <w:r w:rsidR="005D5BF2" w:rsidRPr="005149EF">
        <w:rPr>
          <w:rStyle w:val="cf01"/>
          <w:rFonts w:ascii="Calibri" w:eastAsiaTheme="majorEastAsia" w:hAnsi="Calibri" w:cs="Calibri"/>
          <w:sz w:val="22"/>
          <w:szCs w:val="22"/>
        </w:rPr>
        <w:t xml:space="preserve">international obligations – e.g., that member states of the West African Monetary Union </w:t>
      </w:r>
      <w:r w:rsidR="00E76FB8">
        <w:rPr>
          <w:rStyle w:val="cf01"/>
          <w:rFonts w:ascii="Calibri" w:eastAsiaTheme="majorEastAsia" w:hAnsi="Calibri" w:cs="Calibri"/>
          <w:sz w:val="22"/>
          <w:szCs w:val="22"/>
        </w:rPr>
        <w:t xml:space="preserve">and European Union </w:t>
      </w:r>
      <w:r w:rsidR="005D5BF2" w:rsidRPr="005149EF">
        <w:rPr>
          <w:rStyle w:val="cf01"/>
          <w:rFonts w:ascii="Calibri" w:eastAsiaTheme="majorEastAsia" w:hAnsi="Calibri" w:cs="Calibri"/>
          <w:sz w:val="22"/>
          <w:szCs w:val="22"/>
        </w:rPr>
        <w:t>report SHA-based health expenditure data on an annual basis</w:t>
      </w:r>
      <w:r w:rsidR="005D5BF2" w:rsidRPr="005149EF">
        <w:rPr>
          <w:rStyle w:val="cf01"/>
          <w:rFonts w:ascii="Calibri" w:hAnsi="Calibri" w:cs="Calibri"/>
          <w:sz w:val="22"/>
          <w:szCs w:val="22"/>
        </w:rPr>
        <w:t xml:space="preserve"> – are an important driver of HA production</w:t>
      </w:r>
      <w:r w:rsidR="003B4294">
        <w:rPr>
          <w:rStyle w:val="cf01"/>
          <w:rFonts w:ascii="Calibri" w:hAnsi="Calibri" w:cs="Calibri"/>
          <w:sz w:val="22"/>
          <w:szCs w:val="22"/>
        </w:rPr>
        <w:t xml:space="preserve"> and examples of </w:t>
      </w:r>
      <w:r w:rsidR="003B4294" w:rsidRPr="003B4294">
        <w:rPr>
          <w:rFonts w:ascii="Calibri" w:hAnsi="Calibri" w:cs="Calibri"/>
          <w:lang w:val="en-GB"/>
        </w:rPr>
        <w:t xml:space="preserve">embedding </w:t>
      </w:r>
      <w:r w:rsidR="003B4294">
        <w:rPr>
          <w:rFonts w:ascii="Calibri" w:hAnsi="Calibri" w:cs="Calibri"/>
          <w:lang w:val="en-GB"/>
        </w:rPr>
        <w:t xml:space="preserve">health accounts within </w:t>
      </w:r>
      <w:r w:rsidR="003B4294" w:rsidRPr="003B4294">
        <w:rPr>
          <w:rFonts w:ascii="Calibri" w:hAnsi="Calibri" w:cs="Calibri"/>
          <w:lang w:val="en-GB"/>
        </w:rPr>
        <w:t>regional legal frameworks</w:t>
      </w:r>
      <w:r w:rsidR="005D5BF2" w:rsidRPr="005149EF">
        <w:rPr>
          <w:rStyle w:val="cf01"/>
          <w:rFonts w:ascii="Calibri" w:eastAsiaTheme="majorEastAsia" w:hAnsi="Calibri" w:cs="Calibri"/>
          <w:sz w:val="22"/>
          <w:szCs w:val="22"/>
        </w:rPr>
        <w:t>.</w:t>
      </w:r>
      <w:r w:rsidR="005D5BF2" w:rsidRPr="005149EF">
        <w:rPr>
          <w:rStyle w:val="cf01"/>
          <w:rFonts w:ascii="Calibri" w:eastAsiaTheme="majorEastAsia" w:hAnsi="Calibri" w:cs="Calibri"/>
          <w:sz w:val="22"/>
          <w:szCs w:val="22"/>
          <w:lang w:val="en-GB"/>
        </w:rPr>
        <w:t xml:space="preserve"> </w:t>
      </w:r>
    </w:p>
    <w:p w14:paraId="1ED0BA96" w14:textId="4D1DC049" w:rsidR="00E42144" w:rsidRDefault="00646993" w:rsidP="00E31CEE">
      <w:pPr>
        <w:jc w:val="both"/>
        <w:rPr>
          <w:lang w:val="en-GB"/>
        </w:rPr>
      </w:pPr>
      <w:r w:rsidRPr="005D5BF2">
        <w:t xml:space="preserve">WHO is committed to </w:t>
      </w:r>
      <w:r w:rsidR="00F32789" w:rsidRPr="005D5BF2">
        <w:t>coordinating</w:t>
      </w:r>
      <w:r w:rsidR="00F32789">
        <w:t xml:space="preserve"> activities (at the country, regional, and global levels) with partners to support countries with their health resource tracking and reporting. Additionally, </w:t>
      </w:r>
      <w:r w:rsidR="00A14128">
        <w:t xml:space="preserve">the WHO will continue developing practical guidance and tools to improve the production and analysis of health accounts </w:t>
      </w:r>
      <w:r w:rsidR="00A90B6C">
        <w:t>while maintaining</w:t>
      </w:r>
      <w:r w:rsidR="00E42144" w:rsidRPr="00E42144">
        <w:t xml:space="preserve"> the </w:t>
      </w:r>
      <w:r w:rsidR="00E42144">
        <w:t xml:space="preserve">GHED </w:t>
      </w:r>
      <w:r w:rsidR="00E42144" w:rsidRPr="00E42144">
        <w:t>as a valuable global public good.</w:t>
      </w:r>
    </w:p>
    <w:p w14:paraId="301B51A2" w14:textId="34975665" w:rsidR="00A6130F" w:rsidRPr="00E31CEE" w:rsidRDefault="00A6130F" w:rsidP="00E31CEE">
      <w:pPr>
        <w:jc w:val="both"/>
        <w:rPr>
          <w:rFonts w:asciiTheme="majorHAnsi" w:eastAsiaTheme="majorEastAsia" w:hAnsiTheme="majorHAnsi" w:cstheme="majorBidi"/>
          <w:b/>
          <w:bCs/>
          <w:color w:val="2F5496" w:themeColor="accent1" w:themeShade="BF"/>
          <w:sz w:val="26"/>
          <w:szCs w:val="26"/>
        </w:rPr>
      </w:pPr>
      <w:r w:rsidRPr="00E31CEE">
        <w:rPr>
          <w:rFonts w:asciiTheme="majorHAnsi" w:eastAsiaTheme="majorEastAsia" w:hAnsiTheme="majorHAnsi" w:cstheme="majorBidi"/>
          <w:b/>
          <w:bCs/>
          <w:color w:val="2F5496" w:themeColor="accent1" w:themeShade="BF"/>
          <w:sz w:val="26"/>
          <w:szCs w:val="26"/>
        </w:rPr>
        <w:t>Summary</w:t>
      </w:r>
    </w:p>
    <w:p w14:paraId="6779AD93" w14:textId="611BD648" w:rsidR="007D1216" w:rsidRDefault="009D3BB4" w:rsidP="00E31CEE">
      <w:pPr>
        <w:pStyle w:val="ListParagraph"/>
        <w:ind w:left="0"/>
        <w:jc w:val="both"/>
      </w:pPr>
      <w:r w:rsidRPr="009D3BB4">
        <w:t xml:space="preserve">This brief offers a global overview of health spending and highlights the critical role of health expenditure data in shaping policies to achieve the SDG health targets. It calls on countries and global partners to </w:t>
      </w:r>
      <w:r w:rsidR="00D86EDA">
        <w:t>strengthen health expenditure tracking via health accounts to improve policymaking, enhance transparency,</w:t>
      </w:r>
      <w:r w:rsidRPr="009D3BB4">
        <w:t xml:space="preserve"> and </w:t>
      </w:r>
      <w:r w:rsidR="00C57349">
        <w:t xml:space="preserve">promote </w:t>
      </w:r>
      <w:r w:rsidRPr="009D3BB4">
        <w:t>accountability.</w:t>
      </w:r>
    </w:p>
    <w:sectPr w:rsidR="007D1216" w:rsidSect="00E31CEE">
      <w:headerReference w:type="default" r:id="rId12"/>
      <w:footerReference w:type="default" r:id="rId13"/>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EFB5" w14:textId="77777777" w:rsidR="006F7102" w:rsidRDefault="006F7102" w:rsidP="003A03B5">
      <w:pPr>
        <w:spacing w:after="0" w:line="240" w:lineRule="auto"/>
      </w:pPr>
      <w:r>
        <w:separator/>
      </w:r>
    </w:p>
  </w:endnote>
  <w:endnote w:type="continuationSeparator" w:id="0">
    <w:p w14:paraId="06E5CFCB" w14:textId="77777777" w:rsidR="006F7102" w:rsidRDefault="006F7102" w:rsidP="003A03B5">
      <w:pPr>
        <w:spacing w:after="0" w:line="240" w:lineRule="auto"/>
      </w:pPr>
      <w:r>
        <w:continuationSeparator/>
      </w:r>
    </w:p>
  </w:endnote>
  <w:endnote w:type="continuationNotice" w:id="1">
    <w:p w14:paraId="6784D064" w14:textId="77777777" w:rsidR="006F7102" w:rsidRDefault="006F7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IN Pro">
    <w:altName w:val="Calibri"/>
    <w:charset w:val="00"/>
    <w:family w:val="swiss"/>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763189"/>
      <w:docPartObj>
        <w:docPartGallery w:val="Page Numbers (Bottom of Page)"/>
        <w:docPartUnique/>
      </w:docPartObj>
    </w:sdtPr>
    <w:sdtEndPr>
      <w:rPr>
        <w:noProof/>
      </w:rPr>
    </w:sdtEndPr>
    <w:sdtContent>
      <w:p w14:paraId="0D0C0868" w14:textId="3A716E26" w:rsidR="002B579F" w:rsidRDefault="002B57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A7FCD" w14:textId="77777777" w:rsidR="002B579F" w:rsidRDefault="002B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1779" w14:textId="77777777" w:rsidR="006F7102" w:rsidRDefault="006F7102" w:rsidP="003A03B5">
      <w:pPr>
        <w:spacing w:after="0" w:line="240" w:lineRule="auto"/>
      </w:pPr>
      <w:r>
        <w:separator/>
      </w:r>
    </w:p>
  </w:footnote>
  <w:footnote w:type="continuationSeparator" w:id="0">
    <w:p w14:paraId="4514CD3C" w14:textId="77777777" w:rsidR="006F7102" w:rsidRDefault="006F7102" w:rsidP="003A03B5">
      <w:pPr>
        <w:spacing w:after="0" w:line="240" w:lineRule="auto"/>
      </w:pPr>
      <w:r>
        <w:continuationSeparator/>
      </w:r>
    </w:p>
  </w:footnote>
  <w:footnote w:type="continuationNotice" w:id="1">
    <w:p w14:paraId="3C2AC932" w14:textId="77777777" w:rsidR="006F7102" w:rsidRDefault="006F7102">
      <w:pPr>
        <w:spacing w:after="0" w:line="240" w:lineRule="auto"/>
      </w:pPr>
    </w:p>
  </w:footnote>
  <w:footnote w:id="2">
    <w:p w14:paraId="5B7DDCEA" w14:textId="72035A59" w:rsidR="00E15915" w:rsidRPr="00E15915" w:rsidRDefault="00E15915">
      <w:pPr>
        <w:pStyle w:val="FootnoteText"/>
        <w:rPr>
          <w:lang w:val="en-AU"/>
        </w:rPr>
      </w:pPr>
      <w:r>
        <w:rPr>
          <w:rStyle w:val="FootnoteReference"/>
        </w:rPr>
        <w:footnoteRef/>
      </w:r>
      <w:r>
        <w:t xml:space="preserve"> </w:t>
      </w:r>
      <w:hyperlink r:id="rId1" w:history="1">
        <w:r w:rsidRPr="00B138E4">
          <w:rPr>
            <w:rStyle w:val="Hyperlink"/>
          </w:rPr>
          <w:t>https://www.uhc2030.org/who-we-are/governance/2024-2027-strategic-framework/</w:t>
        </w:r>
      </w:hyperlink>
      <w:r>
        <w:t xml:space="preserve"> </w:t>
      </w:r>
    </w:p>
  </w:footnote>
  <w:footnote w:id="3">
    <w:p w14:paraId="4060D886" w14:textId="77777777" w:rsidR="001C213E" w:rsidRPr="00537EEB" w:rsidRDefault="001C213E" w:rsidP="001C213E">
      <w:pPr>
        <w:pStyle w:val="FootnoteText"/>
      </w:pPr>
      <w:r>
        <w:rPr>
          <w:rStyle w:val="FootnoteReference"/>
        </w:rPr>
        <w:footnoteRef/>
      </w:r>
      <w:r>
        <w:t xml:space="preserve"> WHO 2023. Global Health Expenditure Report 2023. Coping with the Pandemic.  </w:t>
      </w:r>
      <w:hyperlink r:id="rId2" w:history="1">
        <w:r w:rsidRPr="00B138E4">
          <w:rPr>
            <w:rStyle w:val="Hyperlink"/>
          </w:rPr>
          <w:t>https://apps.who.int/nha/database/DocumentationCentre/GetFile/62053151/en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177E" w14:textId="2A87A491" w:rsidR="00E31CEE" w:rsidRDefault="00E31CEE" w:rsidP="00E31CEE">
    <w:pPr>
      <w:pStyle w:val="Header"/>
    </w:pPr>
    <w:r>
      <w:rPr>
        <w:caps/>
        <w:noProof/>
        <w:sz w:val="18"/>
      </w:rPr>
      <w:drawing>
        <wp:inline distT="0" distB="0" distL="0" distR="0" wp14:anchorId="30C110C4" wp14:editId="79ACEA9E">
          <wp:extent cx="1787237" cy="563012"/>
          <wp:effectExtent l="0" t="0" r="3810" b="8890"/>
          <wp:docPr id="4369795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82859"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321" cy="577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371BB"/>
    <w:multiLevelType w:val="hybridMultilevel"/>
    <w:tmpl w:val="CD106B30"/>
    <w:lvl w:ilvl="0" w:tplc="8EE2FC3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E4D7C"/>
    <w:multiLevelType w:val="hybridMultilevel"/>
    <w:tmpl w:val="967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2529"/>
    <w:multiLevelType w:val="hybridMultilevel"/>
    <w:tmpl w:val="68A8806E"/>
    <w:lvl w:ilvl="0" w:tplc="409ACC4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25257"/>
    <w:multiLevelType w:val="hybridMultilevel"/>
    <w:tmpl w:val="3404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B493C"/>
    <w:multiLevelType w:val="hybridMultilevel"/>
    <w:tmpl w:val="6A34A9A0"/>
    <w:lvl w:ilvl="0" w:tplc="0024B11C">
      <w:start w:val="1"/>
      <w:numFmt w:val="bullet"/>
      <w:lvlText w:val=""/>
      <w:lvlJc w:val="left"/>
      <w:pPr>
        <w:ind w:left="720" w:hanging="360"/>
      </w:pPr>
      <w:rPr>
        <w:rFonts w:ascii="Symbol" w:hAnsi="Symbol"/>
      </w:rPr>
    </w:lvl>
    <w:lvl w:ilvl="1" w:tplc="0B7864DC">
      <w:start w:val="1"/>
      <w:numFmt w:val="bullet"/>
      <w:lvlText w:val=""/>
      <w:lvlJc w:val="left"/>
      <w:pPr>
        <w:ind w:left="720" w:hanging="360"/>
      </w:pPr>
      <w:rPr>
        <w:rFonts w:ascii="Symbol" w:hAnsi="Symbol"/>
      </w:rPr>
    </w:lvl>
    <w:lvl w:ilvl="2" w:tplc="AF00163A">
      <w:start w:val="1"/>
      <w:numFmt w:val="bullet"/>
      <w:lvlText w:val=""/>
      <w:lvlJc w:val="left"/>
      <w:pPr>
        <w:ind w:left="720" w:hanging="360"/>
      </w:pPr>
      <w:rPr>
        <w:rFonts w:ascii="Symbol" w:hAnsi="Symbol"/>
      </w:rPr>
    </w:lvl>
    <w:lvl w:ilvl="3" w:tplc="FDEE4888">
      <w:start w:val="1"/>
      <w:numFmt w:val="bullet"/>
      <w:lvlText w:val=""/>
      <w:lvlJc w:val="left"/>
      <w:pPr>
        <w:ind w:left="720" w:hanging="360"/>
      </w:pPr>
      <w:rPr>
        <w:rFonts w:ascii="Symbol" w:hAnsi="Symbol"/>
      </w:rPr>
    </w:lvl>
    <w:lvl w:ilvl="4" w:tplc="FEFA741E">
      <w:start w:val="1"/>
      <w:numFmt w:val="bullet"/>
      <w:lvlText w:val=""/>
      <w:lvlJc w:val="left"/>
      <w:pPr>
        <w:ind w:left="720" w:hanging="360"/>
      </w:pPr>
      <w:rPr>
        <w:rFonts w:ascii="Symbol" w:hAnsi="Symbol"/>
      </w:rPr>
    </w:lvl>
    <w:lvl w:ilvl="5" w:tplc="36A25BF8">
      <w:start w:val="1"/>
      <w:numFmt w:val="bullet"/>
      <w:lvlText w:val=""/>
      <w:lvlJc w:val="left"/>
      <w:pPr>
        <w:ind w:left="720" w:hanging="360"/>
      </w:pPr>
      <w:rPr>
        <w:rFonts w:ascii="Symbol" w:hAnsi="Symbol"/>
      </w:rPr>
    </w:lvl>
    <w:lvl w:ilvl="6" w:tplc="C34CEC70">
      <w:start w:val="1"/>
      <w:numFmt w:val="bullet"/>
      <w:lvlText w:val=""/>
      <w:lvlJc w:val="left"/>
      <w:pPr>
        <w:ind w:left="720" w:hanging="360"/>
      </w:pPr>
      <w:rPr>
        <w:rFonts w:ascii="Symbol" w:hAnsi="Symbol"/>
      </w:rPr>
    </w:lvl>
    <w:lvl w:ilvl="7" w:tplc="19EA7010">
      <w:start w:val="1"/>
      <w:numFmt w:val="bullet"/>
      <w:lvlText w:val=""/>
      <w:lvlJc w:val="left"/>
      <w:pPr>
        <w:ind w:left="720" w:hanging="360"/>
      </w:pPr>
      <w:rPr>
        <w:rFonts w:ascii="Symbol" w:hAnsi="Symbol"/>
      </w:rPr>
    </w:lvl>
    <w:lvl w:ilvl="8" w:tplc="946EB2A0">
      <w:start w:val="1"/>
      <w:numFmt w:val="bullet"/>
      <w:lvlText w:val=""/>
      <w:lvlJc w:val="left"/>
      <w:pPr>
        <w:ind w:left="720" w:hanging="360"/>
      </w:pPr>
      <w:rPr>
        <w:rFonts w:ascii="Symbol" w:hAnsi="Symbol"/>
      </w:rPr>
    </w:lvl>
  </w:abstractNum>
  <w:abstractNum w:abstractNumId="6" w15:restartNumberingAfterBreak="0">
    <w:nsid w:val="146D4E64"/>
    <w:multiLevelType w:val="hybridMultilevel"/>
    <w:tmpl w:val="E68E837C"/>
    <w:lvl w:ilvl="0" w:tplc="8A44E77A">
      <w:numFmt w:val="bullet"/>
      <w:lvlText w:val="-"/>
      <w:lvlJc w:val="left"/>
      <w:pPr>
        <w:ind w:left="720" w:hanging="360"/>
      </w:pPr>
      <w:rPr>
        <w:rFonts w:ascii="Calibri" w:eastAsiaTheme="minorEastAsia" w:hAnsi="Calibri" w:cs="Calibri"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A54C2"/>
    <w:multiLevelType w:val="hybridMultilevel"/>
    <w:tmpl w:val="B58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12492"/>
    <w:multiLevelType w:val="multilevel"/>
    <w:tmpl w:val="47E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A62BF"/>
    <w:multiLevelType w:val="hybridMultilevel"/>
    <w:tmpl w:val="092054BE"/>
    <w:lvl w:ilvl="0" w:tplc="6F5CAE5C">
      <w:start w:val="1"/>
      <w:numFmt w:val="bullet"/>
      <w:lvlText w:val=""/>
      <w:lvlJc w:val="left"/>
      <w:pPr>
        <w:tabs>
          <w:tab w:val="num" w:pos="720"/>
        </w:tabs>
        <w:ind w:left="720" w:hanging="360"/>
      </w:pPr>
      <w:rPr>
        <w:rFonts w:ascii="Symbol" w:hAnsi="Symbol" w:hint="default"/>
      </w:rPr>
    </w:lvl>
    <w:lvl w:ilvl="1" w:tplc="B2085522" w:tentative="1">
      <w:start w:val="1"/>
      <w:numFmt w:val="bullet"/>
      <w:lvlText w:val=""/>
      <w:lvlJc w:val="left"/>
      <w:pPr>
        <w:tabs>
          <w:tab w:val="num" w:pos="1440"/>
        </w:tabs>
        <w:ind w:left="1440" w:hanging="360"/>
      </w:pPr>
      <w:rPr>
        <w:rFonts w:ascii="Symbol" w:hAnsi="Symbol" w:hint="default"/>
      </w:rPr>
    </w:lvl>
    <w:lvl w:ilvl="2" w:tplc="8A9601A6" w:tentative="1">
      <w:start w:val="1"/>
      <w:numFmt w:val="bullet"/>
      <w:lvlText w:val=""/>
      <w:lvlJc w:val="left"/>
      <w:pPr>
        <w:tabs>
          <w:tab w:val="num" w:pos="2160"/>
        </w:tabs>
        <w:ind w:left="2160" w:hanging="360"/>
      </w:pPr>
      <w:rPr>
        <w:rFonts w:ascii="Symbol" w:hAnsi="Symbol" w:hint="default"/>
      </w:rPr>
    </w:lvl>
    <w:lvl w:ilvl="3" w:tplc="B23AE9C2" w:tentative="1">
      <w:start w:val="1"/>
      <w:numFmt w:val="bullet"/>
      <w:lvlText w:val=""/>
      <w:lvlJc w:val="left"/>
      <w:pPr>
        <w:tabs>
          <w:tab w:val="num" w:pos="2880"/>
        </w:tabs>
        <w:ind w:left="2880" w:hanging="360"/>
      </w:pPr>
      <w:rPr>
        <w:rFonts w:ascii="Symbol" w:hAnsi="Symbol" w:hint="default"/>
      </w:rPr>
    </w:lvl>
    <w:lvl w:ilvl="4" w:tplc="6B843468" w:tentative="1">
      <w:start w:val="1"/>
      <w:numFmt w:val="bullet"/>
      <w:lvlText w:val=""/>
      <w:lvlJc w:val="left"/>
      <w:pPr>
        <w:tabs>
          <w:tab w:val="num" w:pos="3600"/>
        </w:tabs>
        <w:ind w:left="3600" w:hanging="360"/>
      </w:pPr>
      <w:rPr>
        <w:rFonts w:ascii="Symbol" w:hAnsi="Symbol" w:hint="default"/>
      </w:rPr>
    </w:lvl>
    <w:lvl w:ilvl="5" w:tplc="FAEE04B8" w:tentative="1">
      <w:start w:val="1"/>
      <w:numFmt w:val="bullet"/>
      <w:lvlText w:val=""/>
      <w:lvlJc w:val="left"/>
      <w:pPr>
        <w:tabs>
          <w:tab w:val="num" w:pos="4320"/>
        </w:tabs>
        <w:ind w:left="4320" w:hanging="360"/>
      </w:pPr>
      <w:rPr>
        <w:rFonts w:ascii="Symbol" w:hAnsi="Symbol" w:hint="default"/>
      </w:rPr>
    </w:lvl>
    <w:lvl w:ilvl="6" w:tplc="8806B2E0" w:tentative="1">
      <w:start w:val="1"/>
      <w:numFmt w:val="bullet"/>
      <w:lvlText w:val=""/>
      <w:lvlJc w:val="left"/>
      <w:pPr>
        <w:tabs>
          <w:tab w:val="num" w:pos="5040"/>
        </w:tabs>
        <w:ind w:left="5040" w:hanging="360"/>
      </w:pPr>
      <w:rPr>
        <w:rFonts w:ascii="Symbol" w:hAnsi="Symbol" w:hint="default"/>
      </w:rPr>
    </w:lvl>
    <w:lvl w:ilvl="7" w:tplc="E48450EC" w:tentative="1">
      <w:start w:val="1"/>
      <w:numFmt w:val="bullet"/>
      <w:lvlText w:val=""/>
      <w:lvlJc w:val="left"/>
      <w:pPr>
        <w:tabs>
          <w:tab w:val="num" w:pos="5760"/>
        </w:tabs>
        <w:ind w:left="5760" w:hanging="360"/>
      </w:pPr>
      <w:rPr>
        <w:rFonts w:ascii="Symbol" w:hAnsi="Symbol" w:hint="default"/>
      </w:rPr>
    </w:lvl>
    <w:lvl w:ilvl="8" w:tplc="D214E9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D311F8"/>
    <w:multiLevelType w:val="hybridMultilevel"/>
    <w:tmpl w:val="0506F346"/>
    <w:lvl w:ilvl="0" w:tplc="4BAA4146">
      <w:start w:val="1"/>
      <w:numFmt w:val="bullet"/>
      <w:lvlText w:val=""/>
      <w:lvlJc w:val="left"/>
      <w:pPr>
        <w:ind w:left="720" w:hanging="360"/>
      </w:pPr>
      <w:rPr>
        <w:rFonts w:ascii="Symbol" w:hAnsi="Symbol"/>
      </w:rPr>
    </w:lvl>
    <w:lvl w:ilvl="1" w:tplc="816CB484">
      <w:start w:val="1"/>
      <w:numFmt w:val="bullet"/>
      <w:lvlText w:val=""/>
      <w:lvlJc w:val="left"/>
      <w:pPr>
        <w:ind w:left="720" w:hanging="360"/>
      </w:pPr>
      <w:rPr>
        <w:rFonts w:ascii="Symbol" w:hAnsi="Symbol"/>
      </w:rPr>
    </w:lvl>
    <w:lvl w:ilvl="2" w:tplc="A6602C5A">
      <w:start w:val="1"/>
      <w:numFmt w:val="bullet"/>
      <w:lvlText w:val=""/>
      <w:lvlJc w:val="left"/>
      <w:pPr>
        <w:ind w:left="720" w:hanging="360"/>
      </w:pPr>
      <w:rPr>
        <w:rFonts w:ascii="Symbol" w:hAnsi="Symbol"/>
      </w:rPr>
    </w:lvl>
    <w:lvl w:ilvl="3" w:tplc="030A1032">
      <w:start w:val="1"/>
      <w:numFmt w:val="bullet"/>
      <w:lvlText w:val=""/>
      <w:lvlJc w:val="left"/>
      <w:pPr>
        <w:ind w:left="720" w:hanging="360"/>
      </w:pPr>
      <w:rPr>
        <w:rFonts w:ascii="Symbol" w:hAnsi="Symbol"/>
      </w:rPr>
    </w:lvl>
    <w:lvl w:ilvl="4" w:tplc="9C42078E">
      <w:start w:val="1"/>
      <w:numFmt w:val="bullet"/>
      <w:lvlText w:val=""/>
      <w:lvlJc w:val="left"/>
      <w:pPr>
        <w:ind w:left="720" w:hanging="360"/>
      </w:pPr>
      <w:rPr>
        <w:rFonts w:ascii="Symbol" w:hAnsi="Symbol"/>
      </w:rPr>
    </w:lvl>
    <w:lvl w:ilvl="5" w:tplc="5790B898">
      <w:start w:val="1"/>
      <w:numFmt w:val="bullet"/>
      <w:lvlText w:val=""/>
      <w:lvlJc w:val="left"/>
      <w:pPr>
        <w:ind w:left="720" w:hanging="360"/>
      </w:pPr>
      <w:rPr>
        <w:rFonts w:ascii="Symbol" w:hAnsi="Symbol"/>
      </w:rPr>
    </w:lvl>
    <w:lvl w:ilvl="6" w:tplc="591CF4F6">
      <w:start w:val="1"/>
      <w:numFmt w:val="bullet"/>
      <w:lvlText w:val=""/>
      <w:lvlJc w:val="left"/>
      <w:pPr>
        <w:ind w:left="720" w:hanging="360"/>
      </w:pPr>
      <w:rPr>
        <w:rFonts w:ascii="Symbol" w:hAnsi="Symbol"/>
      </w:rPr>
    </w:lvl>
    <w:lvl w:ilvl="7" w:tplc="4AC4BCB4">
      <w:start w:val="1"/>
      <w:numFmt w:val="bullet"/>
      <w:lvlText w:val=""/>
      <w:lvlJc w:val="left"/>
      <w:pPr>
        <w:ind w:left="720" w:hanging="360"/>
      </w:pPr>
      <w:rPr>
        <w:rFonts w:ascii="Symbol" w:hAnsi="Symbol"/>
      </w:rPr>
    </w:lvl>
    <w:lvl w:ilvl="8" w:tplc="DC44BFB2">
      <w:start w:val="1"/>
      <w:numFmt w:val="bullet"/>
      <w:lvlText w:val=""/>
      <w:lvlJc w:val="left"/>
      <w:pPr>
        <w:ind w:left="720" w:hanging="360"/>
      </w:pPr>
      <w:rPr>
        <w:rFonts w:ascii="Symbol" w:hAnsi="Symbol"/>
      </w:rPr>
    </w:lvl>
  </w:abstractNum>
  <w:abstractNum w:abstractNumId="12"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5070B56"/>
    <w:multiLevelType w:val="hybridMultilevel"/>
    <w:tmpl w:val="35D45B04"/>
    <w:lvl w:ilvl="0" w:tplc="27123D74">
      <w:start w:val="1"/>
      <w:numFmt w:val="bullet"/>
      <w:lvlText w:val=""/>
      <w:lvlJc w:val="left"/>
      <w:pPr>
        <w:tabs>
          <w:tab w:val="num" w:pos="720"/>
        </w:tabs>
        <w:ind w:left="720" w:hanging="360"/>
      </w:pPr>
      <w:rPr>
        <w:rFonts w:ascii="Symbol" w:hAnsi="Symbol" w:hint="default"/>
      </w:rPr>
    </w:lvl>
    <w:lvl w:ilvl="1" w:tplc="0CB4D93A" w:tentative="1">
      <w:start w:val="1"/>
      <w:numFmt w:val="bullet"/>
      <w:lvlText w:val=""/>
      <w:lvlJc w:val="left"/>
      <w:pPr>
        <w:tabs>
          <w:tab w:val="num" w:pos="1440"/>
        </w:tabs>
        <w:ind w:left="1440" w:hanging="360"/>
      </w:pPr>
      <w:rPr>
        <w:rFonts w:ascii="Symbol" w:hAnsi="Symbol" w:hint="default"/>
      </w:rPr>
    </w:lvl>
    <w:lvl w:ilvl="2" w:tplc="1A2E9DAA" w:tentative="1">
      <w:start w:val="1"/>
      <w:numFmt w:val="bullet"/>
      <w:lvlText w:val=""/>
      <w:lvlJc w:val="left"/>
      <w:pPr>
        <w:tabs>
          <w:tab w:val="num" w:pos="2160"/>
        </w:tabs>
        <w:ind w:left="2160" w:hanging="360"/>
      </w:pPr>
      <w:rPr>
        <w:rFonts w:ascii="Symbol" w:hAnsi="Symbol" w:hint="default"/>
      </w:rPr>
    </w:lvl>
    <w:lvl w:ilvl="3" w:tplc="F8B6F09E" w:tentative="1">
      <w:start w:val="1"/>
      <w:numFmt w:val="bullet"/>
      <w:lvlText w:val=""/>
      <w:lvlJc w:val="left"/>
      <w:pPr>
        <w:tabs>
          <w:tab w:val="num" w:pos="2880"/>
        </w:tabs>
        <w:ind w:left="2880" w:hanging="360"/>
      </w:pPr>
      <w:rPr>
        <w:rFonts w:ascii="Symbol" w:hAnsi="Symbol" w:hint="default"/>
      </w:rPr>
    </w:lvl>
    <w:lvl w:ilvl="4" w:tplc="8E34F75C" w:tentative="1">
      <w:start w:val="1"/>
      <w:numFmt w:val="bullet"/>
      <w:lvlText w:val=""/>
      <w:lvlJc w:val="left"/>
      <w:pPr>
        <w:tabs>
          <w:tab w:val="num" w:pos="3600"/>
        </w:tabs>
        <w:ind w:left="3600" w:hanging="360"/>
      </w:pPr>
      <w:rPr>
        <w:rFonts w:ascii="Symbol" w:hAnsi="Symbol" w:hint="default"/>
      </w:rPr>
    </w:lvl>
    <w:lvl w:ilvl="5" w:tplc="17927B26" w:tentative="1">
      <w:start w:val="1"/>
      <w:numFmt w:val="bullet"/>
      <w:lvlText w:val=""/>
      <w:lvlJc w:val="left"/>
      <w:pPr>
        <w:tabs>
          <w:tab w:val="num" w:pos="4320"/>
        </w:tabs>
        <w:ind w:left="4320" w:hanging="360"/>
      </w:pPr>
      <w:rPr>
        <w:rFonts w:ascii="Symbol" w:hAnsi="Symbol" w:hint="default"/>
      </w:rPr>
    </w:lvl>
    <w:lvl w:ilvl="6" w:tplc="F1803E7E" w:tentative="1">
      <w:start w:val="1"/>
      <w:numFmt w:val="bullet"/>
      <w:lvlText w:val=""/>
      <w:lvlJc w:val="left"/>
      <w:pPr>
        <w:tabs>
          <w:tab w:val="num" w:pos="5040"/>
        </w:tabs>
        <w:ind w:left="5040" w:hanging="360"/>
      </w:pPr>
      <w:rPr>
        <w:rFonts w:ascii="Symbol" w:hAnsi="Symbol" w:hint="default"/>
      </w:rPr>
    </w:lvl>
    <w:lvl w:ilvl="7" w:tplc="B9FC7A34" w:tentative="1">
      <w:start w:val="1"/>
      <w:numFmt w:val="bullet"/>
      <w:lvlText w:val=""/>
      <w:lvlJc w:val="left"/>
      <w:pPr>
        <w:tabs>
          <w:tab w:val="num" w:pos="5760"/>
        </w:tabs>
        <w:ind w:left="5760" w:hanging="360"/>
      </w:pPr>
      <w:rPr>
        <w:rFonts w:ascii="Symbol" w:hAnsi="Symbol" w:hint="default"/>
      </w:rPr>
    </w:lvl>
    <w:lvl w:ilvl="8" w:tplc="7BCE0E4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3D764D5"/>
    <w:multiLevelType w:val="hybridMultilevel"/>
    <w:tmpl w:val="26F4D7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4562817"/>
    <w:multiLevelType w:val="hybridMultilevel"/>
    <w:tmpl w:val="80D4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3E7BE2"/>
    <w:multiLevelType w:val="hybridMultilevel"/>
    <w:tmpl w:val="AF4E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C397E"/>
    <w:multiLevelType w:val="multilevel"/>
    <w:tmpl w:val="9A0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80A23"/>
    <w:multiLevelType w:val="hybridMultilevel"/>
    <w:tmpl w:val="02EC95AC"/>
    <w:lvl w:ilvl="0" w:tplc="90522692">
      <w:start w:val="1"/>
      <w:numFmt w:val="bullet"/>
      <w:lvlText w:val=""/>
      <w:lvlJc w:val="left"/>
      <w:pPr>
        <w:tabs>
          <w:tab w:val="num" w:pos="720"/>
        </w:tabs>
        <w:ind w:left="720" w:hanging="360"/>
      </w:pPr>
      <w:rPr>
        <w:rFonts w:ascii="Symbol" w:hAnsi="Symbol" w:hint="default"/>
      </w:rPr>
    </w:lvl>
    <w:lvl w:ilvl="1" w:tplc="0AC68B90" w:tentative="1">
      <w:start w:val="1"/>
      <w:numFmt w:val="bullet"/>
      <w:lvlText w:val=""/>
      <w:lvlJc w:val="left"/>
      <w:pPr>
        <w:tabs>
          <w:tab w:val="num" w:pos="1440"/>
        </w:tabs>
        <w:ind w:left="1440" w:hanging="360"/>
      </w:pPr>
      <w:rPr>
        <w:rFonts w:ascii="Symbol" w:hAnsi="Symbol" w:hint="default"/>
      </w:rPr>
    </w:lvl>
    <w:lvl w:ilvl="2" w:tplc="A56457EC" w:tentative="1">
      <w:start w:val="1"/>
      <w:numFmt w:val="bullet"/>
      <w:lvlText w:val=""/>
      <w:lvlJc w:val="left"/>
      <w:pPr>
        <w:tabs>
          <w:tab w:val="num" w:pos="2160"/>
        </w:tabs>
        <w:ind w:left="2160" w:hanging="360"/>
      </w:pPr>
      <w:rPr>
        <w:rFonts w:ascii="Symbol" w:hAnsi="Symbol" w:hint="default"/>
      </w:rPr>
    </w:lvl>
    <w:lvl w:ilvl="3" w:tplc="74F67696" w:tentative="1">
      <w:start w:val="1"/>
      <w:numFmt w:val="bullet"/>
      <w:lvlText w:val=""/>
      <w:lvlJc w:val="left"/>
      <w:pPr>
        <w:tabs>
          <w:tab w:val="num" w:pos="2880"/>
        </w:tabs>
        <w:ind w:left="2880" w:hanging="360"/>
      </w:pPr>
      <w:rPr>
        <w:rFonts w:ascii="Symbol" w:hAnsi="Symbol" w:hint="default"/>
      </w:rPr>
    </w:lvl>
    <w:lvl w:ilvl="4" w:tplc="DDEADDC4" w:tentative="1">
      <w:start w:val="1"/>
      <w:numFmt w:val="bullet"/>
      <w:lvlText w:val=""/>
      <w:lvlJc w:val="left"/>
      <w:pPr>
        <w:tabs>
          <w:tab w:val="num" w:pos="3600"/>
        </w:tabs>
        <w:ind w:left="3600" w:hanging="360"/>
      </w:pPr>
      <w:rPr>
        <w:rFonts w:ascii="Symbol" w:hAnsi="Symbol" w:hint="default"/>
      </w:rPr>
    </w:lvl>
    <w:lvl w:ilvl="5" w:tplc="27FC62F4" w:tentative="1">
      <w:start w:val="1"/>
      <w:numFmt w:val="bullet"/>
      <w:lvlText w:val=""/>
      <w:lvlJc w:val="left"/>
      <w:pPr>
        <w:tabs>
          <w:tab w:val="num" w:pos="4320"/>
        </w:tabs>
        <w:ind w:left="4320" w:hanging="360"/>
      </w:pPr>
      <w:rPr>
        <w:rFonts w:ascii="Symbol" w:hAnsi="Symbol" w:hint="default"/>
      </w:rPr>
    </w:lvl>
    <w:lvl w:ilvl="6" w:tplc="B51A34F4" w:tentative="1">
      <w:start w:val="1"/>
      <w:numFmt w:val="bullet"/>
      <w:lvlText w:val=""/>
      <w:lvlJc w:val="left"/>
      <w:pPr>
        <w:tabs>
          <w:tab w:val="num" w:pos="5040"/>
        </w:tabs>
        <w:ind w:left="5040" w:hanging="360"/>
      </w:pPr>
      <w:rPr>
        <w:rFonts w:ascii="Symbol" w:hAnsi="Symbol" w:hint="default"/>
      </w:rPr>
    </w:lvl>
    <w:lvl w:ilvl="7" w:tplc="06EE1C12" w:tentative="1">
      <w:start w:val="1"/>
      <w:numFmt w:val="bullet"/>
      <w:lvlText w:val=""/>
      <w:lvlJc w:val="left"/>
      <w:pPr>
        <w:tabs>
          <w:tab w:val="num" w:pos="5760"/>
        </w:tabs>
        <w:ind w:left="5760" w:hanging="360"/>
      </w:pPr>
      <w:rPr>
        <w:rFonts w:ascii="Symbol" w:hAnsi="Symbol" w:hint="default"/>
      </w:rPr>
    </w:lvl>
    <w:lvl w:ilvl="8" w:tplc="2328284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AD44EC"/>
    <w:multiLevelType w:val="hybridMultilevel"/>
    <w:tmpl w:val="CDE09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17"/>
  </w:num>
  <w:num w:numId="3" w16cid:durableId="1224489899">
    <w:abstractNumId w:val="13"/>
  </w:num>
  <w:num w:numId="4" w16cid:durableId="839007420">
    <w:abstractNumId w:val="14"/>
  </w:num>
  <w:num w:numId="5" w16cid:durableId="1795057800">
    <w:abstractNumId w:val="16"/>
  </w:num>
  <w:num w:numId="6" w16cid:durableId="1539704886">
    <w:abstractNumId w:val="12"/>
  </w:num>
  <w:num w:numId="7" w16cid:durableId="1965765382">
    <w:abstractNumId w:val="9"/>
  </w:num>
  <w:num w:numId="8" w16cid:durableId="161311532">
    <w:abstractNumId w:val="1"/>
  </w:num>
  <w:num w:numId="9" w16cid:durableId="587227757">
    <w:abstractNumId w:val="6"/>
  </w:num>
  <w:num w:numId="10" w16cid:durableId="224994086">
    <w:abstractNumId w:val="2"/>
  </w:num>
  <w:num w:numId="11" w16cid:durableId="1426849971">
    <w:abstractNumId w:val="7"/>
  </w:num>
  <w:num w:numId="12" w16cid:durableId="105783279">
    <w:abstractNumId w:val="20"/>
  </w:num>
  <w:num w:numId="13" w16cid:durableId="322048012">
    <w:abstractNumId w:val="22"/>
  </w:num>
  <w:num w:numId="14" w16cid:durableId="84347266">
    <w:abstractNumId w:val="15"/>
  </w:num>
  <w:num w:numId="15" w16cid:durableId="2143384763">
    <w:abstractNumId w:val="8"/>
  </w:num>
  <w:num w:numId="16" w16cid:durableId="446967789">
    <w:abstractNumId w:val="5"/>
  </w:num>
  <w:num w:numId="17" w16cid:durableId="59711797">
    <w:abstractNumId w:val="21"/>
  </w:num>
  <w:num w:numId="18" w16cid:durableId="1786541469">
    <w:abstractNumId w:val="23"/>
  </w:num>
  <w:num w:numId="19" w16cid:durableId="1154296473">
    <w:abstractNumId w:val="11"/>
  </w:num>
  <w:num w:numId="20" w16cid:durableId="942953182">
    <w:abstractNumId w:val="18"/>
  </w:num>
  <w:num w:numId="21" w16cid:durableId="1111247366">
    <w:abstractNumId w:val="4"/>
  </w:num>
  <w:num w:numId="22" w16cid:durableId="1719815938">
    <w:abstractNumId w:val="19"/>
  </w:num>
  <w:num w:numId="23" w16cid:durableId="806355381">
    <w:abstractNumId w:val="3"/>
  </w:num>
  <w:num w:numId="24" w16cid:durableId="1020470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3F54"/>
    <w:rsid w:val="000105FE"/>
    <w:rsid w:val="000274B2"/>
    <w:rsid w:val="000304A6"/>
    <w:rsid w:val="00030E3E"/>
    <w:rsid w:val="0003651A"/>
    <w:rsid w:val="00040267"/>
    <w:rsid w:val="00041F1A"/>
    <w:rsid w:val="00044A04"/>
    <w:rsid w:val="00046EBC"/>
    <w:rsid w:val="00051DDA"/>
    <w:rsid w:val="00055C85"/>
    <w:rsid w:val="00057C07"/>
    <w:rsid w:val="0006216F"/>
    <w:rsid w:val="00065D97"/>
    <w:rsid w:val="00066F38"/>
    <w:rsid w:val="00071553"/>
    <w:rsid w:val="00073A0D"/>
    <w:rsid w:val="00094C9A"/>
    <w:rsid w:val="000B2FE6"/>
    <w:rsid w:val="000B505B"/>
    <w:rsid w:val="000B7464"/>
    <w:rsid w:val="000B771B"/>
    <w:rsid w:val="000B79A2"/>
    <w:rsid w:val="000C02B8"/>
    <w:rsid w:val="000C0619"/>
    <w:rsid w:val="000C4A57"/>
    <w:rsid w:val="000C7E94"/>
    <w:rsid w:val="000D1256"/>
    <w:rsid w:val="000D7F0B"/>
    <w:rsid w:val="000F152D"/>
    <w:rsid w:val="000F7423"/>
    <w:rsid w:val="001006B9"/>
    <w:rsid w:val="00101AD7"/>
    <w:rsid w:val="0010234D"/>
    <w:rsid w:val="00105447"/>
    <w:rsid w:val="00110C41"/>
    <w:rsid w:val="00110EDE"/>
    <w:rsid w:val="00120B05"/>
    <w:rsid w:val="00122992"/>
    <w:rsid w:val="00130E23"/>
    <w:rsid w:val="00132624"/>
    <w:rsid w:val="00134FBE"/>
    <w:rsid w:val="0013745C"/>
    <w:rsid w:val="00150318"/>
    <w:rsid w:val="001506C3"/>
    <w:rsid w:val="001513D6"/>
    <w:rsid w:val="001520B9"/>
    <w:rsid w:val="00164C4A"/>
    <w:rsid w:val="00174569"/>
    <w:rsid w:val="00174FA1"/>
    <w:rsid w:val="00183117"/>
    <w:rsid w:val="001910C4"/>
    <w:rsid w:val="001A40F6"/>
    <w:rsid w:val="001A71B9"/>
    <w:rsid w:val="001B4CA3"/>
    <w:rsid w:val="001C110D"/>
    <w:rsid w:val="001C213E"/>
    <w:rsid w:val="001C5FC0"/>
    <w:rsid w:val="001E0FEC"/>
    <w:rsid w:val="001E28B7"/>
    <w:rsid w:val="001E2AFC"/>
    <w:rsid w:val="001F08BC"/>
    <w:rsid w:val="001F58F3"/>
    <w:rsid w:val="001F74E0"/>
    <w:rsid w:val="002014FE"/>
    <w:rsid w:val="0021133D"/>
    <w:rsid w:val="002122E6"/>
    <w:rsid w:val="00216049"/>
    <w:rsid w:val="002228BA"/>
    <w:rsid w:val="00226DDE"/>
    <w:rsid w:val="00226F65"/>
    <w:rsid w:val="00227592"/>
    <w:rsid w:val="00230CC0"/>
    <w:rsid w:val="00241357"/>
    <w:rsid w:val="002428B3"/>
    <w:rsid w:val="00251297"/>
    <w:rsid w:val="00251A33"/>
    <w:rsid w:val="00253180"/>
    <w:rsid w:val="00253C70"/>
    <w:rsid w:val="00256658"/>
    <w:rsid w:val="00257862"/>
    <w:rsid w:val="002607E1"/>
    <w:rsid w:val="00264832"/>
    <w:rsid w:val="00270A15"/>
    <w:rsid w:val="002723FF"/>
    <w:rsid w:val="00275650"/>
    <w:rsid w:val="0027694D"/>
    <w:rsid w:val="00280A5A"/>
    <w:rsid w:val="00281BBD"/>
    <w:rsid w:val="00292754"/>
    <w:rsid w:val="002A3337"/>
    <w:rsid w:val="002B579F"/>
    <w:rsid w:val="002C5720"/>
    <w:rsid w:val="002C6D77"/>
    <w:rsid w:val="002D1B5E"/>
    <w:rsid w:val="002D25D4"/>
    <w:rsid w:val="002D7C38"/>
    <w:rsid w:val="002E05CB"/>
    <w:rsid w:val="002E31D3"/>
    <w:rsid w:val="002E5154"/>
    <w:rsid w:val="002E7DDE"/>
    <w:rsid w:val="002F4A33"/>
    <w:rsid w:val="002F618D"/>
    <w:rsid w:val="002F6B6C"/>
    <w:rsid w:val="0030099B"/>
    <w:rsid w:val="00305FAC"/>
    <w:rsid w:val="00312C09"/>
    <w:rsid w:val="00312E70"/>
    <w:rsid w:val="003151D7"/>
    <w:rsid w:val="00316586"/>
    <w:rsid w:val="00317113"/>
    <w:rsid w:val="00320E61"/>
    <w:rsid w:val="0032491D"/>
    <w:rsid w:val="0034282A"/>
    <w:rsid w:val="00346489"/>
    <w:rsid w:val="003468F0"/>
    <w:rsid w:val="003520C9"/>
    <w:rsid w:val="003612EF"/>
    <w:rsid w:val="00364B42"/>
    <w:rsid w:val="00367B93"/>
    <w:rsid w:val="003720B7"/>
    <w:rsid w:val="00375A9D"/>
    <w:rsid w:val="003763B4"/>
    <w:rsid w:val="00377F34"/>
    <w:rsid w:val="003963B8"/>
    <w:rsid w:val="00397A61"/>
    <w:rsid w:val="003A03B5"/>
    <w:rsid w:val="003A1EF7"/>
    <w:rsid w:val="003A3CB8"/>
    <w:rsid w:val="003A7F0E"/>
    <w:rsid w:val="003B1727"/>
    <w:rsid w:val="003B4294"/>
    <w:rsid w:val="003B5466"/>
    <w:rsid w:val="003D22B6"/>
    <w:rsid w:val="003D5EB0"/>
    <w:rsid w:val="003E4DFD"/>
    <w:rsid w:val="003F5C64"/>
    <w:rsid w:val="003F7BDA"/>
    <w:rsid w:val="0040044A"/>
    <w:rsid w:val="00401A8F"/>
    <w:rsid w:val="00405E7E"/>
    <w:rsid w:val="004126AF"/>
    <w:rsid w:val="00413413"/>
    <w:rsid w:val="00416361"/>
    <w:rsid w:val="0042016D"/>
    <w:rsid w:val="00424CF7"/>
    <w:rsid w:val="004278CD"/>
    <w:rsid w:val="00432319"/>
    <w:rsid w:val="00432AE3"/>
    <w:rsid w:val="0043692C"/>
    <w:rsid w:val="00463278"/>
    <w:rsid w:val="004652C6"/>
    <w:rsid w:val="00477B2E"/>
    <w:rsid w:val="00480C2D"/>
    <w:rsid w:val="00486C45"/>
    <w:rsid w:val="00490127"/>
    <w:rsid w:val="004916AE"/>
    <w:rsid w:val="004B08AC"/>
    <w:rsid w:val="004C0C5E"/>
    <w:rsid w:val="004C5A9A"/>
    <w:rsid w:val="004E2CFF"/>
    <w:rsid w:val="004E367D"/>
    <w:rsid w:val="004F0779"/>
    <w:rsid w:val="004F49A3"/>
    <w:rsid w:val="004F4DF5"/>
    <w:rsid w:val="00501E8E"/>
    <w:rsid w:val="00504C3E"/>
    <w:rsid w:val="0050753C"/>
    <w:rsid w:val="00510077"/>
    <w:rsid w:val="00513607"/>
    <w:rsid w:val="00514781"/>
    <w:rsid w:val="005149EF"/>
    <w:rsid w:val="00515152"/>
    <w:rsid w:val="0052439D"/>
    <w:rsid w:val="00530E05"/>
    <w:rsid w:val="005370ED"/>
    <w:rsid w:val="00537EEB"/>
    <w:rsid w:val="00542407"/>
    <w:rsid w:val="00547931"/>
    <w:rsid w:val="0055049F"/>
    <w:rsid w:val="005555F7"/>
    <w:rsid w:val="005615BE"/>
    <w:rsid w:val="00564D15"/>
    <w:rsid w:val="00575FE8"/>
    <w:rsid w:val="00581547"/>
    <w:rsid w:val="005910B8"/>
    <w:rsid w:val="005A1833"/>
    <w:rsid w:val="005A4AB4"/>
    <w:rsid w:val="005A5020"/>
    <w:rsid w:val="005A565A"/>
    <w:rsid w:val="005A5668"/>
    <w:rsid w:val="005A6580"/>
    <w:rsid w:val="005D5BF2"/>
    <w:rsid w:val="005D6570"/>
    <w:rsid w:val="005E055C"/>
    <w:rsid w:val="005E1D14"/>
    <w:rsid w:val="005E4A47"/>
    <w:rsid w:val="005F0D51"/>
    <w:rsid w:val="00601D2A"/>
    <w:rsid w:val="00604935"/>
    <w:rsid w:val="00606519"/>
    <w:rsid w:val="00623EC0"/>
    <w:rsid w:val="00624FF2"/>
    <w:rsid w:val="0063035B"/>
    <w:rsid w:val="006328BB"/>
    <w:rsid w:val="0063460B"/>
    <w:rsid w:val="0064200C"/>
    <w:rsid w:val="00646993"/>
    <w:rsid w:val="00653234"/>
    <w:rsid w:val="00653568"/>
    <w:rsid w:val="00655ABB"/>
    <w:rsid w:val="00666293"/>
    <w:rsid w:val="00670D4D"/>
    <w:rsid w:val="006863C8"/>
    <w:rsid w:val="0069221D"/>
    <w:rsid w:val="006951B6"/>
    <w:rsid w:val="00696A48"/>
    <w:rsid w:val="006A25EF"/>
    <w:rsid w:val="006A343D"/>
    <w:rsid w:val="006A4A5A"/>
    <w:rsid w:val="006B59C5"/>
    <w:rsid w:val="006C3CD5"/>
    <w:rsid w:val="006C7BDD"/>
    <w:rsid w:val="006D04D2"/>
    <w:rsid w:val="006D4D4C"/>
    <w:rsid w:val="006D66BB"/>
    <w:rsid w:val="006E01E1"/>
    <w:rsid w:val="006E2FD2"/>
    <w:rsid w:val="006E645A"/>
    <w:rsid w:val="006F6A85"/>
    <w:rsid w:val="006F7102"/>
    <w:rsid w:val="00700F53"/>
    <w:rsid w:val="007074EF"/>
    <w:rsid w:val="007110DC"/>
    <w:rsid w:val="00712AD7"/>
    <w:rsid w:val="007135C8"/>
    <w:rsid w:val="007245D7"/>
    <w:rsid w:val="00751247"/>
    <w:rsid w:val="00751EDF"/>
    <w:rsid w:val="00756700"/>
    <w:rsid w:val="0077138E"/>
    <w:rsid w:val="00772254"/>
    <w:rsid w:val="00772EE7"/>
    <w:rsid w:val="007814DE"/>
    <w:rsid w:val="0079492E"/>
    <w:rsid w:val="007A7B02"/>
    <w:rsid w:val="007B22A3"/>
    <w:rsid w:val="007B7308"/>
    <w:rsid w:val="007B782D"/>
    <w:rsid w:val="007C00DE"/>
    <w:rsid w:val="007C0343"/>
    <w:rsid w:val="007C6F05"/>
    <w:rsid w:val="007D1216"/>
    <w:rsid w:val="007D13AE"/>
    <w:rsid w:val="007D3ABC"/>
    <w:rsid w:val="007E6303"/>
    <w:rsid w:val="007F075C"/>
    <w:rsid w:val="007F2829"/>
    <w:rsid w:val="00800A74"/>
    <w:rsid w:val="008022AF"/>
    <w:rsid w:val="008028E2"/>
    <w:rsid w:val="00804B1E"/>
    <w:rsid w:val="00805C77"/>
    <w:rsid w:val="00805F9A"/>
    <w:rsid w:val="0081072F"/>
    <w:rsid w:val="008114D9"/>
    <w:rsid w:val="00812F0E"/>
    <w:rsid w:val="008131AE"/>
    <w:rsid w:val="00814F1E"/>
    <w:rsid w:val="00817599"/>
    <w:rsid w:val="00830B89"/>
    <w:rsid w:val="008316FE"/>
    <w:rsid w:val="00837519"/>
    <w:rsid w:val="008422FD"/>
    <w:rsid w:val="00843691"/>
    <w:rsid w:val="00846961"/>
    <w:rsid w:val="00861053"/>
    <w:rsid w:val="008737FC"/>
    <w:rsid w:val="008774F5"/>
    <w:rsid w:val="00881485"/>
    <w:rsid w:val="00886203"/>
    <w:rsid w:val="00886205"/>
    <w:rsid w:val="008A0113"/>
    <w:rsid w:val="008A79FE"/>
    <w:rsid w:val="008C09C1"/>
    <w:rsid w:val="008C585E"/>
    <w:rsid w:val="008D23F6"/>
    <w:rsid w:val="008D4AAD"/>
    <w:rsid w:val="008D4AB4"/>
    <w:rsid w:val="008E4C9E"/>
    <w:rsid w:val="00920DC8"/>
    <w:rsid w:val="009214AB"/>
    <w:rsid w:val="00936A0B"/>
    <w:rsid w:val="00940FD6"/>
    <w:rsid w:val="00953CB3"/>
    <w:rsid w:val="00956A22"/>
    <w:rsid w:val="00960B2A"/>
    <w:rsid w:val="009625DC"/>
    <w:rsid w:val="00970275"/>
    <w:rsid w:val="009816DD"/>
    <w:rsid w:val="00983562"/>
    <w:rsid w:val="0099253D"/>
    <w:rsid w:val="009A30E9"/>
    <w:rsid w:val="009B244A"/>
    <w:rsid w:val="009B3D78"/>
    <w:rsid w:val="009C126D"/>
    <w:rsid w:val="009C1AD4"/>
    <w:rsid w:val="009C63F0"/>
    <w:rsid w:val="009D3BB4"/>
    <w:rsid w:val="009D4817"/>
    <w:rsid w:val="009D599A"/>
    <w:rsid w:val="009D6678"/>
    <w:rsid w:val="009E60AC"/>
    <w:rsid w:val="009E7434"/>
    <w:rsid w:val="009F00CA"/>
    <w:rsid w:val="009F301E"/>
    <w:rsid w:val="00A029CB"/>
    <w:rsid w:val="00A14128"/>
    <w:rsid w:val="00A15A65"/>
    <w:rsid w:val="00A21F00"/>
    <w:rsid w:val="00A221D6"/>
    <w:rsid w:val="00A252C5"/>
    <w:rsid w:val="00A25C8E"/>
    <w:rsid w:val="00A31545"/>
    <w:rsid w:val="00A430E6"/>
    <w:rsid w:val="00A46A17"/>
    <w:rsid w:val="00A561D8"/>
    <w:rsid w:val="00A57482"/>
    <w:rsid w:val="00A57C7D"/>
    <w:rsid w:val="00A6130F"/>
    <w:rsid w:val="00A6237F"/>
    <w:rsid w:val="00A63521"/>
    <w:rsid w:val="00A63979"/>
    <w:rsid w:val="00A731FC"/>
    <w:rsid w:val="00A74305"/>
    <w:rsid w:val="00A75F1E"/>
    <w:rsid w:val="00A80E28"/>
    <w:rsid w:val="00A84B81"/>
    <w:rsid w:val="00A85B4C"/>
    <w:rsid w:val="00A9069E"/>
    <w:rsid w:val="00A90B6C"/>
    <w:rsid w:val="00AA31A4"/>
    <w:rsid w:val="00AB06F4"/>
    <w:rsid w:val="00AB3F88"/>
    <w:rsid w:val="00AB4E5D"/>
    <w:rsid w:val="00AB6FA0"/>
    <w:rsid w:val="00AC0F06"/>
    <w:rsid w:val="00AC3472"/>
    <w:rsid w:val="00AC392E"/>
    <w:rsid w:val="00AC5120"/>
    <w:rsid w:val="00AC6111"/>
    <w:rsid w:val="00AC635D"/>
    <w:rsid w:val="00AC7D82"/>
    <w:rsid w:val="00AD1EA1"/>
    <w:rsid w:val="00AD3DAD"/>
    <w:rsid w:val="00AE0A65"/>
    <w:rsid w:val="00AE112E"/>
    <w:rsid w:val="00AE2B30"/>
    <w:rsid w:val="00AF21D4"/>
    <w:rsid w:val="00AF6E2B"/>
    <w:rsid w:val="00B11811"/>
    <w:rsid w:val="00B16F5C"/>
    <w:rsid w:val="00B17A35"/>
    <w:rsid w:val="00B25D80"/>
    <w:rsid w:val="00B303BA"/>
    <w:rsid w:val="00B331EF"/>
    <w:rsid w:val="00B332AF"/>
    <w:rsid w:val="00B37572"/>
    <w:rsid w:val="00B527BA"/>
    <w:rsid w:val="00B52F12"/>
    <w:rsid w:val="00B54255"/>
    <w:rsid w:val="00B627CC"/>
    <w:rsid w:val="00B71BCF"/>
    <w:rsid w:val="00B82DB8"/>
    <w:rsid w:val="00B82DC5"/>
    <w:rsid w:val="00B852B3"/>
    <w:rsid w:val="00B8633E"/>
    <w:rsid w:val="00B93020"/>
    <w:rsid w:val="00BA248F"/>
    <w:rsid w:val="00BA594F"/>
    <w:rsid w:val="00BB500D"/>
    <w:rsid w:val="00BB7970"/>
    <w:rsid w:val="00BC3582"/>
    <w:rsid w:val="00BD1E2F"/>
    <w:rsid w:val="00BD4D3E"/>
    <w:rsid w:val="00BD5940"/>
    <w:rsid w:val="00BE15C2"/>
    <w:rsid w:val="00BE17E9"/>
    <w:rsid w:val="00BE205A"/>
    <w:rsid w:val="00BE36C7"/>
    <w:rsid w:val="00BE4E64"/>
    <w:rsid w:val="00BF19C7"/>
    <w:rsid w:val="00BF31BC"/>
    <w:rsid w:val="00BF73DA"/>
    <w:rsid w:val="00C022D7"/>
    <w:rsid w:val="00C02B63"/>
    <w:rsid w:val="00C251E0"/>
    <w:rsid w:val="00C3284D"/>
    <w:rsid w:val="00C401B3"/>
    <w:rsid w:val="00C57349"/>
    <w:rsid w:val="00C62185"/>
    <w:rsid w:val="00C64072"/>
    <w:rsid w:val="00C67640"/>
    <w:rsid w:val="00C67DDF"/>
    <w:rsid w:val="00C70F61"/>
    <w:rsid w:val="00C736F7"/>
    <w:rsid w:val="00C76568"/>
    <w:rsid w:val="00C82097"/>
    <w:rsid w:val="00C85699"/>
    <w:rsid w:val="00C87687"/>
    <w:rsid w:val="00C9157B"/>
    <w:rsid w:val="00C930EE"/>
    <w:rsid w:val="00CA7FAD"/>
    <w:rsid w:val="00CB3556"/>
    <w:rsid w:val="00CB6126"/>
    <w:rsid w:val="00CC7A5F"/>
    <w:rsid w:val="00CD708B"/>
    <w:rsid w:val="00CE0F52"/>
    <w:rsid w:val="00CE155A"/>
    <w:rsid w:val="00CE21D0"/>
    <w:rsid w:val="00CE235B"/>
    <w:rsid w:val="00CE4AF1"/>
    <w:rsid w:val="00CF75E3"/>
    <w:rsid w:val="00D14383"/>
    <w:rsid w:val="00D22271"/>
    <w:rsid w:val="00D22B8F"/>
    <w:rsid w:val="00D31735"/>
    <w:rsid w:val="00D31A39"/>
    <w:rsid w:val="00D348AA"/>
    <w:rsid w:val="00D34EA9"/>
    <w:rsid w:val="00D3652E"/>
    <w:rsid w:val="00D42325"/>
    <w:rsid w:val="00D47BC4"/>
    <w:rsid w:val="00D54C21"/>
    <w:rsid w:val="00D5534A"/>
    <w:rsid w:val="00D56DD9"/>
    <w:rsid w:val="00D6347F"/>
    <w:rsid w:val="00D63660"/>
    <w:rsid w:val="00D72C6E"/>
    <w:rsid w:val="00D75F93"/>
    <w:rsid w:val="00D86EDA"/>
    <w:rsid w:val="00D953DB"/>
    <w:rsid w:val="00DB0D4E"/>
    <w:rsid w:val="00DB57F7"/>
    <w:rsid w:val="00DC0F5D"/>
    <w:rsid w:val="00DC2473"/>
    <w:rsid w:val="00DD628A"/>
    <w:rsid w:val="00DE4DA5"/>
    <w:rsid w:val="00E05D16"/>
    <w:rsid w:val="00E0708F"/>
    <w:rsid w:val="00E10903"/>
    <w:rsid w:val="00E111D8"/>
    <w:rsid w:val="00E11E95"/>
    <w:rsid w:val="00E15915"/>
    <w:rsid w:val="00E22688"/>
    <w:rsid w:val="00E2289C"/>
    <w:rsid w:val="00E245E8"/>
    <w:rsid w:val="00E27ED4"/>
    <w:rsid w:val="00E31CEE"/>
    <w:rsid w:val="00E352D3"/>
    <w:rsid w:val="00E42144"/>
    <w:rsid w:val="00E44363"/>
    <w:rsid w:val="00E45F5C"/>
    <w:rsid w:val="00E51D00"/>
    <w:rsid w:val="00E52C20"/>
    <w:rsid w:val="00E52E8B"/>
    <w:rsid w:val="00E70F39"/>
    <w:rsid w:val="00E730B0"/>
    <w:rsid w:val="00E7422B"/>
    <w:rsid w:val="00E76FB8"/>
    <w:rsid w:val="00E87182"/>
    <w:rsid w:val="00E91F68"/>
    <w:rsid w:val="00EA3A0E"/>
    <w:rsid w:val="00EA5C0E"/>
    <w:rsid w:val="00EA6090"/>
    <w:rsid w:val="00EB44E9"/>
    <w:rsid w:val="00EC2EA5"/>
    <w:rsid w:val="00EC70AE"/>
    <w:rsid w:val="00EC761C"/>
    <w:rsid w:val="00EC7BAF"/>
    <w:rsid w:val="00ED2F06"/>
    <w:rsid w:val="00EE2440"/>
    <w:rsid w:val="00EE6306"/>
    <w:rsid w:val="00EE7657"/>
    <w:rsid w:val="00F0085E"/>
    <w:rsid w:val="00F068EF"/>
    <w:rsid w:val="00F149AF"/>
    <w:rsid w:val="00F15920"/>
    <w:rsid w:val="00F27A20"/>
    <w:rsid w:val="00F31841"/>
    <w:rsid w:val="00F31DF6"/>
    <w:rsid w:val="00F32789"/>
    <w:rsid w:val="00F53E59"/>
    <w:rsid w:val="00F558A4"/>
    <w:rsid w:val="00F561B7"/>
    <w:rsid w:val="00F6309B"/>
    <w:rsid w:val="00F63348"/>
    <w:rsid w:val="00F659CC"/>
    <w:rsid w:val="00F83CC7"/>
    <w:rsid w:val="00F90BE9"/>
    <w:rsid w:val="00F96643"/>
    <w:rsid w:val="00FA08AD"/>
    <w:rsid w:val="00FA3F51"/>
    <w:rsid w:val="00FA4CAA"/>
    <w:rsid w:val="00FB5355"/>
    <w:rsid w:val="00FB5CBB"/>
    <w:rsid w:val="00FB6B63"/>
    <w:rsid w:val="00FC0653"/>
    <w:rsid w:val="00FC3815"/>
    <w:rsid w:val="00FC5215"/>
    <w:rsid w:val="00FC6488"/>
    <w:rsid w:val="00FD3426"/>
    <w:rsid w:val="00FD7E6C"/>
    <w:rsid w:val="00FE0EEF"/>
    <w:rsid w:val="00FE1D21"/>
    <w:rsid w:val="00FF2D68"/>
    <w:rsid w:val="081A7F1C"/>
    <w:rsid w:val="09E161BD"/>
    <w:rsid w:val="0A6370C3"/>
    <w:rsid w:val="0A8F850F"/>
    <w:rsid w:val="0FF7A504"/>
    <w:rsid w:val="14979E02"/>
    <w:rsid w:val="165F3251"/>
    <w:rsid w:val="172CDEE2"/>
    <w:rsid w:val="1BD7F972"/>
    <w:rsid w:val="1F6C41A6"/>
    <w:rsid w:val="235D178D"/>
    <w:rsid w:val="249587DD"/>
    <w:rsid w:val="303E48AD"/>
    <w:rsid w:val="33E8252D"/>
    <w:rsid w:val="3B37654A"/>
    <w:rsid w:val="3E964E33"/>
    <w:rsid w:val="472D037E"/>
    <w:rsid w:val="49D2B898"/>
    <w:rsid w:val="4A412222"/>
    <w:rsid w:val="548CC956"/>
    <w:rsid w:val="58C6895A"/>
    <w:rsid w:val="5B9B7255"/>
    <w:rsid w:val="600089E4"/>
    <w:rsid w:val="62705FD3"/>
    <w:rsid w:val="64B423A4"/>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DB paragraph numbering,Akapit z listą BS,Bullet1,Bullets,List Paragraph (numbered (a)),List Paragraph nowy,List Paragraph1,List_Paragraph,Liste 1,Medium Grid 1 - Accent 21,Multilevel para_II,Numbered List Paragra,Paragraphe  revu,numbere"/>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Texto nota pie Car Car,Texto nota pie Car Car Car Car Car Car,Texto nota pie Car Car Car Car Car,Texto nota pie Car Car Car Car Car Car Car,Texto nota pie Car Car Car,single space,footnote text,fn,FOOTNOTES,Geneva 9,Font: Geneva 9,ft,Char"/>
    <w:basedOn w:val="Normal"/>
    <w:link w:val="FootnoteTextChar"/>
    <w:uiPriority w:val="99"/>
    <w:unhideWhenUsed/>
    <w:qFormat/>
    <w:rsid w:val="003A03B5"/>
    <w:pPr>
      <w:spacing w:after="0" w:line="240" w:lineRule="auto"/>
    </w:pPr>
    <w:rPr>
      <w:sz w:val="20"/>
      <w:szCs w:val="20"/>
    </w:rPr>
  </w:style>
  <w:style w:type="character" w:customStyle="1" w:styleId="FootnoteTextChar">
    <w:name w:val="Footnote Text Char"/>
    <w:aliases w:val="Texto nota pie Car Car Char,Texto nota pie Car Car Car Car Car Car Char,Texto nota pie Car Car Car Car Car Char,Texto nota pie Car Car Car Car Car Car Car Char,Texto nota pie Car Car Car Char,single space Char,footnote text Char"/>
    <w:basedOn w:val="DefaultParagraphFont"/>
    <w:link w:val="FootnoteText"/>
    <w:uiPriority w:val="99"/>
    <w:rsid w:val="003A03B5"/>
    <w:rPr>
      <w:sz w:val="20"/>
      <w:szCs w:val="20"/>
    </w:rPr>
  </w:style>
  <w:style w:type="character" w:styleId="FootnoteReference">
    <w:name w:val="footnote reference"/>
    <w:aliases w:val="16 Point,BVI fnr,EN Footnote Reference,Exposant 3 Point,Footnote Reference Number,Footnote reference number,Footnote symbol,Footnotes refss,Superscript 6 Point,Times 10 Point,ftref,nota pié di pagina,note TESI,footnote ref,fr,Ref"/>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ListParagraphChar">
    <w:name w:val="List Paragraph Char"/>
    <w:aliases w:val="ADB paragraph numbering Char,Akapit z listą BS Char,Bullet1 Char,Bullets Char,List Paragraph (numbered (a)) Char,List Paragraph nowy Char,List Paragraph1 Char,List_Paragraph Char,Liste 1 Char,Medium Grid 1 - Accent 21 Char"/>
    <w:link w:val="ListParagraph"/>
    <w:uiPriority w:val="34"/>
    <w:qFormat/>
    <w:rsid w:val="00E22688"/>
  </w:style>
  <w:style w:type="character" w:customStyle="1" w:styleId="ui-provider">
    <w:name w:val="ui-provider"/>
    <w:basedOn w:val="DefaultParagraphFont"/>
    <w:rsid w:val="00E22688"/>
  </w:style>
  <w:style w:type="character" w:styleId="UnresolvedMention">
    <w:name w:val="Unresolved Mention"/>
    <w:basedOn w:val="DefaultParagraphFont"/>
    <w:uiPriority w:val="99"/>
    <w:semiHidden/>
    <w:unhideWhenUsed/>
    <w:rsid w:val="00E15915"/>
    <w:rPr>
      <w:color w:val="605E5C"/>
      <w:shd w:val="clear" w:color="auto" w:fill="E1DFDD"/>
    </w:rPr>
  </w:style>
  <w:style w:type="character" w:styleId="EndnoteReference">
    <w:name w:val="endnote reference"/>
    <w:basedOn w:val="DefaultParagraphFont"/>
    <w:uiPriority w:val="99"/>
    <w:semiHidden/>
    <w:unhideWhenUsed/>
    <w:rsid w:val="00AF21D4"/>
    <w:rPr>
      <w:vertAlign w:val="superscript"/>
    </w:rPr>
  </w:style>
  <w:style w:type="character" w:customStyle="1" w:styleId="cf01">
    <w:name w:val="cf01"/>
    <w:basedOn w:val="DefaultParagraphFont"/>
    <w:rsid w:val="00AF21D4"/>
    <w:rPr>
      <w:rFonts w:ascii="Courier New" w:hAnsi="Courier New" w:cs="Courier New" w:hint="default"/>
      <w:sz w:val="18"/>
      <w:szCs w:val="18"/>
    </w:rPr>
  </w:style>
  <w:style w:type="character" w:customStyle="1" w:styleId="A10">
    <w:name w:val="A10"/>
    <w:uiPriority w:val="99"/>
    <w:rsid w:val="00270A15"/>
    <w:rPr>
      <w:rFonts w:cs="DIN Pro"/>
      <w:i/>
      <w:iCs/>
      <w:color w:val="000000"/>
      <w:sz w:val="21"/>
      <w:szCs w:val="21"/>
    </w:rPr>
  </w:style>
  <w:style w:type="character" w:styleId="IntenseEmphasis">
    <w:name w:val="Intense Emphasis"/>
    <w:basedOn w:val="DefaultParagraphFont"/>
    <w:uiPriority w:val="21"/>
    <w:qFormat/>
    <w:rsid w:val="00D348AA"/>
    <w:rPr>
      <w:i/>
      <w:iCs/>
      <w:color w:val="4472C4" w:themeColor="accent1"/>
    </w:rPr>
  </w:style>
  <w:style w:type="paragraph" w:customStyle="1" w:styleId="pf1">
    <w:name w:val="pf1"/>
    <w:basedOn w:val="Normal"/>
    <w:rsid w:val="0027694D"/>
    <w:pPr>
      <w:spacing w:before="100" w:beforeAutospacing="1" w:after="100" w:afterAutospacing="1" w:line="240" w:lineRule="auto"/>
    </w:pPr>
    <w:rPr>
      <w:rFonts w:ascii="Times New Roman" w:eastAsia="Times New Roman" w:hAnsi="Times New Roman" w:cs="Times New Roman"/>
      <w:kern w:val="0"/>
      <w:sz w:val="24"/>
      <w:szCs w:val="24"/>
      <w:lang w:val="en-AU" w:bidi="th-TH"/>
      <w14:ligatures w14:val="none"/>
    </w:rPr>
  </w:style>
  <w:style w:type="paragraph" w:customStyle="1" w:styleId="pf0">
    <w:name w:val="pf0"/>
    <w:basedOn w:val="Normal"/>
    <w:rsid w:val="0027694D"/>
    <w:pPr>
      <w:spacing w:before="100" w:beforeAutospacing="1" w:after="100" w:afterAutospacing="1" w:line="240" w:lineRule="auto"/>
    </w:pPr>
    <w:rPr>
      <w:rFonts w:ascii="Times New Roman" w:eastAsia="Times New Roman" w:hAnsi="Times New Roman" w:cs="Times New Roman"/>
      <w:kern w:val="0"/>
      <w:sz w:val="24"/>
      <w:szCs w:val="24"/>
      <w:lang w:val="en-AU" w:bidi="th-TH"/>
      <w14:ligatures w14:val="none"/>
    </w:rPr>
  </w:style>
  <w:style w:type="paragraph" w:styleId="EndnoteText">
    <w:name w:val="endnote text"/>
    <w:basedOn w:val="Normal"/>
    <w:link w:val="EndnoteTextChar"/>
    <w:uiPriority w:val="99"/>
    <w:semiHidden/>
    <w:unhideWhenUsed/>
    <w:rsid w:val="00183117"/>
    <w:pPr>
      <w:spacing w:after="0" w:line="240" w:lineRule="auto"/>
    </w:pPr>
    <w:rPr>
      <w:sz w:val="20"/>
      <w:szCs w:val="25"/>
      <w:lang w:val="en-AU" w:bidi="th-TH"/>
    </w:rPr>
  </w:style>
  <w:style w:type="character" w:customStyle="1" w:styleId="EndnoteTextChar">
    <w:name w:val="Endnote Text Char"/>
    <w:basedOn w:val="DefaultParagraphFont"/>
    <w:link w:val="EndnoteText"/>
    <w:uiPriority w:val="99"/>
    <w:semiHidden/>
    <w:rsid w:val="00183117"/>
    <w:rPr>
      <w:sz w:val="20"/>
      <w:szCs w:val="25"/>
      <w:lang w:val="en-AU" w:bidi="th-TH"/>
    </w:rPr>
  </w:style>
  <w:style w:type="character" w:styleId="Mention">
    <w:name w:val="Mention"/>
    <w:basedOn w:val="DefaultParagraphFont"/>
    <w:uiPriority w:val="99"/>
    <w:unhideWhenUsed/>
    <w:rsid w:val="005E4A47"/>
    <w:rPr>
      <w:color w:val="2B579A"/>
      <w:shd w:val="clear" w:color="auto" w:fill="E1DFDD"/>
    </w:rPr>
  </w:style>
  <w:style w:type="paragraph" w:styleId="IntenseQuote">
    <w:name w:val="Intense Quote"/>
    <w:basedOn w:val="Normal"/>
    <w:next w:val="Normal"/>
    <w:link w:val="IntenseQuoteChar"/>
    <w:uiPriority w:val="30"/>
    <w:qFormat/>
    <w:rsid w:val="00E31CE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1CE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634">
      <w:bodyDiv w:val="1"/>
      <w:marLeft w:val="0"/>
      <w:marRight w:val="0"/>
      <w:marTop w:val="0"/>
      <w:marBottom w:val="0"/>
      <w:divBdr>
        <w:top w:val="none" w:sz="0" w:space="0" w:color="auto"/>
        <w:left w:val="none" w:sz="0" w:space="0" w:color="auto"/>
        <w:bottom w:val="none" w:sz="0" w:space="0" w:color="auto"/>
        <w:right w:val="none" w:sz="0" w:space="0" w:color="auto"/>
      </w:divBdr>
    </w:div>
    <w:div w:id="507252899">
      <w:bodyDiv w:val="1"/>
      <w:marLeft w:val="0"/>
      <w:marRight w:val="0"/>
      <w:marTop w:val="0"/>
      <w:marBottom w:val="0"/>
      <w:divBdr>
        <w:top w:val="none" w:sz="0" w:space="0" w:color="auto"/>
        <w:left w:val="none" w:sz="0" w:space="0" w:color="auto"/>
        <w:bottom w:val="none" w:sz="0" w:space="0" w:color="auto"/>
        <w:right w:val="none" w:sz="0" w:space="0" w:color="auto"/>
      </w:divBdr>
    </w:div>
    <w:div w:id="1016691995">
      <w:bodyDiv w:val="1"/>
      <w:marLeft w:val="0"/>
      <w:marRight w:val="0"/>
      <w:marTop w:val="0"/>
      <w:marBottom w:val="0"/>
      <w:divBdr>
        <w:top w:val="none" w:sz="0" w:space="0" w:color="auto"/>
        <w:left w:val="none" w:sz="0" w:space="0" w:color="auto"/>
        <w:bottom w:val="none" w:sz="0" w:space="0" w:color="auto"/>
        <w:right w:val="none" w:sz="0" w:space="0" w:color="auto"/>
      </w:divBdr>
      <w:divsChild>
        <w:div w:id="290405362">
          <w:marLeft w:val="0"/>
          <w:marRight w:val="0"/>
          <w:marTop w:val="0"/>
          <w:marBottom w:val="0"/>
          <w:divBdr>
            <w:top w:val="none" w:sz="0" w:space="0" w:color="auto"/>
            <w:left w:val="none" w:sz="0" w:space="0" w:color="auto"/>
            <w:bottom w:val="none" w:sz="0" w:space="0" w:color="auto"/>
            <w:right w:val="none" w:sz="0" w:space="0" w:color="auto"/>
          </w:divBdr>
          <w:divsChild>
            <w:div w:id="867647926">
              <w:marLeft w:val="0"/>
              <w:marRight w:val="0"/>
              <w:marTop w:val="0"/>
              <w:marBottom w:val="0"/>
              <w:divBdr>
                <w:top w:val="none" w:sz="0" w:space="0" w:color="auto"/>
                <w:left w:val="none" w:sz="0" w:space="0" w:color="auto"/>
                <w:bottom w:val="none" w:sz="0" w:space="0" w:color="auto"/>
                <w:right w:val="none" w:sz="0" w:space="0" w:color="auto"/>
              </w:divBdr>
              <w:divsChild>
                <w:div w:id="117800633">
                  <w:marLeft w:val="0"/>
                  <w:marRight w:val="0"/>
                  <w:marTop w:val="0"/>
                  <w:marBottom w:val="0"/>
                  <w:divBdr>
                    <w:top w:val="none" w:sz="0" w:space="0" w:color="auto"/>
                    <w:left w:val="none" w:sz="0" w:space="0" w:color="auto"/>
                    <w:bottom w:val="none" w:sz="0" w:space="0" w:color="auto"/>
                    <w:right w:val="none" w:sz="0" w:space="0" w:color="auto"/>
                  </w:divBdr>
                  <w:divsChild>
                    <w:div w:id="483083753">
                      <w:marLeft w:val="0"/>
                      <w:marRight w:val="0"/>
                      <w:marTop w:val="0"/>
                      <w:marBottom w:val="0"/>
                      <w:divBdr>
                        <w:top w:val="none" w:sz="0" w:space="0" w:color="auto"/>
                        <w:left w:val="none" w:sz="0" w:space="0" w:color="auto"/>
                        <w:bottom w:val="none" w:sz="0" w:space="0" w:color="auto"/>
                        <w:right w:val="none" w:sz="0" w:space="0" w:color="auto"/>
                      </w:divBdr>
                      <w:divsChild>
                        <w:div w:id="1685588716">
                          <w:marLeft w:val="0"/>
                          <w:marRight w:val="0"/>
                          <w:marTop w:val="0"/>
                          <w:marBottom w:val="0"/>
                          <w:divBdr>
                            <w:top w:val="none" w:sz="0" w:space="0" w:color="auto"/>
                            <w:left w:val="none" w:sz="0" w:space="0" w:color="auto"/>
                            <w:bottom w:val="none" w:sz="0" w:space="0" w:color="auto"/>
                            <w:right w:val="none" w:sz="0" w:space="0" w:color="auto"/>
                          </w:divBdr>
                          <w:divsChild>
                            <w:div w:id="1017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7831">
      <w:bodyDiv w:val="1"/>
      <w:marLeft w:val="0"/>
      <w:marRight w:val="0"/>
      <w:marTop w:val="0"/>
      <w:marBottom w:val="0"/>
      <w:divBdr>
        <w:top w:val="none" w:sz="0" w:space="0" w:color="auto"/>
        <w:left w:val="none" w:sz="0" w:space="0" w:color="auto"/>
        <w:bottom w:val="none" w:sz="0" w:space="0" w:color="auto"/>
        <w:right w:val="none" w:sz="0" w:space="0" w:color="auto"/>
      </w:divBdr>
      <w:divsChild>
        <w:div w:id="669410339">
          <w:marLeft w:val="547"/>
          <w:marRight w:val="0"/>
          <w:marTop w:val="200"/>
          <w:marBottom w:val="0"/>
          <w:divBdr>
            <w:top w:val="none" w:sz="0" w:space="0" w:color="auto"/>
            <w:left w:val="none" w:sz="0" w:space="0" w:color="auto"/>
            <w:bottom w:val="none" w:sz="0" w:space="0" w:color="auto"/>
            <w:right w:val="none" w:sz="0" w:space="0" w:color="auto"/>
          </w:divBdr>
        </w:div>
        <w:div w:id="105278616">
          <w:marLeft w:val="547"/>
          <w:marRight w:val="0"/>
          <w:marTop w:val="200"/>
          <w:marBottom w:val="0"/>
          <w:divBdr>
            <w:top w:val="none" w:sz="0" w:space="0" w:color="auto"/>
            <w:left w:val="none" w:sz="0" w:space="0" w:color="auto"/>
            <w:bottom w:val="none" w:sz="0" w:space="0" w:color="auto"/>
            <w:right w:val="none" w:sz="0" w:space="0" w:color="auto"/>
          </w:divBdr>
        </w:div>
        <w:div w:id="1881168670">
          <w:marLeft w:val="547"/>
          <w:marRight w:val="0"/>
          <w:marTop w:val="200"/>
          <w:marBottom w:val="0"/>
          <w:divBdr>
            <w:top w:val="none" w:sz="0" w:space="0" w:color="auto"/>
            <w:left w:val="none" w:sz="0" w:space="0" w:color="auto"/>
            <w:bottom w:val="none" w:sz="0" w:space="0" w:color="auto"/>
            <w:right w:val="none" w:sz="0" w:space="0" w:color="auto"/>
          </w:divBdr>
        </w:div>
        <w:div w:id="1972519500">
          <w:marLeft w:val="547"/>
          <w:marRight w:val="0"/>
          <w:marTop w:val="200"/>
          <w:marBottom w:val="0"/>
          <w:divBdr>
            <w:top w:val="none" w:sz="0" w:space="0" w:color="auto"/>
            <w:left w:val="none" w:sz="0" w:space="0" w:color="auto"/>
            <w:bottom w:val="none" w:sz="0" w:space="0" w:color="auto"/>
            <w:right w:val="none" w:sz="0" w:space="0" w:color="auto"/>
          </w:divBdr>
        </w:div>
        <w:div w:id="1145659945">
          <w:marLeft w:val="547"/>
          <w:marRight w:val="0"/>
          <w:marTop w:val="200"/>
          <w:marBottom w:val="0"/>
          <w:divBdr>
            <w:top w:val="none" w:sz="0" w:space="0" w:color="auto"/>
            <w:left w:val="none" w:sz="0" w:space="0" w:color="auto"/>
            <w:bottom w:val="none" w:sz="0" w:space="0" w:color="auto"/>
            <w:right w:val="none" w:sz="0" w:space="0" w:color="auto"/>
          </w:divBdr>
        </w:div>
        <w:div w:id="1868526087">
          <w:marLeft w:val="547"/>
          <w:marRight w:val="0"/>
          <w:marTop w:val="200"/>
          <w:marBottom w:val="0"/>
          <w:divBdr>
            <w:top w:val="none" w:sz="0" w:space="0" w:color="auto"/>
            <w:left w:val="none" w:sz="0" w:space="0" w:color="auto"/>
            <w:bottom w:val="none" w:sz="0" w:space="0" w:color="auto"/>
            <w:right w:val="none" w:sz="0" w:space="0" w:color="auto"/>
          </w:divBdr>
        </w:div>
        <w:div w:id="462234254">
          <w:marLeft w:val="547"/>
          <w:marRight w:val="0"/>
          <w:marTop w:val="200"/>
          <w:marBottom w:val="0"/>
          <w:divBdr>
            <w:top w:val="none" w:sz="0" w:space="0" w:color="auto"/>
            <w:left w:val="none" w:sz="0" w:space="0" w:color="auto"/>
            <w:bottom w:val="none" w:sz="0" w:space="0" w:color="auto"/>
            <w:right w:val="none" w:sz="0" w:space="0" w:color="auto"/>
          </w:divBdr>
        </w:div>
      </w:divsChild>
    </w:div>
    <w:div w:id="1449397314">
      <w:bodyDiv w:val="1"/>
      <w:marLeft w:val="0"/>
      <w:marRight w:val="0"/>
      <w:marTop w:val="0"/>
      <w:marBottom w:val="0"/>
      <w:divBdr>
        <w:top w:val="none" w:sz="0" w:space="0" w:color="auto"/>
        <w:left w:val="none" w:sz="0" w:space="0" w:color="auto"/>
        <w:bottom w:val="none" w:sz="0" w:space="0" w:color="auto"/>
        <w:right w:val="none" w:sz="0" w:space="0" w:color="auto"/>
      </w:divBdr>
    </w:div>
    <w:div w:id="1737774745">
      <w:bodyDiv w:val="1"/>
      <w:marLeft w:val="0"/>
      <w:marRight w:val="0"/>
      <w:marTop w:val="0"/>
      <w:marBottom w:val="0"/>
      <w:divBdr>
        <w:top w:val="none" w:sz="0" w:space="0" w:color="auto"/>
        <w:left w:val="none" w:sz="0" w:space="0" w:color="auto"/>
        <w:bottom w:val="none" w:sz="0" w:space="0" w:color="auto"/>
        <w:right w:val="none" w:sz="0" w:space="0" w:color="auto"/>
      </w:divBdr>
      <w:divsChild>
        <w:div w:id="1997495525">
          <w:marLeft w:val="0"/>
          <w:marRight w:val="0"/>
          <w:marTop w:val="0"/>
          <w:marBottom w:val="0"/>
          <w:divBdr>
            <w:top w:val="none" w:sz="0" w:space="0" w:color="auto"/>
            <w:left w:val="none" w:sz="0" w:space="0" w:color="auto"/>
            <w:bottom w:val="none" w:sz="0" w:space="0" w:color="auto"/>
            <w:right w:val="none" w:sz="0" w:space="0" w:color="auto"/>
          </w:divBdr>
          <w:divsChild>
            <w:div w:id="122700441">
              <w:marLeft w:val="0"/>
              <w:marRight w:val="0"/>
              <w:marTop w:val="0"/>
              <w:marBottom w:val="0"/>
              <w:divBdr>
                <w:top w:val="none" w:sz="0" w:space="0" w:color="auto"/>
                <w:left w:val="none" w:sz="0" w:space="0" w:color="auto"/>
                <w:bottom w:val="none" w:sz="0" w:space="0" w:color="auto"/>
                <w:right w:val="none" w:sz="0" w:space="0" w:color="auto"/>
              </w:divBdr>
              <w:divsChild>
                <w:div w:id="1693723661">
                  <w:marLeft w:val="0"/>
                  <w:marRight w:val="0"/>
                  <w:marTop w:val="0"/>
                  <w:marBottom w:val="0"/>
                  <w:divBdr>
                    <w:top w:val="none" w:sz="0" w:space="0" w:color="auto"/>
                    <w:left w:val="none" w:sz="0" w:space="0" w:color="auto"/>
                    <w:bottom w:val="none" w:sz="0" w:space="0" w:color="auto"/>
                    <w:right w:val="none" w:sz="0" w:space="0" w:color="auto"/>
                  </w:divBdr>
                  <w:divsChild>
                    <w:div w:id="2080013183">
                      <w:marLeft w:val="0"/>
                      <w:marRight w:val="0"/>
                      <w:marTop w:val="0"/>
                      <w:marBottom w:val="0"/>
                      <w:divBdr>
                        <w:top w:val="none" w:sz="0" w:space="0" w:color="auto"/>
                        <w:left w:val="none" w:sz="0" w:space="0" w:color="auto"/>
                        <w:bottom w:val="none" w:sz="0" w:space="0" w:color="auto"/>
                        <w:right w:val="none" w:sz="0" w:space="0" w:color="auto"/>
                      </w:divBdr>
                      <w:divsChild>
                        <w:div w:id="1185944851">
                          <w:marLeft w:val="0"/>
                          <w:marRight w:val="0"/>
                          <w:marTop w:val="0"/>
                          <w:marBottom w:val="0"/>
                          <w:divBdr>
                            <w:top w:val="none" w:sz="0" w:space="0" w:color="auto"/>
                            <w:left w:val="none" w:sz="0" w:space="0" w:color="auto"/>
                            <w:bottom w:val="none" w:sz="0" w:space="0" w:color="auto"/>
                            <w:right w:val="none" w:sz="0" w:space="0" w:color="auto"/>
                          </w:divBdr>
                          <w:divsChild>
                            <w:div w:id="472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6363">
      <w:bodyDiv w:val="1"/>
      <w:marLeft w:val="0"/>
      <w:marRight w:val="0"/>
      <w:marTop w:val="0"/>
      <w:marBottom w:val="0"/>
      <w:divBdr>
        <w:top w:val="none" w:sz="0" w:space="0" w:color="auto"/>
        <w:left w:val="none" w:sz="0" w:space="0" w:color="auto"/>
        <w:bottom w:val="none" w:sz="0" w:space="0" w:color="auto"/>
        <w:right w:val="none" w:sz="0" w:space="0" w:color="auto"/>
      </w:divBdr>
      <w:divsChild>
        <w:div w:id="1738042949">
          <w:marLeft w:val="821"/>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pps.who.int/nha/database/DocumentationCentre/GetFile/62053151/en" TargetMode="External"/><Relationship Id="rId1" Type="http://schemas.openxmlformats.org/officeDocument/2006/relationships/hyperlink" Target="https://www.uhc2030.org/who-we-are/governance/2024-2027-strategic-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Links>
    <vt:vector size="12" baseType="variant">
      <vt:variant>
        <vt:i4>5505053</vt:i4>
      </vt:variant>
      <vt:variant>
        <vt:i4>3</vt:i4>
      </vt:variant>
      <vt:variant>
        <vt:i4>0</vt:i4>
      </vt:variant>
      <vt:variant>
        <vt:i4>5</vt:i4>
      </vt:variant>
      <vt:variant>
        <vt:lpwstr>https://apps.who.int/nha/database/DocumentationCentre/GetFile/62053151/en</vt:lpwstr>
      </vt:variant>
      <vt:variant>
        <vt:lpwstr/>
      </vt:variant>
      <vt:variant>
        <vt:i4>1048595</vt:i4>
      </vt:variant>
      <vt:variant>
        <vt:i4>0</vt:i4>
      </vt:variant>
      <vt:variant>
        <vt:i4>0</vt:i4>
      </vt:variant>
      <vt:variant>
        <vt:i4>5</vt:i4>
      </vt:variant>
      <vt:variant>
        <vt:lpwstr>https://www.uhc2030.org/who-we-are/governance/2024-2027-strategic-framework/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GYAMERAH, Vida Ewurama</cp:lastModifiedBy>
  <cp:revision>4</cp:revision>
  <dcterms:created xsi:type="dcterms:W3CDTF">2024-10-14T04:19:00Z</dcterms:created>
  <dcterms:modified xsi:type="dcterms:W3CDTF">2024-10-14T04:40:00Z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bc97137d6c18ae3f798d2dd30497dbbec2d9c3d621985cf299186ca580225c22</vt:lpwstr>
  </property>
</Properties>
</file>