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5578" w14:textId="77777777" w:rsidR="00774530" w:rsidRDefault="00774530" w:rsidP="2036533B">
      <w:pPr>
        <w:rPr>
          <w:b/>
          <w:bCs/>
          <w:sz w:val="24"/>
          <w:szCs w:val="24"/>
        </w:rPr>
      </w:pPr>
    </w:p>
    <w:p w14:paraId="5B413F31" w14:textId="0862C14D" w:rsidR="00667503" w:rsidRPr="00774530" w:rsidRDefault="2B0D7927" w:rsidP="00774530">
      <w:pPr>
        <w:pStyle w:val="IntenseQuote"/>
        <w:ind w:left="-720" w:right="-270"/>
        <w:rPr>
          <w:b/>
          <w:bCs/>
          <w:sz w:val="44"/>
          <w:szCs w:val="44"/>
        </w:rPr>
      </w:pPr>
      <w:r w:rsidRPr="00774530">
        <w:rPr>
          <w:b/>
          <w:bCs/>
          <w:sz w:val="44"/>
          <w:szCs w:val="44"/>
        </w:rPr>
        <w:t xml:space="preserve">Financing the pathway towards </w:t>
      </w:r>
      <w:r w:rsidR="4755EF2E" w:rsidRPr="00774530">
        <w:rPr>
          <w:b/>
          <w:bCs/>
          <w:sz w:val="44"/>
          <w:szCs w:val="44"/>
        </w:rPr>
        <w:t>universal health coverage (</w:t>
      </w:r>
      <w:r w:rsidRPr="00774530">
        <w:rPr>
          <w:b/>
          <w:bCs/>
          <w:sz w:val="44"/>
          <w:szCs w:val="44"/>
        </w:rPr>
        <w:t>UHC</w:t>
      </w:r>
      <w:r w:rsidR="2688AD44" w:rsidRPr="00774530">
        <w:rPr>
          <w:b/>
          <w:bCs/>
          <w:sz w:val="44"/>
          <w:szCs w:val="44"/>
        </w:rPr>
        <w:t>)</w:t>
      </w:r>
      <w:r w:rsidR="6466C082" w:rsidRPr="00774530">
        <w:rPr>
          <w:b/>
          <w:bCs/>
          <w:sz w:val="44"/>
          <w:szCs w:val="44"/>
        </w:rPr>
        <w:t xml:space="preserve">: </w:t>
      </w:r>
      <w:r w:rsidR="08B578B9" w:rsidRPr="00774530">
        <w:rPr>
          <w:b/>
          <w:bCs/>
          <w:sz w:val="44"/>
          <w:szCs w:val="44"/>
        </w:rPr>
        <w:t xml:space="preserve">improving health sector priority setting </w:t>
      </w:r>
    </w:p>
    <w:p w14:paraId="55FAD2C2" w14:textId="1ABE5C53" w:rsidR="58FC2E04" w:rsidRPr="00774530" w:rsidRDefault="58FC2E04" w:rsidP="00774530">
      <w:pPr>
        <w:pStyle w:val="Heading2"/>
        <w:jc w:val="both"/>
        <w:rPr>
          <w:b/>
          <w:bCs/>
        </w:rPr>
      </w:pPr>
      <w:r w:rsidRPr="00774530">
        <w:rPr>
          <w:b/>
          <w:bCs/>
        </w:rPr>
        <w:t>Key messages</w:t>
      </w:r>
    </w:p>
    <w:p w14:paraId="2F8A74AD" w14:textId="35E885B9" w:rsidR="43C95A79" w:rsidRDefault="7A7C65DD" w:rsidP="00774530">
      <w:pPr>
        <w:pStyle w:val="ListParagraph"/>
        <w:numPr>
          <w:ilvl w:val="0"/>
          <w:numId w:val="1"/>
        </w:numPr>
        <w:jc w:val="both"/>
      </w:pPr>
      <w:r>
        <w:t>P</w:t>
      </w:r>
      <w:r w:rsidR="7297839D">
        <w:t xml:space="preserve">roviding populations with </w:t>
      </w:r>
      <w:r>
        <w:t>a</w:t>
      </w:r>
      <w:r w:rsidR="43DA0380">
        <w:t>n explicit set of</w:t>
      </w:r>
      <w:r>
        <w:t xml:space="preserve"> guaranteed health services</w:t>
      </w:r>
      <w:r w:rsidR="3D9CAC97">
        <w:t xml:space="preserve"> is a critical</w:t>
      </w:r>
      <w:r w:rsidR="22AF91C4">
        <w:t xml:space="preserve"> step towards</w:t>
      </w:r>
      <w:r>
        <w:t xml:space="preserve"> achiev</w:t>
      </w:r>
      <w:r w:rsidR="44DD0546">
        <w:t>ing</w:t>
      </w:r>
      <w:r w:rsidR="4A7A8BE9">
        <w:t xml:space="preserve"> </w:t>
      </w:r>
      <w:r>
        <w:t>UHC</w:t>
      </w:r>
      <w:r w:rsidR="4AB65FE9">
        <w:t>.</w:t>
      </w:r>
    </w:p>
    <w:p w14:paraId="2B696CA9" w14:textId="13F79A15" w:rsidR="43C95A79" w:rsidRDefault="00092291" w:rsidP="00774530">
      <w:pPr>
        <w:pStyle w:val="ListParagraph"/>
        <w:numPr>
          <w:ilvl w:val="0"/>
          <w:numId w:val="1"/>
        </w:numPr>
        <w:jc w:val="both"/>
      </w:pPr>
      <w:r>
        <w:t>B</w:t>
      </w:r>
      <w:r w:rsidR="07C948BE">
        <w:t>oth the demand for and availability of</w:t>
      </w:r>
      <w:r w:rsidR="00E54984">
        <w:t xml:space="preserve"> </w:t>
      </w:r>
      <w:r w:rsidR="00AC11EE">
        <w:t xml:space="preserve">new </w:t>
      </w:r>
      <w:r w:rsidR="00E54984">
        <w:t>health</w:t>
      </w:r>
      <w:r w:rsidR="07C948BE">
        <w:t xml:space="preserve"> </w:t>
      </w:r>
      <w:r w:rsidR="00785748">
        <w:t>technologies</w:t>
      </w:r>
      <w:r w:rsidR="008137D5">
        <w:t xml:space="preserve"> (diagnostics</w:t>
      </w:r>
      <w:r w:rsidR="00200E3B">
        <w:t xml:space="preserve">, vaccines </w:t>
      </w:r>
      <w:r w:rsidR="00785748">
        <w:t>and medicines</w:t>
      </w:r>
      <w:r w:rsidR="008137D5">
        <w:t>)</w:t>
      </w:r>
      <w:r w:rsidR="07C948BE">
        <w:t xml:space="preserve"> </w:t>
      </w:r>
      <w:r w:rsidR="7F6DE803">
        <w:t>are</w:t>
      </w:r>
      <w:r w:rsidR="07C948BE">
        <w:t xml:space="preserve"> growing</w:t>
      </w:r>
      <w:r w:rsidR="630B62E8">
        <w:t>,</w:t>
      </w:r>
      <w:r w:rsidR="7CB765F3">
        <w:t xml:space="preserve"> </w:t>
      </w:r>
      <w:r w:rsidR="630B62E8">
        <w:t>together with the need to develop infrastructure</w:t>
      </w:r>
      <w:r w:rsidR="00A23AC2">
        <w:t xml:space="preserve"> </w:t>
      </w:r>
      <w:r w:rsidR="630B62E8">
        <w:t>for pandemic preparedness</w:t>
      </w:r>
      <w:r w:rsidR="1EAABFE2">
        <w:t>, aging populations, and ensuring resilience to climate change.</w:t>
      </w:r>
      <w:r w:rsidR="4EB72BA8">
        <w:t xml:space="preserve"> </w:t>
      </w:r>
    </w:p>
    <w:p w14:paraId="2A21FB7C" w14:textId="19617C7E" w:rsidR="43C95A79" w:rsidRDefault="43C95A79" w:rsidP="00774530">
      <w:pPr>
        <w:pStyle w:val="ListParagraph"/>
        <w:numPr>
          <w:ilvl w:val="0"/>
          <w:numId w:val="1"/>
        </w:numPr>
        <w:jc w:val="both"/>
      </w:pPr>
      <w:r>
        <w:t xml:space="preserve">There is substantial variation in the achievement of UHC </w:t>
      </w:r>
      <w:r w:rsidR="00CA6F60">
        <w:t xml:space="preserve">service </w:t>
      </w:r>
      <w:r>
        <w:t xml:space="preserve">coverage </w:t>
      </w:r>
      <w:r w:rsidR="00A23AC2">
        <w:t>across countries with</w:t>
      </w:r>
      <w:r>
        <w:t xml:space="preserve"> similar levels of resourcing</w:t>
      </w:r>
      <w:r w:rsidR="74D8CB31">
        <w:t xml:space="preserve">, in part due to lack of clarity around </w:t>
      </w:r>
      <w:r w:rsidR="00CA6F60">
        <w:t xml:space="preserve">which </w:t>
      </w:r>
      <w:r w:rsidR="008137D5">
        <w:t xml:space="preserve">health </w:t>
      </w:r>
      <w:r w:rsidR="00CA6F60">
        <w:t>services</w:t>
      </w:r>
      <w:r w:rsidR="008137D5">
        <w:t xml:space="preserve"> and technologies</w:t>
      </w:r>
      <w:r w:rsidR="00CA6F60">
        <w:t xml:space="preserve"> to </w:t>
      </w:r>
      <w:r w:rsidR="00581EA7">
        <w:t>prioritize</w:t>
      </w:r>
      <w:r>
        <w:t xml:space="preserve">. </w:t>
      </w:r>
    </w:p>
    <w:p w14:paraId="07F4A400" w14:textId="150941EB" w:rsidR="72CD63BD" w:rsidRDefault="72CD63BD" w:rsidP="00774530">
      <w:pPr>
        <w:pStyle w:val="ListParagraph"/>
        <w:numPr>
          <w:ilvl w:val="0"/>
          <w:numId w:val="1"/>
        </w:numPr>
        <w:jc w:val="both"/>
      </w:pPr>
      <w:r>
        <w:t>Many countries are institutionalizing legitimate, accountable and evidence-</w:t>
      </w:r>
      <w:r w:rsidR="1E95BAE7">
        <w:t>informed</w:t>
      </w:r>
      <w:r>
        <w:t xml:space="preserve"> </w:t>
      </w:r>
      <w:r w:rsidR="00CA6F60">
        <w:t xml:space="preserve">priority setting </w:t>
      </w:r>
      <w:r>
        <w:t>to define</w:t>
      </w:r>
      <w:r w:rsidR="00C754A7">
        <w:t xml:space="preserve"> the </w:t>
      </w:r>
      <w:r w:rsidR="00F03782">
        <w:t>package of health services</w:t>
      </w:r>
      <w:r>
        <w:t xml:space="preserve"> they will </w:t>
      </w:r>
      <w:r w:rsidR="00F03782">
        <w:t>guarantee to their populations</w:t>
      </w:r>
      <w:r>
        <w:t xml:space="preserve"> on the pathway to </w:t>
      </w:r>
      <w:r w:rsidR="6D4088EA">
        <w:t>UHC</w:t>
      </w:r>
      <w:r w:rsidR="1BAA723A">
        <w:t>, b</w:t>
      </w:r>
      <w:r>
        <w:t>ut there is still a way to go</w:t>
      </w:r>
      <w:r w:rsidR="6C517209">
        <w:t>.</w:t>
      </w:r>
    </w:p>
    <w:p w14:paraId="61B3A702" w14:textId="5982BCEB" w:rsidR="00667503" w:rsidRPr="00774530" w:rsidRDefault="00F03782" w:rsidP="00774530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t xml:space="preserve">In low- and middle- income countries </w:t>
      </w:r>
      <w:r w:rsidR="5C651738">
        <w:t>(LMICs)</w:t>
      </w:r>
      <w:r w:rsidR="2EC492CE">
        <w:t>,</w:t>
      </w:r>
      <w:r>
        <w:t xml:space="preserve"> e</w:t>
      </w:r>
      <w:r w:rsidR="7A7C65DD">
        <w:t xml:space="preserve">xternal funders </w:t>
      </w:r>
      <w:r w:rsidR="002A10DF">
        <w:t xml:space="preserve">should </w:t>
      </w:r>
      <w:r w:rsidR="6D486D0B">
        <w:t xml:space="preserve">support and </w:t>
      </w:r>
      <w:r w:rsidR="4F3F5D9E">
        <w:t>align</w:t>
      </w:r>
      <w:r w:rsidR="7A7C65DD">
        <w:t xml:space="preserve"> </w:t>
      </w:r>
      <w:r w:rsidR="2D59BC22">
        <w:t xml:space="preserve">their </w:t>
      </w:r>
      <w:r w:rsidR="5276D0AD">
        <w:t>funding instruments</w:t>
      </w:r>
      <w:r>
        <w:t xml:space="preserve"> (</w:t>
      </w:r>
      <w:r w:rsidR="002A10DF">
        <w:t xml:space="preserve">including </w:t>
      </w:r>
      <w:r>
        <w:t xml:space="preserve">global </w:t>
      </w:r>
      <w:r w:rsidR="503F4CDC">
        <w:t>health initiatives</w:t>
      </w:r>
      <w:r>
        <w:t>)</w:t>
      </w:r>
      <w:r w:rsidR="5276D0AD">
        <w:t xml:space="preserve"> </w:t>
      </w:r>
      <w:r w:rsidR="2F2D3AD6">
        <w:t>to these</w:t>
      </w:r>
      <w:r w:rsidR="72EF7F42">
        <w:t xml:space="preserve"> </w:t>
      </w:r>
      <w:r w:rsidR="2804B5C9">
        <w:t xml:space="preserve">domestic </w:t>
      </w:r>
      <w:r w:rsidR="319B0F75">
        <w:t xml:space="preserve">health </w:t>
      </w:r>
      <w:r w:rsidR="3AAE5069">
        <w:t>proces</w:t>
      </w:r>
      <w:r w:rsidR="03E5283D">
        <w:t>s</w:t>
      </w:r>
      <w:r w:rsidR="3AAE5069">
        <w:t>es</w:t>
      </w:r>
      <w:r w:rsidR="32BD48E0">
        <w:t xml:space="preserve">, </w:t>
      </w:r>
      <w:r w:rsidR="5DD02C55">
        <w:t>enabling</w:t>
      </w:r>
      <w:r w:rsidR="74C8A967">
        <w:t xml:space="preserve"> countries</w:t>
      </w:r>
      <w:r w:rsidR="52AEE0DB">
        <w:t xml:space="preserve"> to</w:t>
      </w:r>
      <w:r w:rsidR="74C8A967">
        <w:t xml:space="preserve"> </w:t>
      </w:r>
      <w:r w:rsidR="56A48929">
        <w:t>institutionalize</w:t>
      </w:r>
      <w:r w:rsidR="74C8A967">
        <w:t xml:space="preserve"> </w:t>
      </w:r>
      <w:r w:rsidR="42D72ED6">
        <w:t>fair and unbiased</w:t>
      </w:r>
      <w:r w:rsidR="74C8A967">
        <w:t xml:space="preserve"> </w:t>
      </w:r>
      <w:r w:rsidR="002A10DF">
        <w:t xml:space="preserve">approaches </w:t>
      </w:r>
      <w:r w:rsidR="0EE4E921">
        <w:t xml:space="preserve">for making the difficult choices around </w:t>
      </w:r>
      <w:r w:rsidR="61960102">
        <w:t>health s</w:t>
      </w:r>
      <w:r w:rsidR="00496862">
        <w:t>ervice</w:t>
      </w:r>
      <w:r w:rsidR="00EA3C04">
        <w:t xml:space="preserve"> priorities</w:t>
      </w:r>
      <w:r w:rsidR="6DC8CC56">
        <w:t>.</w:t>
      </w:r>
    </w:p>
    <w:p w14:paraId="0067053B" w14:textId="77777777" w:rsidR="00774530" w:rsidRPr="00523136" w:rsidRDefault="00774530" w:rsidP="00774530">
      <w:pPr>
        <w:pStyle w:val="ListParagraph"/>
        <w:ind w:left="1080"/>
        <w:jc w:val="both"/>
        <w:rPr>
          <w:b/>
          <w:bCs/>
          <w:u w:val="single"/>
        </w:rPr>
      </w:pPr>
    </w:p>
    <w:p w14:paraId="594EEEF9" w14:textId="2B6CB7A0" w:rsidR="00667503" w:rsidRPr="00774530" w:rsidRDefault="00667503" w:rsidP="00774530">
      <w:pPr>
        <w:pStyle w:val="Heading2"/>
        <w:jc w:val="both"/>
        <w:rPr>
          <w:b/>
          <w:bCs/>
        </w:rPr>
      </w:pPr>
      <w:r w:rsidRPr="00774530">
        <w:rPr>
          <w:b/>
          <w:bCs/>
        </w:rPr>
        <w:t>Problem statement</w:t>
      </w:r>
    </w:p>
    <w:p w14:paraId="5A73FB30" w14:textId="2D30592B" w:rsidR="6A4D713F" w:rsidRDefault="5CDED0C2" w:rsidP="00774530">
      <w:pPr>
        <w:jc w:val="both"/>
      </w:pPr>
      <w:r>
        <w:t>Spending on health has increased significantly over the past two decades</w:t>
      </w:r>
      <w:r w:rsidR="49ED5CEC">
        <w:t xml:space="preserve"> </w:t>
      </w:r>
      <w:r w:rsidR="49ED5CEC" w:rsidRPr="1D31DDF3">
        <w:rPr>
          <w:i/>
          <w:iCs/>
        </w:rPr>
        <w:t>(1)</w:t>
      </w:r>
      <w:r>
        <w:t xml:space="preserve">, with </w:t>
      </w:r>
      <w:r w:rsidR="5C0ED1F0">
        <w:t xml:space="preserve">a rapid increase </w:t>
      </w:r>
      <w:r w:rsidR="00255596">
        <w:t xml:space="preserve">across </w:t>
      </w:r>
      <w:r w:rsidR="5C0ED1F0">
        <w:t>low- and middle-income countries</w:t>
      </w:r>
      <w:r w:rsidR="00C333AC">
        <w:t xml:space="preserve"> </w:t>
      </w:r>
      <w:r w:rsidR="00C333AC" w:rsidRPr="3A5CF644">
        <w:rPr>
          <w:i/>
        </w:rPr>
        <w:t>(</w:t>
      </w:r>
      <w:r w:rsidR="5C0ED1F0" w:rsidRPr="1D31DDF3">
        <w:rPr>
          <w:i/>
          <w:iCs/>
        </w:rPr>
        <w:t>2</w:t>
      </w:r>
      <w:r w:rsidR="5C0ED1F0" w:rsidRPr="00255596">
        <w:t>)</w:t>
      </w:r>
      <w:r w:rsidR="001152A5" w:rsidRPr="00255596">
        <w:t>, as economies have grown</w:t>
      </w:r>
      <w:r w:rsidR="5C0ED1F0">
        <w:t>.</w:t>
      </w:r>
      <w:r w:rsidR="64BE2D3E">
        <w:t xml:space="preserve"> </w:t>
      </w:r>
      <w:r w:rsidR="5C0ED1F0">
        <w:t xml:space="preserve"> </w:t>
      </w:r>
      <w:r w:rsidR="001152A5">
        <w:t>However, r</w:t>
      </w:r>
      <w:r w:rsidR="60BC8B85">
        <w:t xml:space="preserve">ecent advances in </w:t>
      </w:r>
      <w:r w:rsidR="0BD554AD">
        <w:t xml:space="preserve">the </w:t>
      </w:r>
      <w:r w:rsidR="60BC8B85">
        <w:t xml:space="preserve">development of new health technologies and medicines, along with ageing populations and </w:t>
      </w:r>
      <w:r w:rsidR="4F54D71A">
        <w:t xml:space="preserve">the increasing burden of noncommunicable diseases </w:t>
      </w:r>
      <w:r w:rsidR="001152A5">
        <w:t xml:space="preserve">means that health </w:t>
      </w:r>
      <w:r w:rsidR="1D66C9CB">
        <w:t>needs are</w:t>
      </w:r>
      <w:r w:rsidR="001152A5">
        <w:t xml:space="preserve"> outstripping available </w:t>
      </w:r>
      <w:r w:rsidR="15B0BCF8">
        <w:t>resources</w:t>
      </w:r>
      <w:r w:rsidR="001152A5">
        <w:t xml:space="preserve">. </w:t>
      </w:r>
      <w:r w:rsidR="3AAE9849">
        <w:t>Th</w:t>
      </w:r>
      <w:r w:rsidR="00255596">
        <w:t xml:space="preserve">e </w:t>
      </w:r>
      <w:r w:rsidR="00C333AC">
        <w:t xml:space="preserve">deficit in funding </w:t>
      </w:r>
      <w:r w:rsidR="00255596">
        <w:t xml:space="preserve">of </w:t>
      </w:r>
      <w:r w:rsidR="00C333AC">
        <w:t xml:space="preserve">UHC </w:t>
      </w:r>
      <w:r w:rsidR="3AAE9849">
        <w:t xml:space="preserve">is further exacerbated by growing needs </w:t>
      </w:r>
      <w:r w:rsidR="73C4EB4E">
        <w:t xml:space="preserve">to </w:t>
      </w:r>
      <w:r w:rsidR="7508AA5E">
        <w:t xml:space="preserve">prepare for future pandemics </w:t>
      </w:r>
      <w:r w:rsidR="006C6DFA">
        <w:t xml:space="preserve">and </w:t>
      </w:r>
      <w:r w:rsidR="7D828A3D">
        <w:t>mitigat</w:t>
      </w:r>
      <w:r w:rsidR="006C6DFA">
        <w:t>ing</w:t>
      </w:r>
      <w:r w:rsidR="7D828A3D">
        <w:t xml:space="preserve"> the </w:t>
      </w:r>
      <w:r w:rsidR="00FF1A81">
        <w:t>health-related</w:t>
      </w:r>
      <w:r w:rsidR="006C6DFA">
        <w:t xml:space="preserve"> </w:t>
      </w:r>
      <w:r w:rsidR="7D828A3D">
        <w:t>consequences of climate change</w:t>
      </w:r>
      <w:r w:rsidR="7508AA5E">
        <w:t xml:space="preserve">. </w:t>
      </w:r>
      <w:r w:rsidR="60BC8B85">
        <w:t xml:space="preserve"> </w:t>
      </w:r>
    </w:p>
    <w:p w14:paraId="2BA77FAD" w14:textId="4668392C" w:rsidR="6A4D713F" w:rsidRDefault="00C333AC" w:rsidP="00774530">
      <w:pPr>
        <w:jc w:val="both"/>
      </w:pPr>
      <w:r>
        <w:t xml:space="preserve">Fiscal space </w:t>
      </w:r>
      <w:r w:rsidR="00FF1A81">
        <w:t xml:space="preserve">for a </w:t>
      </w:r>
      <w:r>
        <w:t xml:space="preserve">minimum UHC package of services </w:t>
      </w:r>
      <w:r w:rsidR="00FF1A81">
        <w:t>remains sever</w:t>
      </w:r>
      <w:r w:rsidR="002A358B">
        <w:t>el</w:t>
      </w:r>
      <w:r w:rsidR="00FF1A81">
        <w:t xml:space="preserve">y </w:t>
      </w:r>
      <w:r w:rsidR="002A358B">
        <w:t>l</w:t>
      </w:r>
      <w:r>
        <w:t>imited</w:t>
      </w:r>
      <w:r w:rsidR="78605B5B">
        <w:t xml:space="preserve"> </w:t>
      </w:r>
      <w:r>
        <w:t xml:space="preserve">for </w:t>
      </w:r>
      <w:r w:rsidR="002A358B">
        <w:t xml:space="preserve">many </w:t>
      </w:r>
      <w:r>
        <w:t xml:space="preserve">LMICs </w:t>
      </w:r>
      <w:r w:rsidR="78605B5B">
        <w:t>due to</w:t>
      </w:r>
      <w:r w:rsidR="12DC3BCC">
        <w:t xml:space="preserve"> the increasing costs of borrowing and a significant portion of their tax revenues going towards</w:t>
      </w:r>
      <w:r w:rsidR="78605B5B">
        <w:t xml:space="preserve"> debt servicing.</w:t>
      </w:r>
      <w:r w:rsidR="4726D778">
        <w:t xml:space="preserve"> </w:t>
      </w:r>
      <w:r>
        <w:t xml:space="preserve">The World Health </w:t>
      </w:r>
      <w:r w:rsidR="00581EA7">
        <w:t>Organization</w:t>
      </w:r>
      <w:r>
        <w:t xml:space="preserve"> (</w:t>
      </w:r>
      <w:r w:rsidR="5EF0D168">
        <w:t>WHO</w:t>
      </w:r>
      <w:r>
        <w:t>)</w:t>
      </w:r>
      <w:r w:rsidR="5EF0D168">
        <w:t xml:space="preserve"> estimate</w:t>
      </w:r>
      <w:r w:rsidR="0719ECFD">
        <w:t>s</w:t>
      </w:r>
      <w:r w:rsidR="5EF0D168">
        <w:t xml:space="preserve"> </w:t>
      </w:r>
      <w:r w:rsidR="76637C3A">
        <w:t>from 2019</w:t>
      </w:r>
      <w:r w:rsidR="5EF0D168">
        <w:t xml:space="preserve"> indicated that an additional $3</w:t>
      </w:r>
      <w:r w:rsidR="34E0F8AC">
        <w:t>2</w:t>
      </w:r>
      <w:r w:rsidR="5EF0D168">
        <w:t xml:space="preserve"> investment per </w:t>
      </w:r>
      <w:r w:rsidR="4CE0D798">
        <w:t>capita</w:t>
      </w:r>
      <w:r w:rsidR="5EF0D168">
        <w:t xml:space="preserve"> would be needed on average to strengthen primary health care and expand coverage </w:t>
      </w:r>
      <w:r w:rsidR="007069EA">
        <w:t>of</w:t>
      </w:r>
      <w:r w:rsidR="5EF0D168">
        <w:t xml:space="preserve"> </w:t>
      </w:r>
      <w:r w:rsidR="657DD745">
        <w:t xml:space="preserve">140 </w:t>
      </w:r>
      <w:r w:rsidR="007069EA">
        <w:t xml:space="preserve">critical UHC </w:t>
      </w:r>
      <w:r w:rsidR="657DD745">
        <w:t xml:space="preserve">interventions in </w:t>
      </w:r>
      <w:r w:rsidR="007069EA">
        <w:t xml:space="preserve">all LMICs </w:t>
      </w:r>
      <w:r w:rsidR="206DA4D4">
        <w:t>between 2020 and 2030</w:t>
      </w:r>
      <w:r w:rsidR="001B43F5">
        <w:t>:</w:t>
      </w:r>
      <w:r w:rsidR="4982DA35">
        <w:t xml:space="preserve"> however, of the 67 countries analyzed, </w:t>
      </w:r>
      <w:r w:rsidR="7074B216">
        <w:t xml:space="preserve">25 would face a financing gap in a “business-as-usual" </w:t>
      </w:r>
      <w:r w:rsidR="15C596BC">
        <w:t xml:space="preserve">funding </w:t>
      </w:r>
      <w:r w:rsidR="7074B216">
        <w:t>scenario</w:t>
      </w:r>
      <w:r w:rsidR="0626EAE5">
        <w:t xml:space="preserve"> </w:t>
      </w:r>
      <w:r w:rsidR="0626EAE5" w:rsidRPr="1D31DDF3">
        <w:rPr>
          <w:i/>
          <w:iCs/>
        </w:rPr>
        <w:t>(3)</w:t>
      </w:r>
      <w:r w:rsidR="7074B216">
        <w:t xml:space="preserve">. </w:t>
      </w:r>
    </w:p>
    <w:p w14:paraId="3E2715EC" w14:textId="77777777" w:rsidR="00774530" w:rsidRDefault="6B69349D" w:rsidP="00774530">
      <w:pPr>
        <w:jc w:val="both"/>
      </w:pPr>
      <w:r>
        <w:t>While spending on health as a share of GDP increased, on average</w:t>
      </w:r>
      <w:r w:rsidR="001B43F5">
        <w:t xml:space="preserve"> globally</w:t>
      </w:r>
      <w:r w:rsidR="7F95FF77">
        <w:t xml:space="preserve"> between 2000 and 2019</w:t>
      </w:r>
      <w:r>
        <w:t xml:space="preserve">, </w:t>
      </w:r>
      <w:r w:rsidR="3C423FF5">
        <w:t xml:space="preserve">in recent years </w:t>
      </w:r>
      <w:r w:rsidR="00F11405">
        <w:t xml:space="preserve">this trend has reversed on average for </w:t>
      </w:r>
      <w:r w:rsidR="3C423FF5">
        <w:t>low- and middle-income countries</w:t>
      </w:r>
      <w:r w:rsidR="7BAEB8BF">
        <w:t xml:space="preserve"> </w:t>
      </w:r>
      <w:r w:rsidR="7BAEB8BF" w:rsidRPr="1D31DDF3">
        <w:rPr>
          <w:i/>
          <w:iCs/>
        </w:rPr>
        <w:t>(1)</w:t>
      </w:r>
      <w:r w:rsidR="3C423FF5">
        <w:t xml:space="preserve">. </w:t>
      </w:r>
      <w:r w:rsidR="00754EB3">
        <w:t xml:space="preserve">Progress </w:t>
      </w:r>
      <w:r w:rsidR="35C4FF08">
        <w:t xml:space="preserve">made </w:t>
      </w:r>
    </w:p>
    <w:p w14:paraId="76FDE9AE" w14:textId="77777777" w:rsidR="00774530" w:rsidRDefault="00774530" w:rsidP="1D31DDF3"/>
    <w:p w14:paraId="1CB2D3E0" w14:textId="7C80DF28" w:rsidR="002B7904" w:rsidRDefault="35C4FF08" w:rsidP="00774530">
      <w:pPr>
        <w:jc w:val="both"/>
      </w:pPr>
      <w:r>
        <w:t xml:space="preserve">in UHC service coverage since 2000 has </w:t>
      </w:r>
      <w:r w:rsidR="00754EB3">
        <w:t xml:space="preserve">also </w:t>
      </w:r>
      <w:r>
        <w:t>sta</w:t>
      </w:r>
      <w:r w:rsidR="4F673B76">
        <w:t xml:space="preserve">gnated </w:t>
      </w:r>
      <w:r w:rsidR="0B00731B" w:rsidRPr="1D31DDF3">
        <w:rPr>
          <w:i/>
          <w:iCs/>
        </w:rPr>
        <w:t>(4)</w:t>
      </w:r>
      <w:r w:rsidR="00754EB3">
        <w:t xml:space="preserve">. </w:t>
      </w:r>
      <w:r w:rsidR="1EBD14BB">
        <w:t xml:space="preserve"> </w:t>
      </w:r>
      <w:r w:rsidR="00F11405">
        <w:t xml:space="preserve">There is thus </w:t>
      </w:r>
      <w:r w:rsidR="00754EB3">
        <w:t xml:space="preserve">an urgent and growing need for many LMICs to </w:t>
      </w:r>
      <w:r w:rsidR="668E89F6" w:rsidRPr="3A5CF644">
        <w:rPr>
          <w:rFonts w:ascii="Calibri" w:eastAsia="Calibri" w:hAnsi="Calibri" w:cs="Calibri"/>
        </w:rPr>
        <w:t>prioritize</w:t>
      </w:r>
      <w:r w:rsidR="1EBD14BB" w:rsidRPr="1D31DDF3">
        <w:rPr>
          <w:rFonts w:ascii="Calibri" w:eastAsia="Calibri" w:hAnsi="Calibri" w:cs="Calibri"/>
        </w:rPr>
        <w:t xml:space="preserve"> </w:t>
      </w:r>
      <w:r w:rsidR="00754EB3">
        <w:rPr>
          <w:rFonts w:ascii="Calibri" w:eastAsia="Calibri" w:hAnsi="Calibri" w:cs="Calibri"/>
        </w:rPr>
        <w:t>funding</w:t>
      </w:r>
      <w:r w:rsidR="00DA3009">
        <w:rPr>
          <w:rFonts w:ascii="Calibri" w:eastAsia="Calibri" w:hAnsi="Calibri" w:cs="Calibri"/>
        </w:rPr>
        <w:t>, under severe resources constraints,</w:t>
      </w:r>
      <w:r w:rsidR="00754EB3">
        <w:rPr>
          <w:rFonts w:ascii="Calibri" w:eastAsia="Calibri" w:hAnsi="Calibri" w:cs="Calibri"/>
        </w:rPr>
        <w:t xml:space="preserve"> </w:t>
      </w:r>
      <w:r w:rsidR="00DA3009">
        <w:rPr>
          <w:rFonts w:ascii="Calibri" w:eastAsia="Calibri" w:hAnsi="Calibri" w:cs="Calibri"/>
        </w:rPr>
        <w:t>and define</w:t>
      </w:r>
      <w:r w:rsidR="00754EB3">
        <w:rPr>
          <w:rFonts w:ascii="Calibri" w:eastAsia="Calibri" w:hAnsi="Calibri" w:cs="Calibri"/>
        </w:rPr>
        <w:t xml:space="preserve"> </w:t>
      </w:r>
      <w:r w:rsidR="006779CD">
        <w:rPr>
          <w:rFonts w:ascii="Calibri" w:eastAsia="Calibri" w:hAnsi="Calibri" w:cs="Calibri"/>
        </w:rPr>
        <w:t>a</w:t>
      </w:r>
      <w:r w:rsidR="00C24A7E">
        <w:rPr>
          <w:rFonts w:ascii="Calibri" w:eastAsia="Calibri" w:hAnsi="Calibri" w:cs="Calibri"/>
        </w:rPr>
        <w:t xml:space="preserve"> guaranteed </w:t>
      </w:r>
      <w:r w:rsidR="006779CD">
        <w:rPr>
          <w:rFonts w:ascii="Calibri" w:eastAsia="Calibri" w:hAnsi="Calibri" w:cs="Calibri"/>
        </w:rPr>
        <w:t xml:space="preserve">package of services </w:t>
      </w:r>
      <w:r w:rsidR="00C24A7E">
        <w:rPr>
          <w:rFonts w:ascii="Calibri" w:eastAsia="Calibri" w:hAnsi="Calibri" w:cs="Calibri"/>
        </w:rPr>
        <w:t xml:space="preserve">that efficiently and </w:t>
      </w:r>
      <w:r w:rsidR="00C24A7E" w:rsidRPr="3A5CF644">
        <w:rPr>
          <w:rFonts w:ascii="Calibri" w:eastAsia="Calibri" w:hAnsi="Calibri" w:cs="Calibri"/>
        </w:rPr>
        <w:t>equit</w:t>
      </w:r>
      <w:r w:rsidR="34F3B442" w:rsidRPr="3A5CF644">
        <w:rPr>
          <w:rFonts w:ascii="Calibri" w:eastAsia="Calibri" w:hAnsi="Calibri" w:cs="Calibri"/>
        </w:rPr>
        <w:t>abl</w:t>
      </w:r>
      <w:r w:rsidR="00C24A7E" w:rsidRPr="3A5CF644">
        <w:rPr>
          <w:rFonts w:ascii="Calibri" w:eastAsia="Calibri" w:hAnsi="Calibri" w:cs="Calibri"/>
        </w:rPr>
        <w:t>y</w:t>
      </w:r>
      <w:r w:rsidR="00C24A7E">
        <w:rPr>
          <w:rFonts w:ascii="Calibri" w:eastAsia="Calibri" w:hAnsi="Calibri" w:cs="Calibri"/>
        </w:rPr>
        <w:t xml:space="preserve"> accelerate</w:t>
      </w:r>
      <w:r w:rsidR="00DA3009">
        <w:rPr>
          <w:rFonts w:ascii="Calibri" w:eastAsia="Calibri" w:hAnsi="Calibri" w:cs="Calibri"/>
        </w:rPr>
        <w:t>s</w:t>
      </w:r>
      <w:r w:rsidR="00C24A7E">
        <w:rPr>
          <w:rFonts w:ascii="Calibri" w:eastAsia="Calibri" w:hAnsi="Calibri" w:cs="Calibri"/>
        </w:rPr>
        <w:t xml:space="preserve"> the pathway to</w:t>
      </w:r>
      <w:r w:rsidR="00A20529">
        <w:rPr>
          <w:rFonts w:ascii="Calibri" w:eastAsia="Calibri" w:hAnsi="Calibri" w:cs="Calibri"/>
        </w:rPr>
        <w:t xml:space="preserve"> </w:t>
      </w:r>
      <w:r w:rsidR="00C24A7E">
        <w:rPr>
          <w:rFonts w:ascii="Calibri" w:eastAsia="Calibri" w:hAnsi="Calibri" w:cs="Calibri"/>
        </w:rPr>
        <w:t>U</w:t>
      </w:r>
      <w:r w:rsidR="1EBD14BB" w:rsidRPr="1D31DDF3">
        <w:rPr>
          <w:rFonts w:ascii="Calibri" w:eastAsia="Calibri" w:hAnsi="Calibri" w:cs="Calibri"/>
        </w:rPr>
        <w:t>HC</w:t>
      </w:r>
      <w:r w:rsidR="4F673B76">
        <w:t>.</w:t>
      </w:r>
      <w:r>
        <w:t xml:space="preserve"> </w:t>
      </w:r>
      <w:r w:rsidR="00A85C25">
        <w:t>Governments are</w:t>
      </w:r>
      <w:r w:rsidR="502973A2">
        <w:t xml:space="preserve"> increasingly </w:t>
      </w:r>
      <w:r w:rsidR="00633EED">
        <w:t>exploring</w:t>
      </w:r>
      <w:r w:rsidR="4569D577">
        <w:t xml:space="preserve"> </w:t>
      </w:r>
      <w:r w:rsidR="00C24A7E">
        <w:t xml:space="preserve">new </w:t>
      </w:r>
      <w:r w:rsidR="4569D577">
        <w:t xml:space="preserve">policy instruments </w:t>
      </w:r>
      <w:r w:rsidR="0012782E">
        <w:t xml:space="preserve">(known as </w:t>
      </w:r>
      <w:r w:rsidR="00B61642">
        <w:t>H</w:t>
      </w:r>
      <w:r w:rsidR="0012782E">
        <w:t xml:space="preserve">ealth </w:t>
      </w:r>
      <w:r w:rsidR="00B61642">
        <w:t>B</w:t>
      </w:r>
      <w:r w:rsidR="0012782E">
        <w:t xml:space="preserve">enefit </w:t>
      </w:r>
      <w:r w:rsidR="00B61642">
        <w:t>P</w:t>
      </w:r>
      <w:r w:rsidR="0012782E">
        <w:t xml:space="preserve">ackages and </w:t>
      </w:r>
      <w:r w:rsidR="00B61642">
        <w:t>H</w:t>
      </w:r>
      <w:r w:rsidR="0012782E">
        <w:t xml:space="preserve">ealth </w:t>
      </w:r>
      <w:r w:rsidR="00B61642">
        <w:t>T</w:t>
      </w:r>
      <w:r w:rsidR="0012782E">
        <w:t xml:space="preserve">echnology </w:t>
      </w:r>
      <w:r w:rsidR="00B61642">
        <w:t>A</w:t>
      </w:r>
      <w:r w:rsidR="0012782E">
        <w:t>ssessment</w:t>
      </w:r>
      <w:r w:rsidR="009A266E">
        <w:t xml:space="preserve"> (HTA)</w:t>
      </w:r>
      <w:r w:rsidR="0012782E">
        <w:t xml:space="preserve">) </w:t>
      </w:r>
      <w:r w:rsidR="00DB31B7">
        <w:t xml:space="preserve">that employ </w:t>
      </w:r>
      <w:r w:rsidR="003F2B04">
        <w:t xml:space="preserve">evidence </w:t>
      </w:r>
      <w:r w:rsidR="005223F3">
        <w:t xml:space="preserve">and </w:t>
      </w:r>
      <w:r w:rsidR="004B73F5">
        <w:t>stakeholder a</w:t>
      </w:r>
      <w:r w:rsidR="00DB31B7">
        <w:t xml:space="preserve">nd </w:t>
      </w:r>
      <w:r w:rsidR="004B73F5">
        <w:t>population engagement</w:t>
      </w:r>
      <w:r w:rsidR="00A50E15">
        <w:t xml:space="preserve"> to both inform and legitimize </w:t>
      </w:r>
      <w:r w:rsidR="00505F4D">
        <w:t xml:space="preserve">the challenging </w:t>
      </w:r>
      <w:r w:rsidR="009A266E">
        <w:t xml:space="preserve">decisions </w:t>
      </w:r>
      <w:r w:rsidR="005223F3">
        <w:t>on which health services and technologies to provide</w:t>
      </w:r>
      <w:r w:rsidR="009A266E">
        <w:t>.</w:t>
      </w:r>
    </w:p>
    <w:p w14:paraId="2BB0C546" w14:textId="28392F15" w:rsidR="6A4D713F" w:rsidRDefault="00B61642" w:rsidP="00774530">
      <w:pPr>
        <w:jc w:val="both"/>
      </w:pPr>
      <w:r>
        <w:t xml:space="preserve">Institutionalizing these policy instruments </w:t>
      </w:r>
      <w:r w:rsidR="33EB64A5">
        <w:t>in a way that is fair, transparent and maximizes value for money for their populations</w:t>
      </w:r>
      <w:r>
        <w:t xml:space="preserve"> can however be challenging in countries with limited resources</w:t>
      </w:r>
      <w:r w:rsidR="33EB64A5">
        <w:t xml:space="preserve">. </w:t>
      </w:r>
      <w:r w:rsidR="49CE0ED7">
        <w:t>Results of the</w:t>
      </w:r>
      <w:r w:rsidR="33EB64A5">
        <w:t xml:space="preserve"> </w:t>
      </w:r>
      <w:r w:rsidR="00498D65">
        <w:t>2020/2021 survey on HTA and Health Benefit Packages</w:t>
      </w:r>
      <w:r w:rsidR="316AA97B">
        <w:t xml:space="preserve"> indicate that lack of awareness and advocacy o</w:t>
      </w:r>
      <w:r w:rsidR="51254AA3">
        <w:t>f</w:t>
      </w:r>
      <w:r w:rsidR="316AA97B">
        <w:t xml:space="preserve"> the importance of evidence-informed priority</w:t>
      </w:r>
      <w:r w:rsidR="42FEE2FA">
        <w:t xml:space="preserve"> setting processes</w:t>
      </w:r>
      <w:r w:rsidR="00581EA7">
        <w:t xml:space="preserve"> and the </w:t>
      </w:r>
      <w:r w:rsidR="58EB3FFC">
        <w:t xml:space="preserve">lack of </w:t>
      </w:r>
      <w:r w:rsidR="00581EA7">
        <w:t>institutionalization</w:t>
      </w:r>
      <w:r w:rsidR="58EB3FFC">
        <w:t xml:space="preserve"> and human resource</w:t>
      </w:r>
      <w:r w:rsidR="00581EA7">
        <w:t xml:space="preserve"> capacity</w:t>
      </w:r>
      <w:r w:rsidR="58EB3FFC">
        <w:t xml:space="preserve"> to support such processes are the three main barriers to their use in health care policy decision-making</w:t>
      </w:r>
      <w:r w:rsidR="180526AD">
        <w:t xml:space="preserve"> </w:t>
      </w:r>
      <w:r w:rsidR="180526AD" w:rsidRPr="1D31DDF3">
        <w:rPr>
          <w:i/>
          <w:iCs/>
        </w:rPr>
        <w:t>(5)</w:t>
      </w:r>
      <w:r w:rsidR="58EB3FFC">
        <w:t>.</w:t>
      </w:r>
    </w:p>
    <w:p w14:paraId="0D101B6E" w14:textId="2288440D" w:rsidR="6A4D713F" w:rsidRDefault="002C28A1" w:rsidP="00774530">
      <w:pPr>
        <w:jc w:val="both"/>
      </w:pPr>
      <w:r>
        <w:t>Ex</w:t>
      </w:r>
      <w:r w:rsidR="01233C4B">
        <w:t xml:space="preserve">ternal financing for health </w:t>
      </w:r>
      <w:r w:rsidR="00146F95">
        <w:t>played a pivotal role in health outcome improvements and UHC progression</w:t>
      </w:r>
      <w:r>
        <w:t xml:space="preserve">. However, given </w:t>
      </w:r>
      <w:r w:rsidR="00E81AA9">
        <w:t xml:space="preserve">the current economic </w:t>
      </w:r>
      <w:r w:rsidR="00AA30ED">
        <w:t xml:space="preserve">climate, </w:t>
      </w:r>
      <w:r w:rsidR="009457ED">
        <w:t>there is now a focus on e</w:t>
      </w:r>
      <w:r w:rsidR="002D2EE9">
        <w:t xml:space="preserve">nsuring </w:t>
      </w:r>
      <w:r w:rsidR="0001310D">
        <w:t>l</w:t>
      </w:r>
      <w:r w:rsidR="00025DA8">
        <w:t xml:space="preserve">ong term financial sustainability </w:t>
      </w:r>
      <w:r w:rsidR="0001310D">
        <w:t xml:space="preserve">of </w:t>
      </w:r>
      <w:r w:rsidR="009457ED">
        <w:t>UHC and improving domestic funding</w:t>
      </w:r>
      <w:r w:rsidR="76802D34">
        <w:t xml:space="preserve">. </w:t>
      </w:r>
      <w:r w:rsidR="009457ED">
        <w:t>E</w:t>
      </w:r>
      <w:r w:rsidR="00C12945">
        <w:t xml:space="preserve">xternal funding </w:t>
      </w:r>
      <w:r w:rsidR="009457ED">
        <w:t xml:space="preserve">thus needs to be </w:t>
      </w:r>
      <w:r w:rsidR="007B0EF2">
        <w:t xml:space="preserve">aligned </w:t>
      </w:r>
      <w:r w:rsidR="009457ED">
        <w:t xml:space="preserve">with </w:t>
      </w:r>
      <w:r w:rsidR="007B0EF2">
        <w:t xml:space="preserve">nascent </w:t>
      </w:r>
      <w:r w:rsidR="36B7FB86">
        <w:t>domestic priority-setting processes</w:t>
      </w:r>
      <w:r w:rsidR="009457ED">
        <w:t xml:space="preserve"> to ensure </w:t>
      </w:r>
      <w:r w:rsidR="00772DE2">
        <w:t>longer-term</w:t>
      </w:r>
      <w:r w:rsidR="00C67DC0">
        <w:t xml:space="preserve"> domestic financing</w:t>
      </w:r>
      <w:r w:rsidR="36B7FB86">
        <w:t xml:space="preserve">. </w:t>
      </w:r>
      <w:r w:rsidR="009457ED">
        <w:t xml:space="preserve">There are </w:t>
      </w:r>
      <w:r w:rsidR="00334B62">
        <w:t>risk</w:t>
      </w:r>
      <w:r w:rsidR="009457ED">
        <w:t>s,</w:t>
      </w:r>
      <w:r w:rsidR="00334B62">
        <w:t xml:space="preserve"> </w:t>
      </w:r>
      <w:r w:rsidR="441FD111">
        <w:t>that</w:t>
      </w:r>
      <w:r w:rsidR="00334B62">
        <w:t xml:space="preserve"> if</w:t>
      </w:r>
      <w:r w:rsidR="005235CD">
        <w:t xml:space="preserve"> new technologies are </w:t>
      </w:r>
      <w:r w:rsidR="009457ED">
        <w:t>funded b</w:t>
      </w:r>
      <w:r w:rsidR="00334B62">
        <w:t xml:space="preserve">y global </w:t>
      </w:r>
      <w:r w:rsidR="210D18E5">
        <w:t>health initiatives</w:t>
      </w:r>
      <w:r w:rsidR="009457ED">
        <w:t>,</w:t>
      </w:r>
      <w:r w:rsidR="00334B62">
        <w:t xml:space="preserve"> </w:t>
      </w:r>
      <w:r w:rsidR="006C44ED">
        <w:t>with no domestic HTA</w:t>
      </w:r>
      <w:r w:rsidR="00A22336">
        <w:t xml:space="preserve"> examining value for money,</w:t>
      </w:r>
      <w:r w:rsidR="00191975">
        <w:t xml:space="preserve"> </w:t>
      </w:r>
      <w:r w:rsidR="00A22336">
        <w:t>long term health sector efficiency</w:t>
      </w:r>
      <w:r w:rsidR="009457ED">
        <w:t xml:space="preserve"> may be reduced</w:t>
      </w:r>
      <w:r w:rsidR="36B7FB86">
        <w:t>.</w:t>
      </w:r>
      <w:r w:rsidR="1AEB55CE">
        <w:t xml:space="preserve"> A recent analysis conducted in Ethiopia s</w:t>
      </w:r>
      <w:r w:rsidR="00B15E4F">
        <w:t xml:space="preserve">uggested </w:t>
      </w:r>
      <w:r w:rsidR="3596F096">
        <w:t>that</w:t>
      </w:r>
      <w:r w:rsidR="00B15E4F">
        <w:t xml:space="preserve"> </w:t>
      </w:r>
      <w:r w:rsidR="17456914">
        <w:t>the current fragmented priority-setting approach led to inefficient prioritization</w:t>
      </w:r>
      <w:r w:rsidR="009457ED">
        <w:t xml:space="preserve">: a </w:t>
      </w:r>
      <w:r w:rsidR="17456914">
        <w:t xml:space="preserve">failure </w:t>
      </w:r>
      <w:r w:rsidR="009457ED">
        <w:t xml:space="preserve">to arrive at a joint package funding </w:t>
      </w:r>
      <w:r w:rsidR="17456914">
        <w:t xml:space="preserve">the most cost-effective interventions </w:t>
      </w:r>
      <w:r w:rsidR="0DA53F6E">
        <w:t>may have</w:t>
      </w:r>
      <w:r w:rsidR="004C6854">
        <w:t xml:space="preserve"> </w:t>
      </w:r>
      <w:r w:rsidR="009457ED">
        <w:t xml:space="preserve">potentially </w:t>
      </w:r>
      <w:r w:rsidR="004C6854">
        <w:t xml:space="preserve">reduced the </w:t>
      </w:r>
      <w:r w:rsidR="4C14597C">
        <w:t>healthy life years</w:t>
      </w:r>
      <w:r w:rsidR="004C6854">
        <w:t xml:space="preserve"> of the population</w:t>
      </w:r>
      <w:r w:rsidR="4C14597C">
        <w:t xml:space="preserve"> by 15%</w:t>
      </w:r>
      <w:r w:rsidR="45DD0751">
        <w:t xml:space="preserve"> </w:t>
      </w:r>
      <w:r w:rsidR="45DD0751" w:rsidRPr="1D31DDF3">
        <w:rPr>
          <w:i/>
          <w:iCs/>
        </w:rPr>
        <w:t>(</w:t>
      </w:r>
      <w:r w:rsidR="321CCADD" w:rsidRPr="1D31DDF3">
        <w:rPr>
          <w:i/>
          <w:iCs/>
        </w:rPr>
        <w:t>6</w:t>
      </w:r>
      <w:r w:rsidR="45DD0751" w:rsidRPr="1D31DDF3">
        <w:rPr>
          <w:i/>
          <w:iCs/>
        </w:rPr>
        <w:t>)</w:t>
      </w:r>
      <w:r w:rsidR="4C14597C">
        <w:t xml:space="preserve">. </w:t>
      </w:r>
      <w:r w:rsidR="004F4CCB">
        <w:t xml:space="preserve">Similar examples can be found in several other countries </w:t>
      </w:r>
      <w:r w:rsidR="00B446E8">
        <w:t xml:space="preserve">with donor priorities for services diverting domestic funding from more relatively cost-effective services, such as </w:t>
      </w:r>
      <w:r w:rsidR="071AB552">
        <w:t xml:space="preserve">antenatal care and reproductive health </w:t>
      </w:r>
      <w:r w:rsidR="071AB552" w:rsidRPr="1D31DDF3">
        <w:rPr>
          <w:i/>
          <w:iCs/>
        </w:rPr>
        <w:t>(7)</w:t>
      </w:r>
      <w:r w:rsidR="071AB552">
        <w:t xml:space="preserve">. </w:t>
      </w:r>
    </w:p>
    <w:p w14:paraId="2F768DFB" w14:textId="77777777" w:rsidR="00774530" w:rsidRDefault="00774530" w:rsidP="00774530">
      <w:pPr>
        <w:pStyle w:val="Heading2"/>
        <w:jc w:val="both"/>
        <w:rPr>
          <w:b/>
          <w:bCs/>
        </w:rPr>
      </w:pPr>
    </w:p>
    <w:p w14:paraId="129ABD75" w14:textId="77987968" w:rsidR="0FC98814" w:rsidRPr="00774530" w:rsidRDefault="0FC98814" w:rsidP="00774530">
      <w:pPr>
        <w:pStyle w:val="Heading2"/>
        <w:jc w:val="both"/>
        <w:rPr>
          <w:b/>
          <w:bCs/>
        </w:rPr>
      </w:pPr>
      <w:r w:rsidRPr="00774530">
        <w:rPr>
          <w:b/>
          <w:bCs/>
        </w:rPr>
        <w:t>Policy solutions</w:t>
      </w:r>
    </w:p>
    <w:p w14:paraId="5007BCE9" w14:textId="2F48DF26" w:rsidR="2CD48B54" w:rsidRDefault="17176E9F" w:rsidP="00774530">
      <w:pPr>
        <w:jc w:val="both"/>
        <w:rPr>
          <w:b/>
        </w:rPr>
      </w:pPr>
      <w:r w:rsidRPr="1D31DDF3">
        <w:rPr>
          <w:b/>
          <w:bCs/>
        </w:rPr>
        <w:t xml:space="preserve">1. </w:t>
      </w:r>
      <w:r w:rsidR="06D7B4CE" w:rsidRPr="1072AF23">
        <w:rPr>
          <w:b/>
          <w:bCs/>
        </w:rPr>
        <w:t>Member states</w:t>
      </w:r>
      <w:r w:rsidR="00B446E8">
        <w:rPr>
          <w:b/>
          <w:bCs/>
        </w:rPr>
        <w:t xml:space="preserve"> should </w:t>
      </w:r>
      <w:r w:rsidR="00827DB7">
        <w:rPr>
          <w:b/>
          <w:bCs/>
        </w:rPr>
        <w:t xml:space="preserve">continue </w:t>
      </w:r>
      <w:r w:rsidR="06D7B4CE" w:rsidRPr="1072AF23">
        <w:rPr>
          <w:b/>
          <w:bCs/>
        </w:rPr>
        <w:t>with</w:t>
      </w:r>
      <w:r w:rsidR="00B446E8">
        <w:rPr>
          <w:b/>
          <w:bCs/>
        </w:rPr>
        <w:t xml:space="preserve"> their efforts to institutionalize policy </w:t>
      </w:r>
      <w:r w:rsidR="0A21354D" w:rsidRPr="1D31DDF3">
        <w:rPr>
          <w:b/>
          <w:bCs/>
        </w:rPr>
        <w:t>instruments</w:t>
      </w:r>
      <w:r w:rsidR="00B446E8">
        <w:rPr>
          <w:b/>
          <w:bCs/>
        </w:rPr>
        <w:t xml:space="preserve"> such as </w:t>
      </w:r>
      <w:r w:rsidR="00E24383">
        <w:rPr>
          <w:b/>
          <w:bCs/>
        </w:rPr>
        <w:t>H</w:t>
      </w:r>
      <w:r w:rsidR="00B446E8">
        <w:rPr>
          <w:b/>
          <w:bCs/>
        </w:rPr>
        <w:t xml:space="preserve">ealth </w:t>
      </w:r>
      <w:r w:rsidR="00E24383">
        <w:rPr>
          <w:b/>
          <w:bCs/>
        </w:rPr>
        <w:t>B</w:t>
      </w:r>
      <w:r w:rsidR="00B446E8">
        <w:rPr>
          <w:b/>
          <w:bCs/>
        </w:rPr>
        <w:t xml:space="preserve">enefit </w:t>
      </w:r>
      <w:r w:rsidR="00E24383">
        <w:rPr>
          <w:b/>
          <w:bCs/>
        </w:rPr>
        <w:t>P</w:t>
      </w:r>
      <w:r w:rsidR="00B446E8">
        <w:rPr>
          <w:b/>
          <w:bCs/>
        </w:rPr>
        <w:t>ackages or HTA</w:t>
      </w:r>
      <w:r w:rsidR="005D1A51">
        <w:rPr>
          <w:b/>
          <w:bCs/>
        </w:rPr>
        <w:t xml:space="preserve"> that </w:t>
      </w:r>
      <w:r w:rsidR="009F6406">
        <w:rPr>
          <w:b/>
          <w:bCs/>
        </w:rPr>
        <w:t>prioritize</w:t>
      </w:r>
      <w:r w:rsidR="005D1A51">
        <w:rPr>
          <w:b/>
          <w:bCs/>
        </w:rPr>
        <w:t xml:space="preserve"> health sector funding on services that achieve value for money and other population objectives</w:t>
      </w:r>
      <w:r w:rsidR="009F6406">
        <w:rPr>
          <w:b/>
          <w:bCs/>
        </w:rPr>
        <w:t>.</w:t>
      </w:r>
    </w:p>
    <w:p w14:paraId="778B243A" w14:textId="77777777" w:rsidR="00774530" w:rsidRDefault="008F3D44" w:rsidP="00774530">
      <w:pPr>
        <w:jc w:val="both"/>
      </w:pPr>
      <w:r>
        <w:t>Institutionalized evidence-informed priority-setting processes</w:t>
      </w:r>
      <w:r w:rsidR="00532500">
        <w:t xml:space="preserve"> </w:t>
      </w:r>
      <w:r>
        <w:t xml:space="preserve">are recognized as the foundation for funding, investment, and pricing decisions in the health sector. In the World Health Assembly Resolution WHA 67.23, member states recognize the crucial role of </w:t>
      </w:r>
      <w:r w:rsidR="002966B5">
        <w:t xml:space="preserve">HTA </w:t>
      </w:r>
      <w:r>
        <w:t xml:space="preserve">in informing priority-setting and are urged to systematically utilize “independent health intervention and technology assessment in support of universal health coverage to inform policy decisions, including priority-setting, selection, procurement supply system management and use of health interventions and/or technologies, as well as the formulation of sustainable financing benefit packages” </w:t>
      </w:r>
      <w:r w:rsidRPr="1D31DDF3">
        <w:rPr>
          <w:i/>
          <w:iCs/>
        </w:rPr>
        <w:t>(</w:t>
      </w:r>
      <w:r w:rsidR="28CC0FB1" w:rsidRPr="1072AF23">
        <w:rPr>
          <w:i/>
          <w:iCs/>
        </w:rPr>
        <w:t>8</w:t>
      </w:r>
      <w:r w:rsidRPr="1072AF23">
        <w:rPr>
          <w:i/>
          <w:iCs/>
        </w:rPr>
        <w:t>)</w:t>
      </w:r>
      <w:r>
        <w:t xml:space="preserve">. </w:t>
      </w:r>
      <w:r w:rsidR="576FA302" w:rsidRPr="1072AF23">
        <w:rPr>
          <w:rFonts w:ascii="Calibri" w:eastAsia="Calibri" w:hAnsi="Calibri" w:cs="Calibri"/>
        </w:rPr>
        <w:t xml:space="preserve">HTA is “a multidisciplinary process that uses explicit methods to determine the value of a health technology at different points in its lifecycle.” </w:t>
      </w:r>
      <w:r w:rsidR="576FA302" w:rsidRPr="1072AF23">
        <w:rPr>
          <w:rFonts w:ascii="Calibri" w:eastAsia="Calibri" w:hAnsi="Calibri" w:cs="Calibri"/>
          <w:i/>
          <w:iCs/>
        </w:rPr>
        <w:t>(9)</w:t>
      </w:r>
      <w:r w:rsidRPr="1072AF23">
        <w:rPr>
          <w:rFonts w:ascii="Calibri" w:eastAsia="Calibri" w:hAnsi="Calibri" w:cs="Calibri"/>
          <w:i/>
        </w:rPr>
        <w:t xml:space="preserve"> </w:t>
      </w:r>
      <w:r w:rsidR="00B553BB">
        <w:rPr>
          <w:rFonts w:ascii="Calibri" w:eastAsia="Calibri" w:hAnsi="Calibri" w:cs="Calibri"/>
        </w:rPr>
        <w:t>National ‘</w:t>
      </w:r>
      <w:r w:rsidR="00016952">
        <w:rPr>
          <w:rFonts w:ascii="Calibri" w:eastAsia="Calibri" w:hAnsi="Calibri" w:cs="Calibri"/>
        </w:rPr>
        <w:t>H</w:t>
      </w:r>
      <w:r w:rsidR="1FE779FD" w:rsidRPr="1D31DDF3">
        <w:rPr>
          <w:rFonts w:ascii="Calibri" w:eastAsia="Calibri" w:hAnsi="Calibri" w:cs="Calibri"/>
        </w:rPr>
        <w:t xml:space="preserve">ealth </w:t>
      </w:r>
      <w:r w:rsidR="00016952">
        <w:rPr>
          <w:rFonts w:ascii="Calibri" w:eastAsia="Calibri" w:hAnsi="Calibri" w:cs="Calibri"/>
        </w:rPr>
        <w:t>B</w:t>
      </w:r>
      <w:r w:rsidR="1FE779FD" w:rsidRPr="1D31DDF3">
        <w:rPr>
          <w:rFonts w:ascii="Calibri" w:eastAsia="Calibri" w:hAnsi="Calibri" w:cs="Calibri"/>
        </w:rPr>
        <w:t xml:space="preserve">enefit </w:t>
      </w:r>
      <w:r w:rsidR="00016952">
        <w:rPr>
          <w:rFonts w:ascii="Calibri" w:eastAsia="Calibri" w:hAnsi="Calibri" w:cs="Calibri"/>
        </w:rPr>
        <w:t>P</w:t>
      </w:r>
      <w:r w:rsidR="1FE779FD" w:rsidRPr="3A5CF644">
        <w:rPr>
          <w:rFonts w:ascii="Calibri" w:eastAsia="Calibri" w:hAnsi="Calibri" w:cs="Calibri"/>
        </w:rPr>
        <w:t>ackage</w:t>
      </w:r>
      <w:r w:rsidR="0500427B" w:rsidRPr="3A5CF644">
        <w:rPr>
          <w:rFonts w:ascii="Calibri" w:eastAsia="Calibri" w:hAnsi="Calibri" w:cs="Calibri"/>
        </w:rPr>
        <w:t>s</w:t>
      </w:r>
      <w:r w:rsidR="00B553BB" w:rsidRPr="3A5CF644">
        <w:rPr>
          <w:rFonts w:ascii="Calibri" w:eastAsia="Calibri" w:hAnsi="Calibri" w:cs="Calibri"/>
        </w:rPr>
        <w:t>’</w:t>
      </w:r>
      <w:r w:rsidR="00B553BB">
        <w:rPr>
          <w:rFonts w:ascii="Calibri" w:eastAsia="Calibri" w:hAnsi="Calibri" w:cs="Calibri"/>
        </w:rPr>
        <w:t xml:space="preserve"> are critical to the achievement of UHC</w:t>
      </w:r>
      <w:r w:rsidR="00672F3A">
        <w:rPr>
          <w:rFonts w:ascii="Calibri" w:eastAsia="Calibri" w:hAnsi="Calibri" w:cs="Calibri"/>
        </w:rPr>
        <w:t xml:space="preserve">. They </w:t>
      </w:r>
      <w:r w:rsidR="00016952">
        <w:rPr>
          <w:rFonts w:ascii="Calibri" w:eastAsia="Calibri" w:hAnsi="Calibri" w:cs="Calibri"/>
        </w:rPr>
        <w:t>are defined as</w:t>
      </w:r>
      <w:r w:rsidR="00672F3A">
        <w:rPr>
          <w:rFonts w:ascii="Calibri" w:eastAsia="Calibri" w:hAnsi="Calibri" w:cs="Calibri"/>
        </w:rPr>
        <w:t xml:space="preserve"> </w:t>
      </w:r>
      <w:r w:rsidR="6C12BD63" w:rsidRPr="1D31DDF3">
        <w:rPr>
          <w:rFonts w:ascii="Calibri" w:eastAsia="Calibri" w:hAnsi="Calibri" w:cs="Calibri"/>
        </w:rPr>
        <w:t xml:space="preserve">“policy decisions regarding entitlements, in terms of both services and population groups, which are either funded from public revenues, or publicly mandated” </w:t>
      </w:r>
      <w:r w:rsidR="6C12BD63" w:rsidRPr="1D31DDF3">
        <w:rPr>
          <w:rFonts w:ascii="Calibri" w:eastAsia="Calibri" w:hAnsi="Calibri" w:cs="Calibri"/>
          <w:i/>
          <w:iCs/>
        </w:rPr>
        <w:t>(</w:t>
      </w:r>
      <w:r w:rsidR="1CDAAC2F" w:rsidRPr="1072AF23">
        <w:rPr>
          <w:rFonts w:ascii="Calibri" w:eastAsia="Calibri" w:hAnsi="Calibri" w:cs="Calibri"/>
          <w:i/>
          <w:iCs/>
        </w:rPr>
        <w:t>10</w:t>
      </w:r>
      <w:r w:rsidR="6C12BD63" w:rsidRPr="1072AF23">
        <w:rPr>
          <w:rFonts w:ascii="Calibri" w:eastAsia="Calibri" w:hAnsi="Calibri" w:cs="Calibri"/>
          <w:i/>
          <w:iCs/>
        </w:rPr>
        <w:t>)</w:t>
      </w:r>
      <w:r w:rsidR="6C12BD63" w:rsidRPr="1072AF23">
        <w:rPr>
          <w:rFonts w:ascii="Calibri" w:eastAsia="Calibri" w:hAnsi="Calibri" w:cs="Calibri"/>
        </w:rPr>
        <w:t xml:space="preserve">. </w:t>
      </w:r>
      <w:r w:rsidR="000D3188">
        <w:t>Institutionalization</w:t>
      </w:r>
      <w:r w:rsidR="00532500">
        <w:t xml:space="preserve"> </w:t>
      </w:r>
      <w:r w:rsidR="0C097BB7">
        <w:t>of</w:t>
      </w:r>
      <w:r w:rsidR="00532500">
        <w:t xml:space="preserve"> </w:t>
      </w:r>
      <w:r w:rsidR="000D3188">
        <w:t xml:space="preserve">HTA and </w:t>
      </w:r>
      <w:r w:rsidR="007033B2">
        <w:t>H</w:t>
      </w:r>
      <w:r w:rsidR="000D3188">
        <w:t xml:space="preserve">ealth </w:t>
      </w:r>
      <w:r w:rsidR="007033B2">
        <w:t>B</w:t>
      </w:r>
      <w:r w:rsidR="000D3188">
        <w:t xml:space="preserve">enefit </w:t>
      </w:r>
    </w:p>
    <w:p w14:paraId="1BFAE137" w14:textId="77777777" w:rsidR="00774530" w:rsidRDefault="00774530" w:rsidP="00774530">
      <w:pPr>
        <w:jc w:val="both"/>
      </w:pPr>
    </w:p>
    <w:p w14:paraId="73A31C19" w14:textId="77777777" w:rsidR="00774530" w:rsidRDefault="007033B2" w:rsidP="00774530">
      <w:pPr>
        <w:jc w:val="both"/>
        <w:rPr>
          <w:rFonts w:ascii="Calibri" w:eastAsia="Calibri" w:hAnsi="Calibri" w:cs="Calibri"/>
          <w:i/>
        </w:rPr>
      </w:pPr>
      <w:r>
        <w:t>P</w:t>
      </w:r>
      <w:r w:rsidR="000D3188">
        <w:t xml:space="preserve">ackages can be supported by ensuring </w:t>
      </w:r>
      <w:r w:rsidR="4506951E">
        <w:t>qualified human resources to improve the use of evidence-informed priority-setting for health care policy and resource allocation decisions</w:t>
      </w:r>
      <w:r w:rsidR="00B256DF">
        <w:t>. Moreover</w:t>
      </w:r>
      <w:r w:rsidR="00101A3F">
        <w:t>,</w:t>
      </w:r>
      <w:r w:rsidR="00B256DF">
        <w:t xml:space="preserve"> external funders can help countries address</w:t>
      </w:r>
      <w:r w:rsidR="4506951E">
        <w:t xml:space="preserve"> practical barriers, such as the availability of </w:t>
      </w:r>
      <w:r w:rsidR="00B256DF">
        <w:t xml:space="preserve">a regular </w:t>
      </w:r>
      <w:r w:rsidR="4506951E">
        <w:t xml:space="preserve">budget, the availability of data, and the knowledge of methods required to undertake the process </w:t>
      </w:r>
      <w:r w:rsidR="4506951E" w:rsidRPr="1D31DDF3">
        <w:rPr>
          <w:i/>
          <w:iCs/>
        </w:rPr>
        <w:t>(5)</w:t>
      </w:r>
      <w:r w:rsidR="4506951E">
        <w:t>.</w:t>
      </w:r>
      <w:r w:rsidR="002216A7">
        <w:rPr>
          <w:rFonts w:ascii="Calibri" w:eastAsia="Calibri" w:hAnsi="Calibri" w:cs="Calibri"/>
        </w:rPr>
        <w:t xml:space="preserve"> </w:t>
      </w:r>
      <w:r w:rsidR="7DE2282E">
        <w:t>A</w:t>
      </w:r>
      <w:r w:rsidR="3C5CA91C">
        <w:t>n</w:t>
      </w:r>
      <w:r w:rsidR="7DE2282E">
        <w:t xml:space="preserve"> example </w:t>
      </w:r>
      <w:r w:rsidR="00101A3F">
        <w:t xml:space="preserve">of success is </w:t>
      </w:r>
      <w:r w:rsidR="7DE2282E">
        <w:t xml:space="preserve">Thailand, where HTA was introduced following increasing costs and budget constraints faced due to the implementation of the universal </w:t>
      </w:r>
      <w:r w:rsidR="5BA86B30">
        <w:t>health coverage scheme. Driven by “</w:t>
      </w:r>
      <w:r w:rsidR="42801247">
        <w:t xml:space="preserve">political will and leadership, capacity building on HTA-related disciplines, adequate resources, technical expertise, and data” </w:t>
      </w:r>
      <w:r w:rsidR="027AFBB9">
        <w:t>Thailand</w:t>
      </w:r>
      <w:r w:rsidR="42801247">
        <w:t xml:space="preserve"> has successfully institutionalized</w:t>
      </w:r>
      <w:r w:rsidR="68159798">
        <w:t xml:space="preserve"> HTA and integrated it into coverage decisions</w:t>
      </w:r>
      <w:r w:rsidR="43CB4D26">
        <w:t xml:space="preserve"> </w:t>
      </w:r>
      <w:r w:rsidR="002216A7">
        <w:t xml:space="preserve">across the health sector </w:t>
      </w:r>
      <w:r w:rsidR="43CB4D26" w:rsidRPr="1D31DDF3">
        <w:rPr>
          <w:i/>
          <w:iCs/>
        </w:rPr>
        <w:t>(11)</w:t>
      </w:r>
      <w:r w:rsidR="68159798">
        <w:t xml:space="preserve">. </w:t>
      </w:r>
    </w:p>
    <w:p w14:paraId="08395D60" w14:textId="5379D5EE" w:rsidR="5294DEC0" w:rsidRPr="00774530" w:rsidRDefault="5294DEC0" w:rsidP="00774530">
      <w:pPr>
        <w:jc w:val="both"/>
        <w:rPr>
          <w:rFonts w:ascii="Calibri" w:eastAsia="Calibri" w:hAnsi="Calibri" w:cs="Calibri"/>
          <w:i/>
        </w:rPr>
      </w:pPr>
      <w:r w:rsidRPr="1D31DDF3">
        <w:rPr>
          <w:b/>
          <w:bCs/>
        </w:rPr>
        <w:t xml:space="preserve">2. </w:t>
      </w:r>
      <w:r w:rsidR="03035C6F" w:rsidRPr="1072AF23">
        <w:rPr>
          <w:b/>
          <w:bCs/>
        </w:rPr>
        <w:t>Member states</w:t>
      </w:r>
      <w:r w:rsidR="000801B2">
        <w:rPr>
          <w:b/>
          <w:bCs/>
        </w:rPr>
        <w:t xml:space="preserve"> and</w:t>
      </w:r>
      <w:r w:rsidR="00DA3AB2">
        <w:rPr>
          <w:b/>
          <w:bCs/>
        </w:rPr>
        <w:t xml:space="preserve"> external health sector funders need to </w:t>
      </w:r>
      <w:r w:rsidR="51B40EED" w:rsidRPr="1072AF23">
        <w:rPr>
          <w:b/>
          <w:bCs/>
        </w:rPr>
        <w:t>align behind</w:t>
      </w:r>
      <w:r w:rsidR="2CD48B54" w:rsidRPr="1D31DDF3">
        <w:rPr>
          <w:b/>
          <w:bCs/>
        </w:rPr>
        <w:t xml:space="preserve"> country-led evidence-informed priority-setting </w:t>
      </w:r>
      <w:r w:rsidR="2CD48B54" w:rsidRPr="1072AF23">
        <w:rPr>
          <w:b/>
          <w:bCs/>
        </w:rPr>
        <w:t>process</w:t>
      </w:r>
      <w:r w:rsidR="79D5E420" w:rsidRPr="1072AF23">
        <w:rPr>
          <w:b/>
          <w:bCs/>
        </w:rPr>
        <w:t>es</w:t>
      </w:r>
      <w:r w:rsidR="00827DB7">
        <w:rPr>
          <w:b/>
          <w:bCs/>
        </w:rPr>
        <w:t xml:space="preserve"> as a basis to ensure sustainable financing of UHC.</w:t>
      </w:r>
      <w:r w:rsidR="2CD48B54" w:rsidRPr="1D31DDF3">
        <w:rPr>
          <w:b/>
          <w:bCs/>
        </w:rPr>
        <w:t xml:space="preserve"> </w:t>
      </w:r>
    </w:p>
    <w:p w14:paraId="4E32231E" w14:textId="3F793959" w:rsidR="320FC4DB" w:rsidRDefault="003D54A5" w:rsidP="00774530">
      <w:pPr>
        <w:jc w:val="both"/>
      </w:pPr>
      <w:r>
        <w:t xml:space="preserve">It is essential that </w:t>
      </w:r>
      <w:r w:rsidR="00A64435">
        <w:t>domestic priority</w:t>
      </w:r>
      <w:r w:rsidR="4917541D">
        <w:t>-</w:t>
      </w:r>
      <w:r w:rsidR="00A64435">
        <w:t>setting proce</w:t>
      </w:r>
      <w:r w:rsidR="00F94586">
        <w:t xml:space="preserve">sses are </w:t>
      </w:r>
      <w:r w:rsidR="004F1DA8">
        <w:t xml:space="preserve">central </w:t>
      </w:r>
      <w:r w:rsidR="00B75FA4">
        <w:t xml:space="preserve">gateways </w:t>
      </w:r>
      <w:r w:rsidR="004F1DA8">
        <w:t xml:space="preserve">to </w:t>
      </w:r>
      <w:r w:rsidR="00883CBB">
        <w:t xml:space="preserve">both </w:t>
      </w:r>
      <w:r w:rsidR="00D56417">
        <w:t xml:space="preserve">the </w:t>
      </w:r>
      <w:r w:rsidR="00883CBB">
        <w:t xml:space="preserve">introduction and coverage expansion of UHC </w:t>
      </w:r>
      <w:r w:rsidR="0054677D">
        <w:t xml:space="preserve">technologies, vaccines and medicines </w:t>
      </w:r>
      <w:r w:rsidR="00B75FA4">
        <w:t xml:space="preserve">in LMICs. </w:t>
      </w:r>
      <w:r w:rsidR="311442F7">
        <w:t>Different approaches to do this have been proposed, including the “marginal aid” approach</w:t>
      </w:r>
      <w:r w:rsidR="1ABCF0AD">
        <w:t xml:space="preserve">, which proposes that </w:t>
      </w:r>
      <w:r w:rsidR="716B589E">
        <w:t>“</w:t>
      </w:r>
      <w:r w:rsidR="716B589E" w:rsidRPr="1D31DDF3">
        <w:rPr>
          <w:rFonts w:ascii="Calibri" w:eastAsia="Calibri" w:hAnsi="Calibri" w:cs="Calibri"/>
        </w:rPr>
        <w:t xml:space="preserve">domestic financing would support the highest priority </w:t>
      </w:r>
      <w:r w:rsidR="000801B2" w:rsidRPr="1D31DDF3">
        <w:rPr>
          <w:rFonts w:ascii="Calibri" w:eastAsia="Calibri" w:hAnsi="Calibri" w:cs="Calibri"/>
        </w:rPr>
        <w:t>services,</w:t>
      </w:r>
      <w:r w:rsidR="716B589E" w:rsidRPr="1D31DDF3">
        <w:rPr>
          <w:rFonts w:ascii="Calibri" w:eastAsia="Calibri" w:hAnsi="Calibri" w:cs="Calibri"/>
        </w:rPr>
        <w:t xml:space="preserve"> and [external financing] should be used to support the next-most-cost-effective or next highest priority services</w:t>
      </w:r>
      <w:r w:rsidR="67D2AF28">
        <w:t>”</w:t>
      </w:r>
      <w:r w:rsidR="4DD00D79">
        <w:t xml:space="preserve"> </w:t>
      </w:r>
      <w:r w:rsidR="4DD00D79" w:rsidRPr="1D31DDF3">
        <w:rPr>
          <w:i/>
          <w:iCs/>
        </w:rPr>
        <w:t>(1</w:t>
      </w:r>
      <w:r w:rsidR="164A590A" w:rsidRPr="1D31DDF3">
        <w:rPr>
          <w:i/>
          <w:iCs/>
        </w:rPr>
        <w:t>2</w:t>
      </w:r>
      <w:r w:rsidR="4DD00D79" w:rsidRPr="1D31DDF3">
        <w:rPr>
          <w:i/>
          <w:iCs/>
        </w:rPr>
        <w:t>)</w:t>
      </w:r>
      <w:r w:rsidR="00D56417">
        <w:t xml:space="preserve">, based </w:t>
      </w:r>
      <w:r w:rsidR="00681831">
        <w:t xml:space="preserve">on </w:t>
      </w:r>
      <w:r w:rsidR="0007441C">
        <w:t xml:space="preserve">a jointly defined health benefit </w:t>
      </w:r>
      <w:r w:rsidR="00B26628">
        <w:t>package.</w:t>
      </w:r>
      <w:r w:rsidR="1ABCF0AD">
        <w:t xml:space="preserve"> </w:t>
      </w:r>
      <w:r w:rsidR="00B26628">
        <w:t xml:space="preserve">Alternatively, </w:t>
      </w:r>
      <w:r w:rsidR="54C25649">
        <w:t>pooling resources from different sources</w:t>
      </w:r>
      <w:r w:rsidR="00B26628">
        <w:t xml:space="preserve"> to fund </w:t>
      </w:r>
      <w:r w:rsidR="0007441C">
        <w:t xml:space="preserve">a health benefit package </w:t>
      </w:r>
      <w:r w:rsidR="54C25649">
        <w:t>under the leadership of the recipient country</w:t>
      </w:r>
      <w:r w:rsidR="00B768FB">
        <w:t xml:space="preserve">, can further </w:t>
      </w:r>
      <w:r w:rsidR="4DF02742">
        <w:t>country ownership of external resources and reduc</w:t>
      </w:r>
      <w:r w:rsidR="31995BDB">
        <w:t>e</w:t>
      </w:r>
      <w:r w:rsidR="4DF02742">
        <w:t xml:space="preserve"> fragmentation</w:t>
      </w:r>
      <w:r w:rsidR="00726AB3">
        <w:t xml:space="preserve">, which has been shown to </w:t>
      </w:r>
      <w:r w:rsidR="0ED6000E">
        <w:t>contribute to</w:t>
      </w:r>
      <w:r w:rsidR="00726AB3">
        <w:t>wards sectoral</w:t>
      </w:r>
      <w:r w:rsidR="0ED6000E">
        <w:t xml:space="preserve"> efficiency </w:t>
      </w:r>
      <w:r w:rsidR="0091197F">
        <w:t xml:space="preserve">improvement </w:t>
      </w:r>
      <w:r w:rsidR="77A659FD" w:rsidRPr="1D31DDF3">
        <w:rPr>
          <w:i/>
          <w:iCs/>
        </w:rPr>
        <w:t>(1</w:t>
      </w:r>
      <w:r w:rsidR="6CBB3BBC" w:rsidRPr="1D31DDF3">
        <w:rPr>
          <w:i/>
          <w:iCs/>
        </w:rPr>
        <w:t>3</w:t>
      </w:r>
      <w:r w:rsidR="77A659FD" w:rsidRPr="1D31DDF3">
        <w:rPr>
          <w:i/>
          <w:iCs/>
        </w:rPr>
        <w:t>)</w:t>
      </w:r>
      <w:r w:rsidR="0ED6000E">
        <w:t>.</w:t>
      </w:r>
      <w:r w:rsidR="003A592B">
        <w:t xml:space="preserve"> </w:t>
      </w:r>
      <w:r w:rsidR="00375346">
        <w:t xml:space="preserve">Other </w:t>
      </w:r>
      <w:r w:rsidR="04A68204">
        <w:t>approach</w:t>
      </w:r>
      <w:r w:rsidR="00375346">
        <w:t>es</w:t>
      </w:r>
      <w:r w:rsidR="04A68204">
        <w:t xml:space="preserve"> </w:t>
      </w:r>
      <w:r w:rsidR="00375346">
        <w:t>include on</w:t>
      </w:r>
      <w:r w:rsidR="709A1AF0">
        <w:t>e</w:t>
      </w:r>
      <w:r w:rsidR="00375346">
        <w:t xml:space="preserve"> recently adopted </w:t>
      </w:r>
      <w:r w:rsidR="04A68204">
        <w:t xml:space="preserve">in Kenya, where </w:t>
      </w:r>
      <w:r w:rsidR="74F98919">
        <w:t>the county led the process of developing a</w:t>
      </w:r>
      <w:r w:rsidR="04A68204">
        <w:t xml:space="preserve"> harmonized health benefit package</w:t>
      </w:r>
      <w:r w:rsidR="5446AB5B">
        <w:t xml:space="preserve"> in consultation with external partners and where those external partners a</w:t>
      </w:r>
      <w:r w:rsidR="29FFF257">
        <w:t xml:space="preserve">re contributing to the delivery of services included in the harmonized package </w:t>
      </w:r>
      <w:r w:rsidR="29FFF257" w:rsidRPr="1D31DDF3">
        <w:rPr>
          <w:i/>
          <w:iCs/>
        </w:rPr>
        <w:t>(1</w:t>
      </w:r>
      <w:r w:rsidR="72C8665A" w:rsidRPr="1D31DDF3">
        <w:rPr>
          <w:i/>
          <w:iCs/>
        </w:rPr>
        <w:t>4</w:t>
      </w:r>
      <w:r w:rsidR="29FFF257" w:rsidRPr="1D31DDF3">
        <w:rPr>
          <w:i/>
          <w:iCs/>
        </w:rPr>
        <w:t>)</w:t>
      </w:r>
      <w:r w:rsidR="29FFF257">
        <w:t xml:space="preserve">. </w:t>
      </w:r>
      <w:r w:rsidR="0013074C">
        <w:t>Care should be taken</w:t>
      </w:r>
      <w:r w:rsidR="46E39C23">
        <w:t>,</w:t>
      </w:r>
      <w:r w:rsidR="0013074C">
        <w:t xml:space="preserve"> however</w:t>
      </w:r>
      <w:r w:rsidR="35C5F513">
        <w:t>,</w:t>
      </w:r>
      <w:r w:rsidR="0013074C">
        <w:t xml:space="preserve"> to ensure that services</w:t>
      </w:r>
      <w:r w:rsidR="007C01C3">
        <w:t xml:space="preserve"> still </w:t>
      </w:r>
      <w:r w:rsidR="0013074C">
        <w:t>reach key or marginalized populations</w:t>
      </w:r>
      <w:r w:rsidR="001054CB">
        <w:t>, as part of the alignment</w:t>
      </w:r>
      <w:r w:rsidR="007C01C3">
        <w:t xml:space="preserve"> </w:t>
      </w:r>
      <w:r w:rsidR="001054CB">
        <w:t>process.</w:t>
      </w:r>
    </w:p>
    <w:p w14:paraId="29E16520" w14:textId="77777777" w:rsidR="00774530" w:rsidRDefault="00774530" w:rsidP="00774530">
      <w:pPr>
        <w:jc w:val="both"/>
      </w:pPr>
    </w:p>
    <w:p w14:paraId="5DF1ED6F" w14:textId="79231B62" w:rsidR="00440346" w:rsidRPr="00774530" w:rsidRDefault="00440346" w:rsidP="00774530">
      <w:pPr>
        <w:pStyle w:val="Heading2"/>
        <w:jc w:val="both"/>
        <w:rPr>
          <w:b/>
          <w:bCs/>
        </w:rPr>
      </w:pPr>
      <w:r w:rsidRPr="00774530">
        <w:rPr>
          <w:b/>
          <w:bCs/>
        </w:rPr>
        <w:t>Specific recommendations for FfD4</w:t>
      </w:r>
    </w:p>
    <w:p w14:paraId="531E48DD" w14:textId="6E590D51" w:rsidR="129015EA" w:rsidRDefault="129015EA" w:rsidP="00774530">
      <w:pPr>
        <w:pStyle w:val="ListParagraph"/>
        <w:numPr>
          <w:ilvl w:val="0"/>
          <w:numId w:val="2"/>
        </w:numPr>
        <w:jc w:val="both"/>
      </w:pPr>
      <w:r>
        <w:t xml:space="preserve">Countries should </w:t>
      </w:r>
      <w:r w:rsidR="000801B2">
        <w:t xml:space="preserve">continue to invest in and </w:t>
      </w:r>
      <w:r>
        <w:t xml:space="preserve">be supported to establish the necessary systems and processes to conduct </w:t>
      </w:r>
      <w:r w:rsidR="2867F075">
        <w:t xml:space="preserve">legitimate </w:t>
      </w:r>
      <w:r>
        <w:t>evidence-informed priority-setting</w:t>
      </w:r>
      <w:r w:rsidR="2EDC97A5">
        <w:t xml:space="preserve">. Health </w:t>
      </w:r>
      <w:r w:rsidR="19708ED0">
        <w:t>b</w:t>
      </w:r>
      <w:r w:rsidR="2EDC97A5">
        <w:t xml:space="preserve">enefit </w:t>
      </w:r>
      <w:r w:rsidR="0DE404F3">
        <w:t>p</w:t>
      </w:r>
      <w:r w:rsidR="2EDC97A5">
        <w:t xml:space="preserve">ackages and </w:t>
      </w:r>
      <w:r>
        <w:t xml:space="preserve">health technology assessment </w:t>
      </w:r>
      <w:r w:rsidR="75C9C7EB">
        <w:t xml:space="preserve">are two recommended approaches for </w:t>
      </w:r>
      <w:r>
        <w:t xml:space="preserve">decisions on </w:t>
      </w:r>
      <w:r w:rsidR="0402B2A5">
        <w:t>which</w:t>
      </w:r>
      <w:r>
        <w:t xml:space="preserve"> services</w:t>
      </w:r>
      <w:r w:rsidR="0402B2A5">
        <w:t xml:space="preserve"> and technologies should be publicly funded</w:t>
      </w:r>
      <w:r>
        <w:t xml:space="preserve">. </w:t>
      </w:r>
    </w:p>
    <w:p w14:paraId="3604FAF3" w14:textId="67409FAA" w:rsidR="3A5CF644" w:rsidRPr="00774530" w:rsidRDefault="78134652" w:rsidP="007745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In line with the Lusaka agenda</w:t>
      </w:r>
      <w:r w:rsidR="2BD6F7DC">
        <w:t xml:space="preserve"> </w:t>
      </w:r>
      <w:r w:rsidR="2BD6F7DC" w:rsidRPr="00774530">
        <w:rPr>
          <w:i/>
          <w:iCs/>
        </w:rPr>
        <w:t>(1</w:t>
      </w:r>
      <w:r w:rsidR="24D7BA78" w:rsidRPr="00774530">
        <w:rPr>
          <w:i/>
          <w:iCs/>
        </w:rPr>
        <w:t>5</w:t>
      </w:r>
      <w:r w:rsidR="2BD6F7DC" w:rsidRPr="00774530">
        <w:rPr>
          <w:i/>
          <w:iCs/>
        </w:rPr>
        <w:t>)</w:t>
      </w:r>
      <w:r>
        <w:t>, priority-setting process</w:t>
      </w:r>
      <w:r w:rsidR="73746879">
        <w:t>es</w:t>
      </w:r>
      <w:r>
        <w:t xml:space="preserve"> for health should be the basis for </w:t>
      </w:r>
      <w:r w:rsidR="596AAC37">
        <w:t xml:space="preserve">funding specific health services and technologies and plan </w:t>
      </w:r>
      <w:r w:rsidR="0013074C">
        <w:t>coordinated i</w:t>
      </w:r>
      <w:r>
        <w:t xml:space="preserve">nvestments </w:t>
      </w:r>
      <w:r w:rsidR="0013074C">
        <w:t>to achieve UHC</w:t>
      </w:r>
      <w:r>
        <w:t xml:space="preserve">. Global health initiatives and other external financing sources </w:t>
      </w:r>
      <w:r w:rsidR="0013074C">
        <w:t xml:space="preserve">should </w:t>
      </w:r>
      <w:r>
        <w:t xml:space="preserve">align </w:t>
      </w:r>
      <w:r w:rsidR="2321298C">
        <w:t xml:space="preserve">both the content of their investment and </w:t>
      </w:r>
      <w:r w:rsidR="2137D2DC">
        <w:t xml:space="preserve">funding </w:t>
      </w:r>
      <w:r w:rsidR="2321298C">
        <w:t>processes with locally determined packages of guaranteed services</w:t>
      </w:r>
      <w:r>
        <w:t xml:space="preserve">. </w:t>
      </w:r>
    </w:p>
    <w:p w14:paraId="3AC343BC" w14:textId="5D5E86ED" w:rsidR="3A5CF644" w:rsidRDefault="3A5CF644" w:rsidP="00774530">
      <w:pPr>
        <w:jc w:val="both"/>
        <w:rPr>
          <w:b/>
          <w:bCs/>
        </w:rPr>
      </w:pPr>
    </w:p>
    <w:p w14:paraId="233F75E0" w14:textId="204F831F" w:rsidR="3A5CF644" w:rsidRDefault="3A5CF644" w:rsidP="00774530">
      <w:pPr>
        <w:jc w:val="both"/>
        <w:rPr>
          <w:b/>
          <w:bCs/>
        </w:rPr>
      </w:pPr>
    </w:p>
    <w:p w14:paraId="497AE921" w14:textId="0976A02D" w:rsidR="3A5CF644" w:rsidRDefault="3A5CF644" w:rsidP="00774530">
      <w:pPr>
        <w:jc w:val="both"/>
        <w:rPr>
          <w:b/>
          <w:bCs/>
        </w:rPr>
      </w:pPr>
    </w:p>
    <w:p w14:paraId="4EBD64BA" w14:textId="7485AECB" w:rsidR="44178659" w:rsidRDefault="44178659" w:rsidP="00774530">
      <w:pPr>
        <w:jc w:val="both"/>
        <w:rPr>
          <w:b/>
          <w:bCs/>
        </w:rPr>
      </w:pPr>
    </w:p>
    <w:p w14:paraId="1C7DA1E6" w14:textId="4B417D90" w:rsidR="594C9CB6" w:rsidRPr="00774530" w:rsidRDefault="594C9CB6" w:rsidP="00774530">
      <w:pPr>
        <w:pStyle w:val="Heading2"/>
        <w:rPr>
          <w:b/>
          <w:bCs/>
        </w:rPr>
      </w:pPr>
      <w:r w:rsidRPr="00774530">
        <w:rPr>
          <w:b/>
          <w:bCs/>
        </w:rPr>
        <w:t>References</w:t>
      </w:r>
    </w:p>
    <w:p w14:paraId="35F5671F" w14:textId="713B98C4" w:rsidR="594C9CB6" w:rsidRDefault="594C9CB6" w:rsidP="00774530">
      <w:pPr>
        <w:pStyle w:val="ListParagraph"/>
        <w:numPr>
          <w:ilvl w:val="0"/>
          <w:numId w:val="3"/>
        </w:numPr>
      </w:pPr>
      <w:r>
        <w:t xml:space="preserve">Global expenditure on health: public spending on the rise? Geneva: World Health Organization; 2021. </w:t>
      </w:r>
      <w:proofErr w:type="spellStart"/>
      <w:r>
        <w:t>Licence</w:t>
      </w:r>
      <w:proofErr w:type="spellEnd"/>
      <w:r>
        <w:t>: CC BY-NC-SA 3.0 IGO.</w:t>
      </w:r>
    </w:p>
    <w:p w14:paraId="272922E6" w14:textId="4F437E67" w:rsidR="066CA1DD" w:rsidRDefault="066CA1DD" w:rsidP="00774530">
      <w:pPr>
        <w:pStyle w:val="ListParagraph"/>
        <w:numPr>
          <w:ilvl w:val="0"/>
          <w:numId w:val="3"/>
        </w:numPr>
      </w:pPr>
      <w:r>
        <w:t xml:space="preserve">Public spending on health: a closer look at global trends. Geneva: World Health Organization; 2018. </w:t>
      </w:r>
      <w:proofErr w:type="spellStart"/>
      <w:r>
        <w:t>Licence</w:t>
      </w:r>
      <w:proofErr w:type="spellEnd"/>
      <w:r>
        <w:t>: CC BY-NC-SA 3.0 IGO</w:t>
      </w:r>
    </w:p>
    <w:p w14:paraId="5F7DD4CD" w14:textId="1C842D47" w:rsidR="1DCAA74D" w:rsidRDefault="1DCAA74D" w:rsidP="00774530">
      <w:pPr>
        <w:pStyle w:val="ListParagraph"/>
        <w:numPr>
          <w:ilvl w:val="0"/>
          <w:numId w:val="3"/>
        </w:numPr>
      </w:pPr>
      <w:r>
        <w:t xml:space="preserve">Stenberg K, Hanssen O, Bertram M, Brindley C, Meshreky A, Barkley S, Tan-Torres Edejer T. Guide posts for investment in primary health care and projected resource needs in 67 low-income and middle-income countries: a modelling study. Lancet Glob Health. 2019 Nov;7(11):e1500-e1510. </w:t>
      </w:r>
      <w:proofErr w:type="spellStart"/>
      <w:r>
        <w:t>doi</w:t>
      </w:r>
      <w:proofErr w:type="spellEnd"/>
      <w:r>
        <w:t xml:space="preserve">: 10.1016/S2214-109X(19)30416-4. </w:t>
      </w:r>
      <w:proofErr w:type="spellStart"/>
      <w:r>
        <w:t>Epub</w:t>
      </w:r>
      <w:proofErr w:type="spellEnd"/>
      <w:r>
        <w:t xml:space="preserve"> 2019 Sep 26. PMID: 31564629; PMCID: PMC7024989.</w:t>
      </w:r>
    </w:p>
    <w:p w14:paraId="76352A9D" w14:textId="1E9B1DD8" w:rsidR="509FCF15" w:rsidRDefault="509FCF15" w:rsidP="00774530">
      <w:pPr>
        <w:pStyle w:val="ListParagraph"/>
        <w:numPr>
          <w:ilvl w:val="0"/>
          <w:numId w:val="3"/>
        </w:numPr>
      </w:pPr>
      <w:r>
        <w:t xml:space="preserve">Tracking universal health coverage: 2023 global monitoring report. Geneva: World Health Organization and International Bank for Reconstruction and Development / The World Bank; 2023. </w:t>
      </w:r>
      <w:proofErr w:type="spellStart"/>
      <w:r>
        <w:t>Licence</w:t>
      </w:r>
      <w:proofErr w:type="spellEnd"/>
      <w:r>
        <w:t>: CC BY-NC-SA 3.0 IGO.</w:t>
      </w:r>
    </w:p>
    <w:p w14:paraId="6B04FF06" w14:textId="435A333E" w:rsidR="0EB94EA3" w:rsidRDefault="0EB94EA3" w:rsidP="00774530">
      <w:pPr>
        <w:pStyle w:val="ListParagraph"/>
        <w:numPr>
          <w:ilvl w:val="0"/>
          <w:numId w:val="3"/>
        </w:numPr>
      </w:pPr>
      <w:r>
        <w:t>Health Technology Assessment and Health Benefit Package Survey 2020/2021. Geneva: World Health Organization</w:t>
      </w:r>
      <w:r w:rsidR="779722B3">
        <w:t>; 2024 (</w:t>
      </w:r>
      <w:hyperlink r:id="rId10">
        <w:r w:rsidR="779722B3" w:rsidRPr="1D31DDF3">
          <w:rPr>
            <w:rStyle w:val="Hyperlink"/>
          </w:rPr>
          <w:t>https://www.who.int/teams/health-financing-and-economics/economic-analysis/health-technology-assessment-and-benefit-package-design/survey-homepage,</w:t>
        </w:r>
      </w:hyperlink>
      <w:r w:rsidR="779722B3">
        <w:t xml:space="preserve"> accessed 9 October 2024)</w:t>
      </w:r>
    </w:p>
    <w:p w14:paraId="6A576FF2" w14:textId="0A8ECBD5" w:rsidR="06186684" w:rsidRDefault="06186684" w:rsidP="00774530">
      <w:pPr>
        <w:pStyle w:val="ListParagraph"/>
        <w:numPr>
          <w:ilvl w:val="0"/>
          <w:numId w:val="3"/>
        </w:numPr>
      </w:pPr>
      <w:proofErr w:type="spellStart"/>
      <w:r>
        <w:t>Memirie</w:t>
      </w:r>
      <w:proofErr w:type="spellEnd"/>
      <w:r>
        <w:t xml:space="preserve"> ST, </w:t>
      </w:r>
      <w:proofErr w:type="spellStart"/>
      <w:r w:rsidR="1D5B4C8B">
        <w:t>Demeshko</w:t>
      </w:r>
      <w:proofErr w:type="spellEnd"/>
      <w:r w:rsidR="1D5B4C8B">
        <w:t xml:space="preserve"> A, Habtemichael M, Mesele T, Haileselassie A, et al</w:t>
      </w:r>
      <w:r>
        <w:t>. A new compact for financing health services in Ethiopia. Center for Global Development; 20</w:t>
      </w:r>
      <w:r w:rsidR="5E640097">
        <w:t>24</w:t>
      </w:r>
      <w:r>
        <w:t xml:space="preserve"> </w:t>
      </w:r>
      <w:r w:rsidR="303C5C73">
        <w:t>(</w:t>
      </w:r>
      <w:hyperlink r:id="rId11">
        <w:r w:rsidR="3E752FFF" w:rsidRPr="1D31DDF3">
          <w:rPr>
            <w:rStyle w:val="Hyperlink"/>
          </w:rPr>
          <w:t>https://www.cgdev.org/publication/new-compact-financing-health-services-ethiopia-case-study</w:t>
        </w:r>
        <w:r w:rsidR="0D14399A" w:rsidRPr="1D31DDF3">
          <w:rPr>
            <w:rStyle w:val="Hyperlink"/>
          </w:rPr>
          <w:t>,</w:t>
        </w:r>
      </w:hyperlink>
      <w:r w:rsidR="0D14399A">
        <w:t xml:space="preserve"> accessed 9 October 2024)</w:t>
      </w:r>
    </w:p>
    <w:p w14:paraId="4B566F4E" w14:textId="7C158547" w:rsidR="2132FC90" w:rsidRDefault="2132FC90" w:rsidP="00774530">
      <w:pPr>
        <w:pStyle w:val="ListParagraph"/>
        <w:numPr>
          <w:ilvl w:val="0"/>
          <w:numId w:val="3"/>
        </w:numPr>
      </w:pPr>
      <w:proofErr w:type="spellStart"/>
      <w:r w:rsidRPr="1D31DDF3">
        <w:t>Schmets</w:t>
      </w:r>
      <w:proofErr w:type="spellEnd"/>
      <w:r w:rsidRPr="1D31DDF3">
        <w:t xml:space="preserve"> G, Rajan D, </w:t>
      </w:r>
      <w:proofErr w:type="spellStart"/>
      <w:r w:rsidRPr="1D31DDF3">
        <w:t>Kadandale</w:t>
      </w:r>
      <w:proofErr w:type="spellEnd"/>
      <w:r w:rsidRPr="1D31DDF3">
        <w:t xml:space="preserve"> S, editors. Strategizing national health in the 21st century: a handbook. Geneva: World Health Organization; 2016.</w:t>
      </w:r>
    </w:p>
    <w:p w14:paraId="077D26ED" w14:textId="776C15F8" w:rsidR="27485B4A" w:rsidRDefault="3218F24E" w:rsidP="00774530">
      <w:pPr>
        <w:pStyle w:val="ListParagraph"/>
        <w:numPr>
          <w:ilvl w:val="0"/>
          <w:numId w:val="3"/>
        </w:numPr>
      </w:pPr>
      <w:r>
        <w:t xml:space="preserve">Resolution WHA67.23. WHO. In: Sixty-seventh World Health Assembly, Geneva, 19–24 May 2014. Resolutions and decisions, annexes. Geneva: World Health Organization; 2014 (https://apps.who.int/gb/ebwha/pdf_files/WHA67-REC1/A67_2014_REC1-en.pdf#page=73, accessed 9 October 2024) </w:t>
      </w:r>
    </w:p>
    <w:p w14:paraId="7AF26570" w14:textId="5766DB1A" w:rsidR="2D07A0D3" w:rsidRDefault="2D07A0D3" w:rsidP="00774530">
      <w:pPr>
        <w:numPr>
          <w:ilvl w:val="0"/>
          <w:numId w:val="3"/>
        </w:numPr>
      </w:pPr>
      <w:r w:rsidRPr="1D31DDF3">
        <w:t>HTA Glossary [website].</w:t>
      </w:r>
      <w:r w:rsidR="4243D7CF" w:rsidRPr="1D31DDF3">
        <w:t xml:space="preserve"> Health Technology Assessment</w:t>
      </w:r>
      <w:r w:rsidRPr="1D31DDF3">
        <w:t xml:space="preserve"> </w:t>
      </w:r>
      <w:r w:rsidR="1D3C5BF9" w:rsidRPr="1D31DDF3">
        <w:t>(</w:t>
      </w:r>
      <w:hyperlink r:id="rId12">
        <w:r w:rsidRPr="1D31DDF3">
          <w:rPr>
            <w:rStyle w:val="Hyperlink"/>
          </w:rPr>
          <w:t>https://htaglossary.net/health-technology-assessment</w:t>
        </w:r>
        <w:r w:rsidR="34C734B7" w:rsidRPr="1D31DDF3">
          <w:rPr>
            <w:rStyle w:val="Hyperlink"/>
          </w:rPr>
          <w:t>,</w:t>
        </w:r>
      </w:hyperlink>
      <w:r w:rsidRPr="1D31DDF3">
        <w:t xml:space="preserve"> accessed 9 October 2024</w:t>
      </w:r>
      <w:r w:rsidR="16BDF08F" w:rsidRPr="1D31DDF3">
        <w:t>)</w:t>
      </w:r>
    </w:p>
    <w:p w14:paraId="79249CD8" w14:textId="645AC185" w:rsidR="523D5FE0" w:rsidRDefault="34D31EF7" w:rsidP="00774530">
      <w:pPr>
        <w:numPr>
          <w:ilvl w:val="0"/>
          <w:numId w:val="3"/>
        </w:numPr>
      </w:pPr>
      <w:r>
        <w:t xml:space="preserve">Benefit design: the perspective from health financing policy. Geneva: World Health Organization; 2022 (Health Financing Policy Brief, No. 8). </w:t>
      </w:r>
      <w:proofErr w:type="spellStart"/>
      <w:r>
        <w:t>Licence</w:t>
      </w:r>
      <w:proofErr w:type="spellEnd"/>
      <w:r>
        <w:t xml:space="preserve">: CC BY-NC-SA 3.0 IGO. </w:t>
      </w:r>
    </w:p>
    <w:p w14:paraId="4BE3EFDB" w14:textId="476FF7EE" w:rsidR="523D5FE0" w:rsidRDefault="523D5FE0" w:rsidP="00774530">
      <w:pPr>
        <w:pStyle w:val="ListParagraph"/>
        <w:numPr>
          <w:ilvl w:val="0"/>
          <w:numId w:val="3"/>
        </w:numPr>
      </w:pPr>
      <w:proofErr w:type="spellStart"/>
      <w:r w:rsidRPr="1D31DDF3">
        <w:t>Teerawattananon</w:t>
      </w:r>
      <w:proofErr w:type="spellEnd"/>
      <w:r w:rsidRPr="1D31DDF3">
        <w:t xml:space="preserve"> Y, </w:t>
      </w:r>
      <w:proofErr w:type="spellStart"/>
      <w:r w:rsidRPr="1D31DDF3">
        <w:t>Tantivess</w:t>
      </w:r>
      <w:proofErr w:type="spellEnd"/>
      <w:r w:rsidRPr="1D31DDF3">
        <w:t xml:space="preserve"> S, </w:t>
      </w:r>
      <w:proofErr w:type="spellStart"/>
      <w:r w:rsidRPr="1D31DDF3">
        <w:t>Yothasamut</w:t>
      </w:r>
      <w:proofErr w:type="spellEnd"/>
      <w:r w:rsidRPr="1D31DDF3">
        <w:t xml:space="preserve"> J, Kingkaew P, </w:t>
      </w:r>
      <w:proofErr w:type="spellStart"/>
      <w:r w:rsidRPr="1D31DDF3">
        <w:t>Chootipongchaivat</w:t>
      </w:r>
      <w:proofErr w:type="spellEnd"/>
      <w:r w:rsidRPr="1D31DDF3">
        <w:t xml:space="preserve"> S, </w:t>
      </w:r>
      <w:proofErr w:type="spellStart"/>
      <w:r w:rsidRPr="1D31DDF3">
        <w:t>Tritasavit</w:t>
      </w:r>
      <w:proofErr w:type="spellEnd"/>
      <w:r w:rsidRPr="1D31DDF3">
        <w:t xml:space="preserve"> N. Health technology assessment in Thailand: Institutionalization and contribution to healthcare decision making – A review of literature. Int J Technol Assess Health Care. 2016;32(2):80-87.</w:t>
      </w:r>
      <w:r w:rsidR="1B54296C" w:rsidRPr="1D31DDF3">
        <w:t xml:space="preserve"> DOI: </w:t>
      </w:r>
      <w:hyperlink r:id="rId13">
        <w:r w:rsidR="1B54296C" w:rsidRPr="1D31DDF3">
          <w:rPr>
            <w:rStyle w:val="Hyperlink"/>
          </w:rPr>
          <w:t>https://doi.org/10.1017/S0266462319000321</w:t>
        </w:r>
      </w:hyperlink>
      <w:r w:rsidR="1B54296C" w:rsidRPr="1D31DDF3">
        <w:t xml:space="preserve"> </w:t>
      </w:r>
    </w:p>
    <w:p w14:paraId="32D40D4F" w14:textId="77777777" w:rsidR="00774530" w:rsidRDefault="00774530" w:rsidP="00774530"/>
    <w:p w14:paraId="11DA49E2" w14:textId="77777777" w:rsidR="00774530" w:rsidRDefault="00774530" w:rsidP="00774530"/>
    <w:p w14:paraId="08DEB1CD" w14:textId="77777777" w:rsidR="00774530" w:rsidRDefault="00774530" w:rsidP="00774530"/>
    <w:p w14:paraId="5C367EBD" w14:textId="77777777" w:rsidR="00774530" w:rsidRDefault="00774530" w:rsidP="00774530"/>
    <w:p w14:paraId="0A04DACB" w14:textId="451A029A" w:rsidR="19592A12" w:rsidRDefault="19592A12" w:rsidP="00774530">
      <w:pPr>
        <w:pStyle w:val="ListParagraph"/>
        <w:numPr>
          <w:ilvl w:val="0"/>
          <w:numId w:val="3"/>
        </w:numPr>
      </w:pPr>
      <w:r w:rsidRPr="1D31DDF3">
        <w:t>Drake T, Regan L, Baker P. Reimagining Global Health Financing: How Refocusing Health Aid at the Margin Could Strengthen Health Systems and Futureproof Aid Financial Flows. Center for Global Development; 2023</w:t>
      </w:r>
      <w:r w:rsidR="42D5CB61" w:rsidRPr="1D31DDF3">
        <w:t xml:space="preserve"> (</w:t>
      </w:r>
      <w:hyperlink r:id="rId14">
        <w:r w:rsidR="42D5CB61" w:rsidRPr="1D31DDF3">
          <w:rPr>
            <w:rStyle w:val="Hyperlink"/>
          </w:rPr>
          <w:t>https://www.cgdev.org/publication/reimagining-global-health-financing-how-refocusing-health-aid-margin-could-strengthen</w:t>
        </w:r>
      </w:hyperlink>
      <w:r w:rsidR="42D5CB61" w:rsidRPr="1D31DDF3">
        <w:t>, accessed 9 Octobe</w:t>
      </w:r>
      <w:r w:rsidR="60699C34" w:rsidRPr="1D31DDF3">
        <w:t>r 2024)</w:t>
      </w:r>
      <w:r w:rsidRPr="1D31DDF3">
        <w:t xml:space="preserve"> </w:t>
      </w:r>
    </w:p>
    <w:p w14:paraId="017AE2D8" w14:textId="26BB4BD5" w:rsidR="62612CAD" w:rsidRDefault="62612CAD" w:rsidP="00774530">
      <w:pPr>
        <w:pStyle w:val="ListParagraph"/>
        <w:numPr>
          <w:ilvl w:val="0"/>
          <w:numId w:val="3"/>
        </w:numPr>
      </w:pPr>
      <w:proofErr w:type="spellStart"/>
      <w:r w:rsidRPr="1D31DDF3">
        <w:t>Isabekova</w:t>
      </w:r>
      <w:proofErr w:type="spellEnd"/>
      <w:r w:rsidRPr="1D31DDF3">
        <w:t xml:space="preserve"> G, Pleines H. Integrating development aid into social policy: Lessons on cooperation and its challenges learned from the example of health care in Kyrgyzstan. Soc Policy Adm. 2021; 55: 1082–1097. </w:t>
      </w:r>
      <w:hyperlink r:id="rId15">
        <w:r w:rsidRPr="1D31DDF3">
          <w:rPr>
            <w:rStyle w:val="Hyperlink"/>
          </w:rPr>
          <w:t>https://doi.org/10.1111/spol.12669</w:t>
        </w:r>
      </w:hyperlink>
      <w:r w:rsidRPr="1D31DDF3">
        <w:t xml:space="preserve"> </w:t>
      </w:r>
    </w:p>
    <w:p w14:paraId="45E99A31" w14:textId="4EFDF5A7" w:rsidR="6158764A" w:rsidRDefault="6158764A" w:rsidP="00774530">
      <w:pPr>
        <w:pStyle w:val="ListParagraph"/>
        <w:numPr>
          <w:ilvl w:val="0"/>
          <w:numId w:val="3"/>
        </w:numPr>
      </w:pPr>
      <w:r w:rsidRPr="1D31DDF3">
        <w:t xml:space="preserve">Chi Y, Regan L. The Journey to Universal Health Coverage: How Kenya Managed the Inclusion of Disease </w:t>
      </w:r>
      <w:proofErr w:type="spellStart"/>
      <w:r w:rsidRPr="1D31DDF3">
        <w:t>Programmes</w:t>
      </w:r>
      <w:proofErr w:type="spellEnd"/>
      <w:r w:rsidRPr="1D31DDF3">
        <w:t xml:space="preserve"> in its Health Benefits Package; 2021 (</w:t>
      </w:r>
      <w:hyperlink r:id="rId16">
        <w:r w:rsidR="78B4F188" w:rsidRPr="1D31DDF3">
          <w:rPr>
            <w:rStyle w:val="Hyperlink"/>
          </w:rPr>
          <w:t>https://www.cgdev.org/publication/journey-universal-health-coverage</w:t>
        </w:r>
      </w:hyperlink>
      <w:r w:rsidR="78B4F188" w:rsidRPr="1D31DDF3">
        <w:t>, accessed 9 October 2024)</w:t>
      </w:r>
    </w:p>
    <w:p w14:paraId="22969D30" w14:textId="5F81B154" w:rsidR="78DB8CB3" w:rsidRDefault="78DB8CB3" w:rsidP="00774530">
      <w:pPr>
        <w:pStyle w:val="ListParagraph"/>
        <w:numPr>
          <w:ilvl w:val="0"/>
          <w:numId w:val="3"/>
        </w:numPr>
      </w:pPr>
      <w:r w:rsidRPr="1D31DDF3">
        <w:t>The Lusaka Agenda: Conclusions of the Future of Global Health Initiatives Process</w:t>
      </w:r>
      <w:r w:rsidR="199DF709" w:rsidRPr="1D31DDF3">
        <w:t>.</w:t>
      </w:r>
      <w:r w:rsidRPr="1D31DDF3">
        <w:t xml:space="preserve"> </w:t>
      </w:r>
      <w:r w:rsidR="393AB0EB" w:rsidRPr="1D31DDF3">
        <w:t>Future of Global Health Initiatives</w:t>
      </w:r>
      <w:r w:rsidR="26ABF3FD" w:rsidRPr="1D31DDF3">
        <w:t>; 2023</w:t>
      </w:r>
      <w:r w:rsidR="393AB0EB" w:rsidRPr="1D31DDF3">
        <w:t xml:space="preserve"> (</w:t>
      </w:r>
      <w:hyperlink r:id="rId17">
        <w:r w:rsidR="23C5BBEF" w:rsidRPr="1D31DDF3">
          <w:rPr>
            <w:rStyle w:val="Hyperlink"/>
          </w:rPr>
          <w:t>https://futureofghis.org/final-outputs/lusaka-agenda/</w:t>
        </w:r>
      </w:hyperlink>
      <w:r w:rsidR="23C5BBEF" w:rsidRPr="1D31DDF3">
        <w:t>, accessed 9 October 2024)</w:t>
      </w:r>
    </w:p>
    <w:sectPr w:rsidR="78DB8CB3" w:rsidSect="00774530">
      <w:headerReference w:type="default" r:id="rId1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30347" w14:textId="77777777" w:rsidR="00774530" w:rsidRDefault="00774530" w:rsidP="00774530">
      <w:pPr>
        <w:spacing w:after="0" w:line="240" w:lineRule="auto"/>
      </w:pPr>
      <w:r>
        <w:separator/>
      </w:r>
    </w:p>
  </w:endnote>
  <w:endnote w:type="continuationSeparator" w:id="0">
    <w:p w14:paraId="36974EF8" w14:textId="77777777" w:rsidR="00774530" w:rsidRDefault="00774530" w:rsidP="0077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A6D88" w14:textId="77777777" w:rsidR="00774530" w:rsidRDefault="00774530" w:rsidP="00774530">
      <w:pPr>
        <w:spacing w:after="0" w:line="240" w:lineRule="auto"/>
      </w:pPr>
      <w:r>
        <w:separator/>
      </w:r>
    </w:p>
  </w:footnote>
  <w:footnote w:type="continuationSeparator" w:id="0">
    <w:p w14:paraId="4C159825" w14:textId="77777777" w:rsidR="00774530" w:rsidRDefault="00774530" w:rsidP="0077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F602" w14:textId="04781D97" w:rsidR="00774530" w:rsidRDefault="00774530" w:rsidP="00774530">
    <w:pPr>
      <w:pStyle w:val="Header"/>
      <w:ind w:left="-720"/>
    </w:pPr>
    <w:r>
      <w:rPr>
        <w:caps/>
        <w:noProof/>
        <w:sz w:val="18"/>
      </w:rPr>
      <w:drawing>
        <wp:inline distT="0" distB="0" distL="0" distR="0" wp14:anchorId="0F13D35E" wp14:editId="06A088C1">
          <wp:extent cx="1787237" cy="563012"/>
          <wp:effectExtent l="0" t="0" r="3810" b="8890"/>
          <wp:docPr id="18032530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82859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321" cy="57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A0A"/>
    <w:multiLevelType w:val="hybridMultilevel"/>
    <w:tmpl w:val="D17E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6BC2"/>
    <w:multiLevelType w:val="hybridMultilevel"/>
    <w:tmpl w:val="411E6C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68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A3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20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4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2A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43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42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62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7A55"/>
    <w:multiLevelType w:val="hybridMultilevel"/>
    <w:tmpl w:val="E2E2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DA48F"/>
    <w:multiLevelType w:val="hybridMultilevel"/>
    <w:tmpl w:val="AC025B20"/>
    <w:lvl w:ilvl="0" w:tplc="6EB482B4">
      <w:start w:val="1"/>
      <w:numFmt w:val="decimal"/>
      <w:lvlText w:val="%1."/>
      <w:lvlJc w:val="left"/>
      <w:pPr>
        <w:ind w:left="720" w:hanging="360"/>
      </w:pPr>
    </w:lvl>
    <w:lvl w:ilvl="1" w:tplc="CACA2648">
      <w:start w:val="1"/>
      <w:numFmt w:val="lowerLetter"/>
      <w:lvlText w:val="%2."/>
      <w:lvlJc w:val="left"/>
      <w:pPr>
        <w:ind w:left="1440" w:hanging="360"/>
      </w:pPr>
    </w:lvl>
    <w:lvl w:ilvl="2" w:tplc="1592CFDC">
      <w:start w:val="1"/>
      <w:numFmt w:val="lowerRoman"/>
      <w:lvlText w:val="%3."/>
      <w:lvlJc w:val="right"/>
      <w:pPr>
        <w:ind w:left="2160" w:hanging="180"/>
      </w:pPr>
    </w:lvl>
    <w:lvl w:ilvl="3" w:tplc="CFCC3E44">
      <w:start w:val="1"/>
      <w:numFmt w:val="decimal"/>
      <w:lvlText w:val="%4."/>
      <w:lvlJc w:val="left"/>
      <w:pPr>
        <w:ind w:left="2880" w:hanging="360"/>
      </w:pPr>
    </w:lvl>
    <w:lvl w:ilvl="4" w:tplc="4A261080">
      <w:start w:val="1"/>
      <w:numFmt w:val="lowerLetter"/>
      <w:lvlText w:val="%5."/>
      <w:lvlJc w:val="left"/>
      <w:pPr>
        <w:ind w:left="3600" w:hanging="360"/>
      </w:pPr>
    </w:lvl>
    <w:lvl w:ilvl="5" w:tplc="614E679A">
      <w:start w:val="1"/>
      <w:numFmt w:val="lowerRoman"/>
      <w:lvlText w:val="%6."/>
      <w:lvlJc w:val="right"/>
      <w:pPr>
        <w:ind w:left="4320" w:hanging="180"/>
      </w:pPr>
    </w:lvl>
    <w:lvl w:ilvl="6" w:tplc="D65AF1A2">
      <w:start w:val="1"/>
      <w:numFmt w:val="decimal"/>
      <w:lvlText w:val="%7."/>
      <w:lvlJc w:val="left"/>
      <w:pPr>
        <w:ind w:left="5040" w:hanging="360"/>
      </w:pPr>
    </w:lvl>
    <w:lvl w:ilvl="7" w:tplc="5A3C4918">
      <w:start w:val="1"/>
      <w:numFmt w:val="lowerLetter"/>
      <w:lvlText w:val="%8."/>
      <w:lvlJc w:val="left"/>
      <w:pPr>
        <w:ind w:left="5760" w:hanging="360"/>
      </w:pPr>
    </w:lvl>
    <w:lvl w:ilvl="8" w:tplc="A4A85D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92AC4"/>
    <w:multiLevelType w:val="hybridMultilevel"/>
    <w:tmpl w:val="E078EAFE"/>
    <w:lvl w:ilvl="0" w:tplc="8FC62226">
      <w:start w:val="1"/>
      <w:numFmt w:val="decimal"/>
      <w:lvlText w:val="%1."/>
      <w:lvlJc w:val="left"/>
      <w:pPr>
        <w:ind w:left="720" w:hanging="360"/>
      </w:pPr>
    </w:lvl>
    <w:lvl w:ilvl="1" w:tplc="55A28D76">
      <w:start w:val="1"/>
      <w:numFmt w:val="lowerLetter"/>
      <w:lvlText w:val="%2."/>
      <w:lvlJc w:val="left"/>
      <w:pPr>
        <w:ind w:left="1440" w:hanging="360"/>
      </w:pPr>
    </w:lvl>
    <w:lvl w:ilvl="2" w:tplc="59E0683E">
      <w:start w:val="1"/>
      <w:numFmt w:val="lowerRoman"/>
      <w:lvlText w:val="%3."/>
      <w:lvlJc w:val="right"/>
      <w:pPr>
        <w:ind w:left="2160" w:hanging="180"/>
      </w:pPr>
    </w:lvl>
    <w:lvl w:ilvl="3" w:tplc="9D1CD1E8">
      <w:start w:val="1"/>
      <w:numFmt w:val="decimal"/>
      <w:lvlText w:val="%4."/>
      <w:lvlJc w:val="left"/>
      <w:pPr>
        <w:ind w:left="2880" w:hanging="360"/>
      </w:pPr>
    </w:lvl>
    <w:lvl w:ilvl="4" w:tplc="52D62D6E">
      <w:start w:val="1"/>
      <w:numFmt w:val="lowerLetter"/>
      <w:lvlText w:val="%5."/>
      <w:lvlJc w:val="left"/>
      <w:pPr>
        <w:ind w:left="3600" w:hanging="360"/>
      </w:pPr>
    </w:lvl>
    <w:lvl w:ilvl="5" w:tplc="205E0A7C">
      <w:start w:val="1"/>
      <w:numFmt w:val="lowerRoman"/>
      <w:lvlText w:val="%6."/>
      <w:lvlJc w:val="right"/>
      <w:pPr>
        <w:ind w:left="4320" w:hanging="180"/>
      </w:pPr>
    </w:lvl>
    <w:lvl w:ilvl="6" w:tplc="94EC871C">
      <w:start w:val="1"/>
      <w:numFmt w:val="decimal"/>
      <w:lvlText w:val="%7."/>
      <w:lvlJc w:val="left"/>
      <w:pPr>
        <w:ind w:left="5040" w:hanging="360"/>
      </w:pPr>
    </w:lvl>
    <w:lvl w:ilvl="7" w:tplc="A3C6546A">
      <w:start w:val="1"/>
      <w:numFmt w:val="lowerLetter"/>
      <w:lvlText w:val="%8."/>
      <w:lvlJc w:val="left"/>
      <w:pPr>
        <w:ind w:left="5760" w:hanging="360"/>
      </w:pPr>
    </w:lvl>
    <w:lvl w:ilvl="8" w:tplc="F698BE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C7959"/>
    <w:multiLevelType w:val="hybridMultilevel"/>
    <w:tmpl w:val="3B00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6E2E0"/>
    <w:multiLevelType w:val="hybridMultilevel"/>
    <w:tmpl w:val="FE14DD48"/>
    <w:lvl w:ilvl="0" w:tplc="97366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C3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EC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D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AE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C3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88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ED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2CAD5"/>
    <w:multiLevelType w:val="hybridMultilevel"/>
    <w:tmpl w:val="BB3A40F0"/>
    <w:lvl w:ilvl="0" w:tplc="A5AE75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FCF7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FEF4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C652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F02B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946EB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6613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A6EF5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8E4CB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BF84A5"/>
    <w:multiLevelType w:val="hybridMultilevel"/>
    <w:tmpl w:val="DFDA4248"/>
    <w:lvl w:ilvl="0" w:tplc="31F00E5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E80EA7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82209F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F6880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C683C0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4583CC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6DAB9F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6EA363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9B8EEB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315545">
    <w:abstractNumId w:val="7"/>
  </w:num>
  <w:num w:numId="2" w16cid:durableId="549000827">
    <w:abstractNumId w:val="3"/>
  </w:num>
  <w:num w:numId="3" w16cid:durableId="1347438294">
    <w:abstractNumId w:val="4"/>
  </w:num>
  <w:num w:numId="4" w16cid:durableId="784808191">
    <w:abstractNumId w:val="8"/>
  </w:num>
  <w:num w:numId="5" w16cid:durableId="1827818124">
    <w:abstractNumId w:val="6"/>
  </w:num>
  <w:num w:numId="6" w16cid:durableId="2102680507">
    <w:abstractNumId w:val="1"/>
  </w:num>
  <w:num w:numId="7" w16cid:durableId="62216265">
    <w:abstractNumId w:val="2"/>
  </w:num>
  <w:num w:numId="8" w16cid:durableId="1239632934">
    <w:abstractNumId w:val="0"/>
  </w:num>
  <w:num w:numId="9" w16cid:durableId="47341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03"/>
    <w:rsid w:val="0000E3B6"/>
    <w:rsid w:val="0001310D"/>
    <w:rsid w:val="00016952"/>
    <w:rsid w:val="00025DA8"/>
    <w:rsid w:val="00035CF4"/>
    <w:rsid w:val="000378A2"/>
    <w:rsid w:val="00051630"/>
    <w:rsid w:val="0007441C"/>
    <w:rsid w:val="000801B2"/>
    <w:rsid w:val="00092291"/>
    <w:rsid w:val="00093486"/>
    <w:rsid w:val="000B7E98"/>
    <w:rsid w:val="000D3188"/>
    <w:rsid w:val="00101822"/>
    <w:rsid w:val="00101975"/>
    <w:rsid w:val="00101A3F"/>
    <w:rsid w:val="001054CB"/>
    <w:rsid w:val="001152A5"/>
    <w:rsid w:val="0012782E"/>
    <w:rsid w:val="0013074C"/>
    <w:rsid w:val="00141F0C"/>
    <w:rsid w:val="00146812"/>
    <w:rsid w:val="00146F95"/>
    <w:rsid w:val="001505ED"/>
    <w:rsid w:val="00174B63"/>
    <w:rsid w:val="00191975"/>
    <w:rsid w:val="001B43F5"/>
    <w:rsid w:val="001C5339"/>
    <w:rsid w:val="001D6B5A"/>
    <w:rsid w:val="00200E3B"/>
    <w:rsid w:val="00204474"/>
    <w:rsid w:val="002216A7"/>
    <w:rsid w:val="00230902"/>
    <w:rsid w:val="00255596"/>
    <w:rsid w:val="002966B5"/>
    <w:rsid w:val="002A04CF"/>
    <w:rsid w:val="002A10DF"/>
    <w:rsid w:val="002A358B"/>
    <w:rsid w:val="002A7234"/>
    <w:rsid w:val="002B7904"/>
    <w:rsid w:val="002C28A1"/>
    <w:rsid w:val="002D2EE9"/>
    <w:rsid w:val="002F6651"/>
    <w:rsid w:val="00312B8C"/>
    <w:rsid w:val="00334B62"/>
    <w:rsid w:val="00336F0D"/>
    <w:rsid w:val="00341C14"/>
    <w:rsid w:val="00351218"/>
    <w:rsid w:val="00363BA2"/>
    <w:rsid w:val="00370CF1"/>
    <w:rsid w:val="00375346"/>
    <w:rsid w:val="00397F83"/>
    <w:rsid w:val="003A3500"/>
    <w:rsid w:val="003A592B"/>
    <w:rsid w:val="003B40D1"/>
    <w:rsid w:val="003D28AE"/>
    <w:rsid w:val="003D54A5"/>
    <w:rsid w:val="003E6F1C"/>
    <w:rsid w:val="003E7C06"/>
    <w:rsid w:val="003F2B04"/>
    <w:rsid w:val="0043485F"/>
    <w:rsid w:val="00440346"/>
    <w:rsid w:val="00471906"/>
    <w:rsid w:val="00483366"/>
    <w:rsid w:val="00496862"/>
    <w:rsid w:val="00498D65"/>
    <w:rsid w:val="004B73F5"/>
    <w:rsid w:val="004C6854"/>
    <w:rsid w:val="004E6EDF"/>
    <w:rsid w:val="004F1DA8"/>
    <w:rsid w:val="004F3EA3"/>
    <w:rsid w:val="004F4CCB"/>
    <w:rsid w:val="004F6D21"/>
    <w:rsid w:val="00505F4D"/>
    <w:rsid w:val="0051740E"/>
    <w:rsid w:val="005223F3"/>
    <w:rsid w:val="00523136"/>
    <w:rsid w:val="005235CD"/>
    <w:rsid w:val="00532381"/>
    <w:rsid w:val="00532500"/>
    <w:rsid w:val="0054677D"/>
    <w:rsid w:val="00566222"/>
    <w:rsid w:val="00581EA7"/>
    <w:rsid w:val="005958B2"/>
    <w:rsid w:val="005B024A"/>
    <w:rsid w:val="005C3C7E"/>
    <w:rsid w:val="005C675D"/>
    <w:rsid w:val="005C7B01"/>
    <w:rsid w:val="005D1A51"/>
    <w:rsid w:val="005E2989"/>
    <w:rsid w:val="005F6D9D"/>
    <w:rsid w:val="005F7CBA"/>
    <w:rsid w:val="00627B65"/>
    <w:rsid w:val="00633EED"/>
    <w:rsid w:val="00667503"/>
    <w:rsid w:val="00671030"/>
    <w:rsid w:val="00672F3A"/>
    <w:rsid w:val="006779CD"/>
    <w:rsid w:val="00681831"/>
    <w:rsid w:val="00684A9E"/>
    <w:rsid w:val="00690B75"/>
    <w:rsid w:val="0069376F"/>
    <w:rsid w:val="00697C62"/>
    <w:rsid w:val="006C2250"/>
    <w:rsid w:val="006C4318"/>
    <w:rsid w:val="006C44ED"/>
    <w:rsid w:val="006C6DFA"/>
    <w:rsid w:val="006E5597"/>
    <w:rsid w:val="006F1391"/>
    <w:rsid w:val="006F374A"/>
    <w:rsid w:val="007033B2"/>
    <w:rsid w:val="007069EA"/>
    <w:rsid w:val="00707741"/>
    <w:rsid w:val="00726AB3"/>
    <w:rsid w:val="00753EF3"/>
    <w:rsid w:val="00754EB3"/>
    <w:rsid w:val="00772DE2"/>
    <w:rsid w:val="00774530"/>
    <w:rsid w:val="00785748"/>
    <w:rsid w:val="007B0EF2"/>
    <w:rsid w:val="007B548E"/>
    <w:rsid w:val="007C01C3"/>
    <w:rsid w:val="007C7DEA"/>
    <w:rsid w:val="007E1617"/>
    <w:rsid w:val="00804DE3"/>
    <w:rsid w:val="008137D5"/>
    <w:rsid w:val="00816357"/>
    <w:rsid w:val="00827DB7"/>
    <w:rsid w:val="00842116"/>
    <w:rsid w:val="00843F8C"/>
    <w:rsid w:val="0085159F"/>
    <w:rsid w:val="00852BA0"/>
    <w:rsid w:val="00883CBB"/>
    <w:rsid w:val="008B3074"/>
    <w:rsid w:val="008B4A1F"/>
    <w:rsid w:val="008C09C1"/>
    <w:rsid w:val="008D722D"/>
    <w:rsid w:val="008F1529"/>
    <w:rsid w:val="008F3D44"/>
    <w:rsid w:val="0090646C"/>
    <w:rsid w:val="0091197F"/>
    <w:rsid w:val="009242CF"/>
    <w:rsid w:val="009405E8"/>
    <w:rsid w:val="009457ED"/>
    <w:rsid w:val="009548BF"/>
    <w:rsid w:val="009833A2"/>
    <w:rsid w:val="00992E27"/>
    <w:rsid w:val="009A266E"/>
    <w:rsid w:val="009E58DD"/>
    <w:rsid w:val="009F6406"/>
    <w:rsid w:val="00A1403F"/>
    <w:rsid w:val="00A20529"/>
    <w:rsid w:val="00A22336"/>
    <w:rsid w:val="00A23AC2"/>
    <w:rsid w:val="00A27CD9"/>
    <w:rsid w:val="00A44437"/>
    <w:rsid w:val="00A47068"/>
    <w:rsid w:val="00A50E15"/>
    <w:rsid w:val="00A64435"/>
    <w:rsid w:val="00A85C25"/>
    <w:rsid w:val="00AA30ED"/>
    <w:rsid w:val="00AA48C1"/>
    <w:rsid w:val="00AB0A96"/>
    <w:rsid w:val="00AC11EE"/>
    <w:rsid w:val="00AD5C39"/>
    <w:rsid w:val="00AF32FC"/>
    <w:rsid w:val="00B15E4F"/>
    <w:rsid w:val="00B256DF"/>
    <w:rsid w:val="00B26628"/>
    <w:rsid w:val="00B305E1"/>
    <w:rsid w:val="00B4422A"/>
    <w:rsid w:val="00B446E8"/>
    <w:rsid w:val="00B51CCB"/>
    <w:rsid w:val="00B553BB"/>
    <w:rsid w:val="00B6102F"/>
    <w:rsid w:val="00B61642"/>
    <w:rsid w:val="00B75FA4"/>
    <w:rsid w:val="00B768FB"/>
    <w:rsid w:val="00B84893"/>
    <w:rsid w:val="00B87C62"/>
    <w:rsid w:val="00BA55D3"/>
    <w:rsid w:val="00BC546B"/>
    <w:rsid w:val="00BC7872"/>
    <w:rsid w:val="00BD5825"/>
    <w:rsid w:val="00C12945"/>
    <w:rsid w:val="00C14623"/>
    <w:rsid w:val="00C17CAE"/>
    <w:rsid w:val="00C24A7E"/>
    <w:rsid w:val="00C333AC"/>
    <w:rsid w:val="00C60A99"/>
    <w:rsid w:val="00C623BA"/>
    <w:rsid w:val="00C644CD"/>
    <w:rsid w:val="00C669D2"/>
    <w:rsid w:val="00C67DC0"/>
    <w:rsid w:val="00C754A7"/>
    <w:rsid w:val="00C9610F"/>
    <w:rsid w:val="00CA530F"/>
    <w:rsid w:val="00CA6F60"/>
    <w:rsid w:val="00CC3C3B"/>
    <w:rsid w:val="00CC7F03"/>
    <w:rsid w:val="00CD317C"/>
    <w:rsid w:val="00CE1553"/>
    <w:rsid w:val="00CF4D4A"/>
    <w:rsid w:val="00D03AC7"/>
    <w:rsid w:val="00D16962"/>
    <w:rsid w:val="00D357FE"/>
    <w:rsid w:val="00D36593"/>
    <w:rsid w:val="00D56417"/>
    <w:rsid w:val="00D56C73"/>
    <w:rsid w:val="00D61179"/>
    <w:rsid w:val="00D65C31"/>
    <w:rsid w:val="00D904D5"/>
    <w:rsid w:val="00D97C4F"/>
    <w:rsid w:val="00DA3009"/>
    <w:rsid w:val="00DA30B8"/>
    <w:rsid w:val="00DA3AB2"/>
    <w:rsid w:val="00DB31B7"/>
    <w:rsid w:val="00DC210F"/>
    <w:rsid w:val="00DC7A17"/>
    <w:rsid w:val="00DD60AE"/>
    <w:rsid w:val="00DF6059"/>
    <w:rsid w:val="00DF7563"/>
    <w:rsid w:val="00E0D374"/>
    <w:rsid w:val="00E15C31"/>
    <w:rsid w:val="00E24383"/>
    <w:rsid w:val="00E24912"/>
    <w:rsid w:val="00E43D4C"/>
    <w:rsid w:val="00E54984"/>
    <w:rsid w:val="00E81AA9"/>
    <w:rsid w:val="00EA3C04"/>
    <w:rsid w:val="00EA6090"/>
    <w:rsid w:val="00EC68E7"/>
    <w:rsid w:val="00F03782"/>
    <w:rsid w:val="00F11405"/>
    <w:rsid w:val="00F17239"/>
    <w:rsid w:val="00F20072"/>
    <w:rsid w:val="00F233E7"/>
    <w:rsid w:val="00F4180E"/>
    <w:rsid w:val="00F44D98"/>
    <w:rsid w:val="00F50AD6"/>
    <w:rsid w:val="00F51515"/>
    <w:rsid w:val="00F620E4"/>
    <w:rsid w:val="00F73184"/>
    <w:rsid w:val="00F94586"/>
    <w:rsid w:val="00FC3DFB"/>
    <w:rsid w:val="00FE7D79"/>
    <w:rsid w:val="00FF1A81"/>
    <w:rsid w:val="00FF2F27"/>
    <w:rsid w:val="010DF022"/>
    <w:rsid w:val="01233C4B"/>
    <w:rsid w:val="012C2ED4"/>
    <w:rsid w:val="017C171C"/>
    <w:rsid w:val="017D6E2F"/>
    <w:rsid w:val="01E347D4"/>
    <w:rsid w:val="020643FC"/>
    <w:rsid w:val="02108B1D"/>
    <w:rsid w:val="023D7EE1"/>
    <w:rsid w:val="027AFBB9"/>
    <w:rsid w:val="0287369A"/>
    <w:rsid w:val="0294ED81"/>
    <w:rsid w:val="03035C6F"/>
    <w:rsid w:val="037732BF"/>
    <w:rsid w:val="03950BC9"/>
    <w:rsid w:val="03E5283D"/>
    <w:rsid w:val="0402B2A5"/>
    <w:rsid w:val="040F0BDD"/>
    <w:rsid w:val="0429E207"/>
    <w:rsid w:val="0438210B"/>
    <w:rsid w:val="04A68204"/>
    <w:rsid w:val="0500427B"/>
    <w:rsid w:val="0543CB88"/>
    <w:rsid w:val="05985F23"/>
    <w:rsid w:val="05DA8176"/>
    <w:rsid w:val="06186684"/>
    <w:rsid w:val="0626EAE5"/>
    <w:rsid w:val="06315F24"/>
    <w:rsid w:val="064A46E0"/>
    <w:rsid w:val="066CA1DD"/>
    <w:rsid w:val="0677C902"/>
    <w:rsid w:val="06D1FFCD"/>
    <w:rsid w:val="06D7B4CE"/>
    <w:rsid w:val="0719ECFD"/>
    <w:rsid w:val="071AB552"/>
    <w:rsid w:val="07251A39"/>
    <w:rsid w:val="0725F3E3"/>
    <w:rsid w:val="07308592"/>
    <w:rsid w:val="07520BD9"/>
    <w:rsid w:val="076C7C33"/>
    <w:rsid w:val="07C948BE"/>
    <w:rsid w:val="07E1AB3F"/>
    <w:rsid w:val="07F6B0CC"/>
    <w:rsid w:val="0821FA0F"/>
    <w:rsid w:val="085E5910"/>
    <w:rsid w:val="08756061"/>
    <w:rsid w:val="0875CB6F"/>
    <w:rsid w:val="08B50A49"/>
    <w:rsid w:val="08B578B9"/>
    <w:rsid w:val="08FE2B37"/>
    <w:rsid w:val="094B86AF"/>
    <w:rsid w:val="094DD3E1"/>
    <w:rsid w:val="09575D8D"/>
    <w:rsid w:val="09BD1030"/>
    <w:rsid w:val="0A1912D3"/>
    <w:rsid w:val="0A21354D"/>
    <w:rsid w:val="0A62F289"/>
    <w:rsid w:val="0A8300D1"/>
    <w:rsid w:val="0AC5BF2E"/>
    <w:rsid w:val="0B00731B"/>
    <w:rsid w:val="0B2987A8"/>
    <w:rsid w:val="0B5621D8"/>
    <w:rsid w:val="0B5D7CC2"/>
    <w:rsid w:val="0BAFD891"/>
    <w:rsid w:val="0BBD59A8"/>
    <w:rsid w:val="0BD554AD"/>
    <w:rsid w:val="0C097BB7"/>
    <w:rsid w:val="0C170D36"/>
    <w:rsid w:val="0C1E0A75"/>
    <w:rsid w:val="0D14399A"/>
    <w:rsid w:val="0D841290"/>
    <w:rsid w:val="0DA53F6E"/>
    <w:rsid w:val="0DC885D9"/>
    <w:rsid w:val="0DE404F3"/>
    <w:rsid w:val="0E5EED8D"/>
    <w:rsid w:val="0E6C9F62"/>
    <w:rsid w:val="0EB94EA3"/>
    <w:rsid w:val="0ECE6ACD"/>
    <w:rsid w:val="0ED6000E"/>
    <w:rsid w:val="0EE4E921"/>
    <w:rsid w:val="0F462F3E"/>
    <w:rsid w:val="0FB321AE"/>
    <w:rsid w:val="0FB9CB7F"/>
    <w:rsid w:val="0FC98814"/>
    <w:rsid w:val="105FC3E7"/>
    <w:rsid w:val="1063E758"/>
    <w:rsid w:val="107003E5"/>
    <w:rsid w:val="1072AF23"/>
    <w:rsid w:val="10906244"/>
    <w:rsid w:val="10A3440F"/>
    <w:rsid w:val="10E30726"/>
    <w:rsid w:val="10FFD55F"/>
    <w:rsid w:val="11457459"/>
    <w:rsid w:val="116026A3"/>
    <w:rsid w:val="1161B6D4"/>
    <w:rsid w:val="11B5FD1E"/>
    <w:rsid w:val="11FF462B"/>
    <w:rsid w:val="121BC792"/>
    <w:rsid w:val="121F1CED"/>
    <w:rsid w:val="128C1ED4"/>
    <w:rsid w:val="129015EA"/>
    <w:rsid w:val="12A6AB85"/>
    <w:rsid w:val="12DC3BCC"/>
    <w:rsid w:val="13D931E4"/>
    <w:rsid w:val="13E6A2F3"/>
    <w:rsid w:val="140CB9DA"/>
    <w:rsid w:val="1451A928"/>
    <w:rsid w:val="14AC343A"/>
    <w:rsid w:val="14AFEE60"/>
    <w:rsid w:val="14B37D60"/>
    <w:rsid w:val="14F440C8"/>
    <w:rsid w:val="14F5EB63"/>
    <w:rsid w:val="1561880E"/>
    <w:rsid w:val="15B0BCF8"/>
    <w:rsid w:val="15C596BC"/>
    <w:rsid w:val="15D047E2"/>
    <w:rsid w:val="164A590A"/>
    <w:rsid w:val="16A5C69B"/>
    <w:rsid w:val="16B71A53"/>
    <w:rsid w:val="16BDF08F"/>
    <w:rsid w:val="17176E9F"/>
    <w:rsid w:val="1742B531"/>
    <w:rsid w:val="17456914"/>
    <w:rsid w:val="175AFB62"/>
    <w:rsid w:val="1786AC6D"/>
    <w:rsid w:val="179EB414"/>
    <w:rsid w:val="17D0E921"/>
    <w:rsid w:val="17E37573"/>
    <w:rsid w:val="180526AD"/>
    <w:rsid w:val="1864D57F"/>
    <w:rsid w:val="1885DAAD"/>
    <w:rsid w:val="18D6D6B4"/>
    <w:rsid w:val="19592A12"/>
    <w:rsid w:val="19708ED0"/>
    <w:rsid w:val="199DF709"/>
    <w:rsid w:val="19CFF2F7"/>
    <w:rsid w:val="1A27D4E3"/>
    <w:rsid w:val="1A574A62"/>
    <w:rsid w:val="1A706792"/>
    <w:rsid w:val="1A72D9A6"/>
    <w:rsid w:val="1A7B7BBD"/>
    <w:rsid w:val="1AABEE16"/>
    <w:rsid w:val="1ABCF0AD"/>
    <w:rsid w:val="1AE5A1A9"/>
    <w:rsid w:val="1AEB55CE"/>
    <w:rsid w:val="1B54296C"/>
    <w:rsid w:val="1BAA723A"/>
    <w:rsid w:val="1BD1CC23"/>
    <w:rsid w:val="1BDAE9FF"/>
    <w:rsid w:val="1BFF7764"/>
    <w:rsid w:val="1C0B5E58"/>
    <w:rsid w:val="1C5455AC"/>
    <w:rsid w:val="1C5BDA6E"/>
    <w:rsid w:val="1CC95E10"/>
    <w:rsid w:val="1CDAAC2F"/>
    <w:rsid w:val="1D2CEA56"/>
    <w:rsid w:val="1D31DDF3"/>
    <w:rsid w:val="1D3C5BF9"/>
    <w:rsid w:val="1D40472F"/>
    <w:rsid w:val="1D5B4C8B"/>
    <w:rsid w:val="1D66C9CB"/>
    <w:rsid w:val="1D81B0BB"/>
    <w:rsid w:val="1D961022"/>
    <w:rsid w:val="1DCAA74D"/>
    <w:rsid w:val="1DDC7578"/>
    <w:rsid w:val="1E162184"/>
    <w:rsid w:val="1E6FA97B"/>
    <w:rsid w:val="1E75CBBB"/>
    <w:rsid w:val="1E8506D8"/>
    <w:rsid w:val="1E92C54F"/>
    <w:rsid w:val="1E95BAE7"/>
    <w:rsid w:val="1E9AA241"/>
    <w:rsid w:val="1EAA1525"/>
    <w:rsid w:val="1EAABFE2"/>
    <w:rsid w:val="1EB89706"/>
    <w:rsid w:val="1EBD14BB"/>
    <w:rsid w:val="1EF54C65"/>
    <w:rsid w:val="1F26B86A"/>
    <w:rsid w:val="1F2D5C68"/>
    <w:rsid w:val="1F6EA596"/>
    <w:rsid w:val="1F6FAF01"/>
    <w:rsid w:val="1F93312D"/>
    <w:rsid w:val="1FAADD59"/>
    <w:rsid w:val="1FCEC92F"/>
    <w:rsid w:val="1FE2BFF1"/>
    <w:rsid w:val="1FE779FD"/>
    <w:rsid w:val="200A460B"/>
    <w:rsid w:val="202F86EF"/>
    <w:rsid w:val="2036533B"/>
    <w:rsid w:val="206DA4D4"/>
    <w:rsid w:val="207E1EFE"/>
    <w:rsid w:val="2087E534"/>
    <w:rsid w:val="208C288F"/>
    <w:rsid w:val="209B8D61"/>
    <w:rsid w:val="20D1B74F"/>
    <w:rsid w:val="20E9D1EB"/>
    <w:rsid w:val="210D18E5"/>
    <w:rsid w:val="210E364C"/>
    <w:rsid w:val="2132FC90"/>
    <w:rsid w:val="2137D2DC"/>
    <w:rsid w:val="2163701A"/>
    <w:rsid w:val="217ADC1F"/>
    <w:rsid w:val="219D75FC"/>
    <w:rsid w:val="223A1655"/>
    <w:rsid w:val="22497B53"/>
    <w:rsid w:val="22763A5B"/>
    <w:rsid w:val="22AF91C4"/>
    <w:rsid w:val="22CB29F0"/>
    <w:rsid w:val="22CF790E"/>
    <w:rsid w:val="22FDC015"/>
    <w:rsid w:val="2313F824"/>
    <w:rsid w:val="2321298C"/>
    <w:rsid w:val="232A8839"/>
    <w:rsid w:val="233627DA"/>
    <w:rsid w:val="23BD1EFB"/>
    <w:rsid w:val="23C5BBEF"/>
    <w:rsid w:val="23D727C4"/>
    <w:rsid w:val="24212150"/>
    <w:rsid w:val="24B740A3"/>
    <w:rsid w:val="24D7BA78"/>
    <w:rsid w:val="24DA837D"/>
    <w:rsid w:val="24DF5203"/>
    <w:rsid w:val="251BD484"/>
    <w:rsid w:val="251CFB98"/>
    <w:rsid w:val="254F8A49"/>
    <w:rsid w:val="255BA3A5"/>
    <w:rsid w:val="25A55802"/>
    <w:rsid w:val="25ABDF35"/>
    <w:rsid w:val="267B0BFA"/>
    <w:rsid w:val="2688AD44"/>
    <w:rsid w:val="269AAAA3"/>
    <w:rsid w:val="26A380C0"/>
    <w:rsid w:val="26AB387C"/>
    <w:rsid w:val="26ABF3FD"/>
    <w:rsid w:val="26D23B44"/>
    <w:rsid w:val="26D7011E"/>
    <w:rsid w:val="26FF88AA"/>
    <w:rsid w:val="27485B4A"/>
    <w:rsid w:val="277864B2"/>
    <w:rsid w:val="2804B5C9"/>
    <w:rsid w:val="280A4740"/>
    <w:rsid w:val="282B36BF"/>
    <w:rsid w:val="28406254"/>
    <w:rsid w:val="2867F075"/>
    <w:rsid w:val="28C3AEA8"/>
    <w:rsid w:val="28CC0FB1"/>
    <w:rsid w:val="29089701"/>
    <w:rsid w:val="2928CE49"/>
    <w:rsid w:val="29D2F898"/>
    <w:rsid w:val="29DCDD5D"/>
    <w:rsid w:val="29FFF257"/>
    <w:rsid w:val="2A372666"/>
    <w:rsid w:val="2A436183"/>
    <w:rsid w:val="2A99DBCE"/>
    <w:rsid w:val="2AD27343"/>
    <w:rsid w:val="2B08AB7A"/>
    <w:rsid w:val="2B0D7927"/>
    <w:rsid w:val="2B4397E0"/>
    <w:rsid w:val="2BBC3D6C"/>
    <w:rsid w:val="2BD6F7DC"/>
    <w:rsid w:val="2BE046C3"/>
    <w:rsid w:val="2C0911F7"/>
    <w:rsid w:val="2C1E051B"/>
    <w:rsid w:val="2C24B24E"/>
    <w:rsid w:val="2C38BB56"/>
    <w:rsid w:val="2CD02C9E"/>
    <w:rsid w:val="2CD48B54"/>
    <w:rsid w:val="2CDBF7F8"/>
    <w:rsid w:val="2CECD504"/>
    <w:rsid w:val="2D07A0D3"/>
    <w:rsid w:val="2D213378"/>
    <w:rsid w:val="2D59BC22"/>
    <w:rsid w:val="2D79D15C"/>
    <w:rsid w:val="2D80E6CF"/>
    <w:rsid w:val="2DC40038"/>
    <w:rsid w:val="2DC768BC"/>
    <w:rsid w:val="2DF4BAEA"/>
    <w:rsid w:val="2E4D42F3"/>
    <w:rsid w:val="2EC492CE"/>
    <w:rsid w:val="2ECD3A74"/>
    <w:rsid w:val="2EDC97A5"/>
    <w:rsid w:val="2F0C1D2A"/>
    <w:rsid w:val="2F2D3AD6"/>
    <w:rsid w:val="2F9C60FA"/>
    <w:rsid w:val="2FC5D6CF"/>
    <w:rsid w:val="2FC70848"/>
    <w:rsid w:val="2FCE6DAD"/>
    <w:rsid w:val="2FD9B672"/>
    <w:rsid w:val="30013F62"/>
    <w:rsid w:val="301B72B9"/>
    <w:rsid w:val="303C5C73"/>
    <w:rsid w:val="3059BC1A"/>
    <w:rsid w:val="30755DE7"/>
    <w:rsid w:val="30797F2C"/>
    <w:rsid w:val="30B8787A"/>
    <w:rsid w:val="311442F7"/>
    <w:rsid w:val="314524A1"/>
    <w:rsid w:val="314DF565"/>
    <w:rsid w:val="31589E6D"/>
    <w:rsid w:val="316AA97B"/>
    <w:rsid w:val="31995BDB"/>
    <w:rsid w:val="319B0F75"/>
    <w:rsid w:val="31E1E420"/>
    <w:rsid w:val="31E1EE01"/>
    <w:rsid w:val="320FC4DB"/>
    <w:rsid w:val="32130D1B"/>
    <w:rsid w:val="3218F24E"/>
    <w:rsid w:val="321CCADD"/>
    <w:rsid w:val="32699FF6"/>
    <w:rsid w:val="326CC2E9"/>
    <w:rsid w:val="329B78B1"/>
    <w:rsid w:val="32A9576F"/>
    <w:rsid w:val="32BD48E0"/>
    <w:rsid w:val="331DCA64"/>
    <w:rsid w:val="335A264C"/>
    <w:rsid w:val="337F3F07"/>
    <w:rsid w:val="338C46D2"/>
    <w:rsid w:val="33BED635"/>
    <w:rsid w:val="33EB64A5"/>
    <w:rsid w:val="33F0E825"/>
    <w:rsid w:val="34557886"/>
    <w:rsid w:val="345B5369"/>
    <w:rsid w:val="34A0C3D6"/>
    <w:rsid w:val="34C734B7"/>
    <w:rsid w:val="34D31EF7"/>
    <w:rsid w:val="34E0F8AC"/>
    <w:rsid w:val="34F3B442"/>
    <w:rsid w:val="352D1AEF"/>
    <w:rsid w:val="3534DF11"/>
    <w:rsid w:val="35713D22"/>
    <w:rsid w:val="35767F8A"/>
    <w:rsid w:val="358E841A"/>
    <w:rsid w:val="3596F096"/>
    <w:rsid w:val="35B60947"/>
    <w:rsid w:val="35C4FF08"/>
    <w:rsid w:val="35C5F513"/>
    <w:rsid w:val="35FE24B1"/>
    <w:rsid w:val="35FE9EFC"/>
    <w:rsid w:val="36138A96"/>
    <w:rsid w:val="36139185"/>
    <w:rsid w:val="36A1565C"/>
    <w:rsid w:val="36AA64EA"/>
    <w:rsid w:val="36B7FB86"/>
    <w:rsid w:val="36E439DA"/>
    <w:rsid w:val="3706D536"/>
    <w:rsid w:val="3731035E"/>
    <w:rsid w:val="375A8110"/>
    <w:rsid w:val="37682CBF"/>
    <w:rsid w:val="37BCEB69"/>
    <w:rsid w:val="386395E8"/>
    <w:rsid w:val="389B5E29"/>
    <w:rsid w:val="38D2F396"/>
    <w:rsid w:val="38FE9C7E"/>
    <w:rsid w:val="393AB0EB"/>
    <w:rsid w:val="396F51C8"/>
    <w:rsid w:val="3986B490"/>
    <w:rsid w:val="399DFD06"/>
    <w:rsid w:val="39AAD6B9"/>
    <w:rsid w:val="39ACB04C"/>
    <w:rsid w:val="3A096CAE"/>
    <w:rsid w:val="3A5BA1DF"/>
    <w:rsid w:val="3A5CF644"/>
    <w:rsid w:val="3AAE5069"/>
    <w:rsid w:val="3AAE9849"/>
    <w:rsid w:val="3AD89A53"/>
    <w:rsid w:val="3BA0958F"/>
    <w:rsid w:val="3BA5A063"/>
    <w:rsid w:val="3BC6EF9C"/>
    <w:rsid w:val="3BF07D1B"/>
    <w:rsid w:val="3C0E5786"/>
    <w:rsid w:val="3C423FF5"/>
    <w:rsid w:val="3C5554A5"/>
    <w:rsid w:val="3C5CA91C"/>
    <w:rsid w:val="3C7B35B1"/>
    <w:rsid w:val="3D0ADAA5"/>
    <w:rsid w:val="3D53B804"/>
    <w:rsid w:val="3D86CBA4"/>
    <w:rsid w:val="3D9CAC97"/>
    <w:rsid w:val="3DA1040F"/>
    <w:rsid w:val="3E752FFF"/>
    <w:rsid w:val="3EA49038"/>
    <w:rsid w:val="3F34A799"/>
    <w:rsid w:val="3F3B8A6E"/>
    <w:rsid w:val="3F452631"/>
    <w:rsid w:val="406A64D3"/>
    <w:rsid w:val="40E1DB0A"/>
    <w:rsid w:val="4142A7A8"/>
    <w:rsid w:val="41C6E63A"/>
    <w:rsid w:val="4218E2AC"/>
    <w:rsid w:val="421C38A6"/>
    <w:rsid w:val="42280C37"/>
    <w:rsid w:val="4243D7CF"/>
    <w:rsid w:val="42801247"/>
    <w:rsid w:val="42AA7AA9"/>
    <w:rsid w:val="42B58283"/>
    <w:rsid w:val="42D5CB61"/>
    <w:rsid w:val="42D72ED6"/>
    <w:rsid w:val="42FEE2FA"/>
    <w:rsid w:val="432F5042"/>
    <w:rsid w:val="4337B58B"/>
    <w:rsid w:val="43386E71"/>
    <w:rsid w:val="43A1DC6E"/>
    <w:rsid w:val="43C95A79"/>
    <w:rsid w:val="43CB4D26"/>
    <w:rsid w:val="43D87FFE"/>
    <w:rsid w:val="43DA0380"/>
    <w:rsid w:val="43EE207B"/>
    <w:rsid w:val="44178659"/>
    <w:rsid w:val="441FD111"/>
    <w:rsid w:val="444BEF64"/>
    <w:rsid w:val="44A24EFC"/>
    <w:rsid w:val="44ADD929"/>
    <w:rsid w:val="44DD0546"/>
    <w:rsid w:val="4506951E"/>
    <w:rsid w:val="452F1FC5"/>
    <w:rsid w:val="4569D577"/>
    <w:rsid w:val="457B8625"/>
    <w:rsid w:val="457E972D"/>
    <w:rsid w:val="45845839"/>
    <w:rsid w:val="45AEC7A4"/>
    <w:rsid w:val="45DD0751"/>
    <w:rsid w:val="462DD696"/>
    <w:rsid w:val="46C4A166"/>
    <w:rsid w:val="46CFD8A3"/>
    <w:rsid w:val="46E39C23"/>
    <w:rsid w:val="4703C159"/>
    <w:rsid w:val="4726D778"/>
    <w:rsid w:val="472B1A0B"/>
    <w:rsid w:val="4755EF2E"/>
    <w:rsid w:val="477687B1"/>
    <w:rsid w:val="47F4D192"/>
    <w:rsid w:val="48219A19"/>
    <w:rsid w:val="485BF15B"/>
    <w:rsid w:val="48BDF0AD"/>
    <w:rsid w:val="48D87C48"/>
    <w:rsid w:val="48E99A75"/>
    <w:rsid w:val="4917541D"/>
    <w:rsid w:val="494E0297"/>
    <w:rsid w:val="49563861"/>
    <w:rsid w:val="496A737A"/>
    <w:rsid w:val="4982DA35"/>
    <w:rsid w:val="49CE0ED7"/>
    <w:rsid w:val="49ED5CEC"/>
    <w:rsid w:val="4A30640D"/>
    <w:rsid w:val="4A38B14B"/>
    <w:rsid w:val="4A4902FA"/>
    <w:rsid w:val="4A4D9C01"/>
    <w:rsid w:val="4A73D074"/>
    <w:rsid w:val="4A7A8BE9"/>
    <w:rsid w:val="4A88F013"/>
    <w:rsid w:val="4AB4CEE3"/>
    <w:rsid w:val="4AB65FE9"/>
    <w:rsid w:val="4AC36845"/>
    <w:rsid w:val="4ACE7B80"/>
    <w:rsid w:val="4B16DF31"/>
    <w:rsid w:val="4B801BB9"/>
    <w:rsid w:val="4BC1A360"/>
    <w:rsid w:val="4BDFBC30"/>
    <w:rsid w:val="4C14597C"/>
    <w:rsid w:val="4C99AA1C"/>
    <w:rsid w:val="4CB08321"/>
    <w:rsid w:val="4CB4341D"/>
    <w:rsid w:val="4CE0D798"/>
    <w:rsid w:val="4D2E10A8"/>
    <w:rsid w:val="4D3B6189"/>
    <w:rsid w:val="4D94FDB6"/>
    <w:rsid w:val="4DC42BCD"/>
    <w:rsid w:val="4DD00D79"/>
    <w:rsid w:val="4DF02742"/>
    <w:rsid w:val="4E1D1BFE"/>
    <w:rsid w:val="4E2FC829"/>
    <w:rsid w:val="4E44BFE9"/>
    <w:rsid w:val="4E9C156E"/>
    <w:rsid w:val="4EB72BA8"/>
    <w:rsid w:val="4EE030CE"/>
    <w:rsid w:val="4EE8324C"/>
    <w:rsid w:val="4F3F5D9E"/>
    <w:rsid w:val="4F4EEA55"/>
    <w:rsid w:val="4F54D71A"/>
    <w:rsid w:val="4F639E65"/>
    <w:rsid w:val="4F673B76"/>
    <w:rsid w:val="4FBB5FF4"/>
    <w:rsid w:val="4FC60758"/>
    <w:rsid w:val="502973A2"/>
    <w:rsid w:val="502A4036"/>
    <w:rsid w:val="503F4CDC"/>
    <w:rsid w:val="50417A6F"/>
    <w:rsid w:val="504E2191"/>
    <w:rsid w:val="509FCF15"/>
    <w:rsid w:val="50C1EBF5"/>
    <w:rsid w:val="50DF76AB"/>
    <w:rsid w:val="510A9976"/>
    <w:rsid w:val="51254AA3"/>
    <w:rsid w:val="516B4E0D"/>
    <w:rsid w:val="5177622B"/>
    <w:rsid w:val="51B40EED"/>
    <w:rsid w:val="51EABB05"/>
    <w:rsid w:val="521FCB30"/>
    <w:rsid w:val="523D5FE0"/>
    <w:rsid w:val="52727C51"/>
    <w:rsid w:val="5276D0AD"/>
    <w:rsid w:val="52865CD3"/>
    <w:rsid w:val="528FC571"/>
    <w:rsid w:val="5294DEC0"/>
    <w:rsid w:val="52AEE0DB"/>
    <w:rsid w:val="52E32B38"/>
    <w:rsid w:val="530BA3BE"/>
    <w:rsid w:val="531C897E"/>
    <w:rsid w:val="5332A955"/>
    <w:rsid w:val="53424A9C"/>
    <w:rsid w:val="5367E96D"/>
    <w:rsid w:val="53C2A650"/>
    <w:rsid w:val="53C67B78"/>
    <w:rsid w:val="54119484"/>
    <w:rsid w:val="543C9129"/>
    <w:rsid w:val="5446AB5B"/>
    <w:rsid w:val="54C25649"/>
    <w:rsid w:val="5559021C"/>
    <w:rsid w:val="55691681"/>
    <w:rsid w:val="5569E8B4"/>
    <w:rsid w:val="55A82684"/>
    <w:rsid w:val="55EF14B8"/>
    <w:rsid w:val="55F77E71"/>
    <w:rsid w:val="56659D3D"/>
    <w:rsid w:val="56677D9D"/>
    <w:rsid w:val="56A48929"/>
    <w:rsid w:val="56B00929"/>
    <w:rsid w:val="56BCEAD4"/>
    <w:rsid w:val="56EB8E1E"/>
    <w:rsid w:val="56F64F80"/>
    <w:rsid w:val="572AC014"/>
    <w:rsid w:val="573ABAAD"/>
    <w:rsid w:val="576FA302"/>
    <w:rsid w:val="57A9608F"/>
    <w:rsid w:val="57BDE6E6"/>
    <w:rsid w:val="57D42D49"/>
    <w:rsid w:val="57DE1054"/>
    <w:rsid w:val="581274E9"/>
    <w:rsid w:val="5824520B"/>
    <w:rsid w:val="583BB35B"/>
    <w:rsid w:val="58443381"/>
    <w:rsid w:val="58D77553"/>
    <w:rsid w:val="58EB3FFC"/>
    <w:rsid w:val="58FC2E04"/>
    <w:rsid w:val="59316205"/>
    <w:rsid w:val="594C9CB6"/>
    <w:rsid w:val="5955C2F1"/>
    <w:rsid w:val="596AAC37"/>
    <w:rsid w:val="59ACBF76"/>
    <w:rsid w:val="59DCCDCD"/>
    <w:rsid w:val="5A20E0F0"/>
    <w:rsid w:val="5A272854"/>
    <w:rsid w:val="5A527AA8"/>
    <w:rsid w:val="5AA9131C"/>
    <w:rsid w:val="5AFF2E27"/>
    <w:rsid w:val="5B01C8EF"/>
    <w:rsid w:val="5B2FADD9"/>
    <w:rsid w:val="5BA86B30"/>
    <w:rsid w:val="5BD7E61F"/>
    <w:rsid w:val="5BF000CB"/>
    <w:rsid w:val="5BF789E4"/>
    <w:rsid w:val="5C0E269A"/>
    <w:rsid w:val="5C0ED1F0"/>
    <w:rsid w:val="5C606CAE"/>
    <w:rsid w:val="5C651738"/>
    <w:rsid w:val="5C7AE1DD"/>
    <w:rsid w:val="5C8689E8"/>
    <w:rsid w:val="5CC2A297"/>
    <w:rsid w:val="5CDED0C2"/>
    <w:rsid w:val="5CEB94C3"/>
    <w:rsid w:val="5D1F80A8"/>
    <w:rsid w:val="5D31B744"/>
    <w:rsid w:val="5D5260B1"/>
    <w:rsid w:val="5D62D5B9"/>
    <w:rsid w:val="5DD02C55"/>
    <w:rsid w:val="5E034CDC"/>
    <w:rsid w:val="5E22C979"/>
    <w:rsid w:val="5E3496F2"/>
    <w:rsid w:val="5E562C6E"/>
    <w:rsid w:val="5E640097"/>
    <w:rsid w:val="5E6ABCEA"/>
    <w:rsid w:val="5E6C0BDF"/>
    <w:rsid w:val="5E8023E7"/>
    <w:rsid w:val="5E98A9DF"/>
    <w:rsid w:val="5EB49C76"/>
    <w:rsid w:val="5EF0D168"/>
    <w:rsid w:val="5F0CB8E9"/>
    <w:rsid w:val="5F5B5BCE"/>
    <w:rsid w:val="5F8A0827"/>
    <w:rsid w:val="5FA2BE8B"/>
    <w:rsid w:val="6012325C"/>
    <w:rsid w:val="6037F508"/>
    <w:rsid w:val="605A98DC"/>
    <w:rsid w:val="60699C34"/>
    <w:rsid w:val="60BC8B85"/>
    <w:rsid w:val="61294910"/>
    <w:rsid w:val="6158764A"/>
    <w:rsid w:val="61960102"/>
    <w:rsid w:val="622E1A33"/>
    <w:rsid w:val="62612CAD"/>
    <w:rsid w:val="626C2F6D"/>
    <w:rsid w:val="62704F45"/>
    <w:rsid w:val="630B62E8"/>
    <w:rsid w:val="631A6B88"/>
    <w:rsid w:val="6331322D"/>
    <w:rsid w:val="63445272"/>
    <w:rsid w:val="6358AD9C"/>
    <w:rsid w:val="6362EE02"/>
    <w:rsid w:val="638EF67D"/>
    <w:rsid w:val="6398C9AC"/>
    <w:rsid w:val="63BB1AF9"/>
    <w:rsid w:val="63DD78D6"/>
    <w:rsid w:val="641A8494"/>
    <w:rsid w:val="643C4D85"/>
    <w:rsid w:val="6466C082"/>
    <w:rsid w:val="64BE2D3E"/>
    <w:rsid w:val="6565DFCC"/>
    <w:rsid w:val="6571C8EF"/>
    <w:rsid w:val="657DD745"/>
    <w:rsid w:val="65A8AFF0"/>
    <w:rsid w:val="65D60ED3"/>
    <w:rsid w:val="65F82F9D"/>
    <w:rsid w:val="66307983"/>
    <w:rsid w:val="668E89F6"/>
    <w:rsid w:val="67D2AF28"/>
    <w:rsid w:val="67D66BD0"/>
    <w:rsid w:val="67E87611"/>
    <w:rsid w:val="68159798"/>
    <w:rsid w:val="683960EE"/>
    <w:rsid w:val="687D6668"/>
    <w:rsid w:val="68B6F4AA"/>
    <w:rsid w:val="68F87F21"/>
    <w:rsid w:val="6929C100"/>
    <w:rsid w:val="6955C3CD"/>
    <w:rsid w:val="698F28EF"/>
    <w:rsid w:val="6A414D36"/>
    <w:rsid w:val="6A4D713F"/>
    <w:rsid w:val="6A57164F"/>
    <w:rsid w:val="6A905B0F"/>
    <w:rsid w:val="6A93E6C5"/>
    <w:rsid w:val="6B03939D"/>
    <w:rsid w:val="6B29EFB3"/>
    <w:rsid w:val="6B69349D"/>
    <w:rsid w:val="6B69590E"/>
    <w:rsid w:val="6B7C66A6"/>
    <w:rsid w:val="6BA3FCB2"/>
    <w:rsid w:val="6BE3D459"/>
    <w:rsid w:val="6C12BD63"/>
    <w:rsid w:val="6C517209"/>
    <w:rsid w:val="6C6A1B29"/>
    <w:rsid w:val="6C9C639D"/>
    <w:rsid w:val="6CAA8C08"/>
    <w:rsid w:val="6CB24873"/>
    <w:rsid w:val="6CBB3BBC"/>
    <w:rsid w:val="6CE8B9DD"/>
    <w:rsid w:val="6D1989FA"/>
    <w:rsid w:val="6D219699"/>
    <w:rsid w:val="6D2F2710"/>
    <w:rsid w:val="6D33ED7D"/>
    <w:rsid w:val="6D4088EA"/>
    <w:rsid w:val="6D486D0B"/>
    <w:rsid w:val="6D637EA0"/>
    <w:rsid w:val="6D8FA3B6"/>
    <w:rsid w:val="6DC8CC56"/>
    <w:rsid w:val="6DF11E8F"/>
    <w:rsid w:val="6EB3041A"/>
    <w:rsid w:val="6ED16009"/>
    <w:rsid w:val="6ED9EB35"/>
    <w:rsid w:val="6EE84367"/>
    <w:rsid w:val="6F62AEA9"/>
    <w:rsid w:val="6FBB2DCF"/>
    <w:rsid w:val="6FECE5FF"/>
    <w:rsid w:val="70310BB1"/>
    <w:rsid w:val="70369DF9"/>
    <w:rsid w:val="70418182"/>
    <w:rsid w:val="7074B216"/>
    <w:rsid w:val="707841DD"/>
    <w:rsid w:val="707FA88C"/>
    <w:rsid w:val="709A1AF0"/>
    <w:rsid w:val="70A6BE66"/>
    <w:rsid w:val="70E570D7"/>
    <w:rsid w:val="71415BD2"/>
    <w:rsid w:val="715B98D8"/>
    <w:rsid w:val="715EAF8D"/>
    <w:rsid w:val="7165B608"/>
    <w:rsid w:val="716B589E"/>
    <w:rsid w:val="72842927"/>
    <w:rsid w:val="7297839D"/>
    <w:rsid w:val="729C8D7E"/>
    <w:rsid w:val="72C8665A"/>
    <w:rsid w:val="72CD63BD"/>
    <w:rsid w:val="72E790AE"/>
    <w:rsid w:val="72EF7F42"/>
    <w:rsid w:val="72F69313"/>
    <w:rsid w:val="73746879"/>
    <w:rsid w:val="73C4EB4E"/>
    <w:rsid w:val="73F39E65"/>
    <w:rsid w:val="7405C617"/>
    <w:rsid w:val="7448CF98"/>
    <w:rsid w:val="74C8A967"/>
    <w:rsid w:val="74D8CB31"/>
    <w:rsid w:val="74F98919"/>
    <w:rsid w:val="7508AA5E"/>
    <w:rsid w:val="75AB2A8C"/>
    <w:rsid w:val="75C9C7EB"/>
    <w:rsid w:val="76526FA8"/>
    <w:rsid w:val="7657F429"/>
    <w:rsid w:val="76637C3A"/>
    <w:rsid w:val="76802D34"/>
    <w:rsid w:val="775FAFD7"/>
    <w:rsid w:val="779722B3"/>
    <w:rsid w:val="77A659FD"/>
    <w:rsid w:val="77BCAD1D"/>
    <w:rsid w:val="780642A1"/>
    <w:rsid w:val="78134652"/>
    <w:rsid w:val="78605B5B"/>
    <w:rsid w:val="78AA90B9"/>
    <w:rsid w:val="78ABB7A1"/>
    <w:rsid w:val="78B4F188"/>
    <w:rsid w:val="78DB8CB3"/>
    <w:rsid w:val="79049C68"/>
    <w:rsid w:val="7911E5E1"/>
    <w:rsid w:val="7940B897"/>
    <w:rsid w:val="796F40C4"/>
    <w:rsid w:val="797169BF"/>
    <w:rsid w:val="798281E0"/>
    <w:rsid w:val="79BA795B"/>
    <w:rsid w:val="79C95383"/>
    <w:rsid w:val="79D5E420"/>
    <w:rsid w:val="7A0CE485"/>
    <w:rsid w:val="7A19F6A8"/>
    <w:rsid w:val="7A4875C6"/>
    <w:rsid w:val="7A6182A3"/>
    <w:rsid w:val="7A7C65DD"/>
    <w:rsid w:val="7AAABE00"/>
    <w:rsid w:val="7AABB64D"/>
    <w:rsid w:val="7ABB0F91"/>
    <w:rsid w:val="7ACD78E9"/>
    <w:rsid w:val="7AED62BA"/>
    <w:rsid w:val="7B901540"/>
    <w:rsid w:val="7BAEB8BF"/>
    <w:rsid w:val="7BD45D40"/>
    <w:rsid w:val="7C12FD6E"/>
    <w:rsid w:val="7C36D390"/>
    <w:rsid w:val="7C908562"/>
    <w:rsid w:val="7CB765F3"/>
    <w:rsid w:val="7D5FF524"/>
    <w:rsid w:val="7D8084BD"/>
    <w:rsid w:val="7D828A3D"/>
    <w:rsid w:val="7DE2282E"/>
    <w:rsid w:val="7E57434B"/>
    <w:rsid w:val="7EB71ECC"/>
    <w:rsid w:val="7EBCCAD2"/>
    <w:rsid w:val="7EF6D7CF"/>
    <w:rsid w:val="7F6A64F6"/>
    <w:rsid w:val="7F6DE803"/>
    <w:rsid w:val="7F80A6C7"/>
    <w:rsid w:val="7F8A6660"/>
    <w:rsid w:val="7F95F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BF52"/>
  <w15:chartTrackingRefBased/>
  <w15:docId w15:val="{8495E7BA-0507-184E-AB7C-B871A591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E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B0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23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30"/>
  </w:style>
  <w:style w:type="paragraph" w:styleId="Footer">
    <w:name w:val="footer"/>
    <w:basedOn w:val="Normal"/>
    <w:link w:val="FooterChar"/>
    <w:uiPriority w:val="99"/>
    <w:unhideWhenUsed/>
    <w:rsid w:val="00774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30"/>
  </w:style>
  <w:style w:type="paragraph" w:styleId="IntenseQuote">
    <w:name w:val="Intense Quote"/>
    <w:basedOn w:val="Normal"/>
    <w:next w:val="Normal"/>
    <w:link w:val="IntenseQuoteChar"/>
    <w:uiPriority w:val="30"/>
    <w:qFormat/>
    <w:rsid w:val="007745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530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7745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17/S026646231900032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taglossary.net/health-technology-assessment," TargetMode="External"/><Relationship Id="rId17" Type="http://schemas.openxmlformats.org/officeDocument/2006/relationships/hyperlink" Target="https://futureofghis.org/final-outputs/lusaka-agend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gdev.org/publication/journey-universal-health-coverag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gdev.org/publication/new-compact-financing-health-services-ethiopia-case-study,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111/spol.12669" TargetMode="External"/><Relationship Id="rId10" Type="http://schemas.openxmlformats.org/officeDocument/2006/relationships/hyperlink" Target="https://www.who.int/teams/health-financing-and-economics/economic-analysis/health-technology-assessment-and-benefit-package-design/survey-homepage,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gdev.org/publication/reimagining-global-health-financing-how-refocusing-health-aid-margin-could-strength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Country xmlns="b49397d3-2376-4764-9b34-2b39112a7e40" xsi:nil="true"/>
    <Feedback xmlns="b49397d3-2376-4764-9b34-2b39112a7e40" xsi:nil="true"/>
    <MH_x002f_MDN xmlns="b49397d3-2376-4764-9b34-2b39112a7e40" xsi:nil="true"/>
    <Topic xmlns="b49397d3-2376-4764-9b34-2b39112a7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C1828-DE0C-41E4-ADB0-BBA76E2E6BE8}">
  <ds:schemaRefs>
    <ds:schemaRef ds:uri="http://schemas.microsoft.com/office/2006/metadata/properties"/>
    <ds:schemaRef ds:uri="http://schemas.microsoft.com/office/infopath/2007/PartnerControls"/>
    <ds:schemaRef ds:uri="cd58de6b-fae5-4d84-abb7-c84a81ef7a4f"/>
    <ds:schemaRef ds:uri="4092f928-1ad5-438d-a5ee-cd465cf7cda7"/>
  </ds:schemaRefs>
</ds:datastoreItem>
</file>

<file path=customXml/itemProps2.xml><?xml version="1.0" encoding="utf-8"?>
<ds:datastoreItem xmlns:ds="http://schemas.openxmlformats.org/officeDocument/2006/customXml" ds:itemID="{F5000380-3442-4940-A4DD-82DBFB6C6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5923E-AEF6-42A5-AEBF-BC04DABCF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2030</Words>
  <Characters>11571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Links>
    <vt:vector size="48" baseType="variant">
      <vt:variant>
        <vt:i4>4784220</vt:i4>
      </vt:variant>
      <vt:variant>
        <vt:i4>21</vt:i4>
      </vt:variant>
      <vt:variant>
        <vt:i4>0</vt:i4>
      </vt:variant>
      <vt:variant>
        <vt:i4>5</vt:i4>
      </vt:variant>
      <vt:variant>
        <vt:lpwstr>https://futureofghis.org/final-outputs/lusaka-agenda/</vt:lpwstr>
      </vt:variant>
      <vt:variant>
        <vt:lpwstr/>
      </vt:variant>
      <vt:variant>
        <vt:i4>6619249</vt:i4>
      </vt:variant>
      <vt:variant>
        <vt:i4>18</vt:i4>
      </vt:variant>
      <vt:variant>
        <vt:i4>0</vt:i4>
      </vt:variant>
      <vt:variant>
        <vt:i4>5</vt:i4>
      </vt:variant>
      <vt:variant>
        <vt:lpwstr>https://www.cgdev.org/publication/journey-universal-health-coverage</vt:lpwstr>
      </vt:variant>
      <vt:variant>
        <vt:lpwstr/>
      </vt:variant>
      <vt:variant>
        <vt:i4>3145836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https://doi.org/10.1111/spol.12669</vt:lpwstr>
      </vt:variant>
      <vt:variant>
        <vt:lpwstr/>
      </vt:variant>
      <vt:variant>
        <vt:i4>7077923</vt:i4>
      </vt:variant>
      <vt:variant>
        <vt:i4>12</vt:i4>
      </vt:variant>
      <vt:variant>
        <vt:i4>0</vt:i4>
      </vt:variant>
      <vt:variant>
        <vt:i4>5</vt:i4>
      </vt:variant>
      <vt:variant>
        <vt:lpwstr>https://www.cgdev.org/publication/reimagining-global-health-financing-how-refocusing-health-aid-margin-could-strengthen</vt:lpwstr>
      </vt:variant>
      <vt:variant>
        <vt:lpwstr/>
      </vt:variant>
      <vt:variant>
        <vt:i4>1114133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https://doi.org/10.1017/S0266462319000321</vt:lpwstr>
      </vt:variant>
      <vt:variant>
        <vt:lpwstr/>
      </vt:variant>
      <vt:variant>
        <vt:i4>4325394</vt:i4>
      </vt:variant>
      <vt:variant>
        <vt:i4>6</vt:i4>
      </vt:variant>
      <vt:variant>
        <vt:i4>0</vt:i4>
      </vt:variant>
      <vt:variant>
        <vt:i4>5</vt:i4>
      </vt:variant>
      <vt:variant>
        <vt:lpwstr>https://htaglossary.net/health-technology-assessment,</vt:lpwstr>
      </vt:variant>
      <vt:variant>
        <vt:lpwstr/>
      </vt:variant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https://www.cgdev.org/publication/new-compact-financing-health-services-ethiopia-case-study,</vt:lpwstr>
      </vt:variant>
      <vt:variant>
        <vt:lpwstr/>
      </vt:variant>
      <vt:variant>
        <vt:i4>3211385</vt:i4>
      </vt:variant>
      <vt:variant>
        <vt:i4>0</vt:i4>
      </vt:variant>
      <vt:variant>
        <vt:i4>0</vt:i4>
      </vt:variant>
      <vt:variant>
        <vt:i4>5</vt:i4>
      </vt:variant>
      <vt:variant>
        <vt:lpwstr>https://www.who.int/teams/health-financing-and-economics/economic-analysis/health-technology-assessment-and-benefit-package-design/survey-homepage,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SITRUK, Altea</dc:creator>
  <cp:keywords/>
  <dc:description/>
  <cp:lastModifiedBy>GYAMERAH, Vida Ewurama</cp:lastModifiedBy>
  <cp:revision>2</cp:revision>
  <dcterms:created xsi:type="dcterms:W3CDTF">2024-10-14T15:06:00Z</dcterms:created>
  <dcterms:modified xsi:type="dcterms:W3CDTF">2024-10-14T15:06:00Z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