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6F2B" w14:textId="6EAEE23D" w:rsidR="009374B9" w:rsidRPr="00F030B1" w:rsidRDefault="009374B9" w:rsidP="00F030B1">
      <w:pPr>
        <w:pStyle w:val="NoSpacing"/>
        <w:jc w:val="both"/>
        <w:rPr>
          <w:w w:val="113"/>
          <w:sz w:val="20"/>
          <w:szCs w:val="20"/>
          <w:lang w:val="fr-FR"/>
        </w:rPr>
      </w:pPr>
      <w:r w:rsidRPr="00F42CBF">
        <w:rPr>
          <w:b/>
          <w:spacing w:val="1"/>
          <w:w w:val="126"/>
          <w:sz w:val="20"/>
          <w:szCs w:val="20"/>
          <w:lang w:val="fr-FR"/>
        </w:rPr>
        <w:t>Paragraphe 3</w:t>
      </w:r>
      <w:r w:rsidR="00365AD0" w:rsidRPr="00F42CBF">
        <w:rPr>
          <w:b/>
          <w:spacing w:val="1"/>
          <w:w w:val="126"/>
          <w:sz w:val="20"/>
          <w:szCs w:val="20"/>
          <w:lang w:val="fr-FR"/>
        </w:rPr>
        <w:t> :</w:t>
      </w:r>
      <w:r w:rsidR="00365AD0" w:rsidRPr="00F030B1">
        <w:rPr>
          <w:b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/>
          <w:w w:val="116"/>
          <w:sz w:val="20"/>
          <w:szCs w:val="20"/>
          <w:lang w:val="fr-FR"/>
        </w:rPr>
        <w:t xml:space="preserve">« </w:t>
      </w:r>
      <w:r w:rsidRPr="00F030B1">
        <w:rPr>
          <w:w w:val="116"/>
          <w:sz w:val="20"/>
          <w:szCs w:val="20"/>
          <w:lang w:val="fr-FR"/>
        </w:rPr>
        <w:t xml:space="preserve">Le cadre de financement mondial </w:t>
      </w:r>
      <w:r w:rsidR="00A32F5A" w:rsidRPr="00F030B1">
        <w:rPr>
          <w:w w:val="116"/>
          <w:sz w:val="20"/>
          <w:szCs w:val="20"/>
          <w:lang w:val="fr-FR"/>
        </w:rPr>
        <w:t>renouvelé</w:t>
      </w:r>
      <w:r w:rsidRPr="00F030B1">
        <w:rPr>
          <w:w w:val="116"/>
          <w:sz w:val="20"/>
          <w:szCs w:val="20"/>
          <w:lang w:val="fr-FR"/>
        </w:rPr>
        <w:t xml:space="preserve"> doit s'attaquer aux </w:t>
      </w:r>
      <w:r w:rsidR="00A32F5A" w:rsidRPr="00F030B1">
        <w:rPr>
          <w:w w:val="120"/>
          <w:sz w:val="20"/>
          <w:szCs w:val="20"/>
          <w:lang w:val="fr-FR"/>
        </w:rPr>
        <w:t>priorités</w:t>
      </w:r>
      <w:r w:rsidRPr="00F030B1">
        <w:rPr>
          <w:w w:val="120"/>
          <w:sz w:val="20"/>
          <w:szCs w:val="20"/>
          <w:lang w:val="fr-FR"/>
        </w:rPr>
        <w:t xml:space="preserve">, notamment en </w:t>
      </w:r>
      <w:r w:rsidR="00A32F5A" w:rsidRPr="00F030B1">
        <w:rPr>
          <w:w w:val="120"/>
          <w:sz w:val="20"/>
          <w:szCs w:val="20"/>
          <w:lang w:val="fr-FR"/>
        </w:rPr>
        <w:t>éradiquant</w:t>
      </w:r>
      <w:r w:rsidRPr="00F030B1">
        <w:rPr>
          <w:w w:val="120"/>
          <w:sz w:val="20"/>
          <w:szCs w:val="20"/>
          <w:lang w:val="fr-FR"/>
        </w:rPr>
        <w:t xml:space="preserve"> la </w:t>
      </w:r>
      <w:r w:rsidR="00A32F5A" w:rsidRPr="00F030B1">
        <w:rPr>
          <w:w w:val="120"/>
          <w:sz w:val="20"/>
          <w:szCs w:val="20"/>
          <w:lang w:val="fr-FR"/>
        </w:rPr>
        <w:t>pauvreté</w:t>
      </w:r>
      <w:r w:rsidRPr="00F030B1">
        <w:rPr>
          <w:w w:val="120"/>
          <w:sz w:val="20"/>
          <w:szCs w:val="20"/>
          <w:lang w:val="fr-FR"/>
        </w:rPr>
        <w:t xml:space="preserve"> et la faim</w:t>
      </w:r>
      <w:r w:rsidR="00D97A92" w:rsidRPr="00F030B1">
        <w:rPr>
          <w:w w:val="120"/>
          <w:sz w:val="20"/>
          <w:szCs w:val="20"/>
          <w:lang w:val="fr-FR"/>
        </w:rPr>
        <w:t xml:space="preserve"> </w:t>
      </w:r>
      <w:r w:rsidR="005D510D">
        <w:rPr>
          <w:w w:val="120"/>
          <w:sz w:val="20"/>
          <w:szCs w:val="20"/>
          <w:lang w:val="fr-FR"/>
        </w:rPr>
        <w:t xml:space="preserve">et </w:t>
      </w:r>
      <w:r w:rsidR="00D97A92" w:rsidRPr="00F030B1">
        <w:rPr>
          <w:w w:val="120"/>
          <w:sz w:val="20"/>
          <w:szCs w:val="20"/>
          <w:lang w:val="fr-FR"/>
        </w:rPr>
        <w:t xml:space="preserve">en </w:t>
      </w:r>
      <w:r w:rsidRPr="00F030B1">
        <w:rPr>
          <w:w w:val="120"/>
          <w:sz w:val="20"/>
          <w:szCs w:val="20"/>
          <w:lang w:val="fr-FR"/>
        </w:rPr>
        <w:t xml:space="preserve">assurant </w:t>
      </w:r>
      <w:r w:rsidRPr="00F030B1">
        <w:rPr>
          <w:w w:val="119"/>
          <w:sz w:val="20"/>
          <w:szCs w:val="20"/>
          <w:lang w:val="fr-FR"/>
        </w:rPr>
        <w:t xml:space="preserve">Ia lutte contre le changement </w:t>
      </w:r>
      <w:r w:rsidRPr="00F030B1">
        <w:rPr>
          <w:w w:val="116"/>
          <w:sz w:val="20"/>
          <w:szCs w:val="20"/>
          <w:lang w:val="fr-FR"/>
        </w:rPr>
        <w:t>climatique</w:t>
      </w:r>
      <w:r w:rsidRPr="00F030B1">
        <w:rPr>
          <w:w w:val="113"/>
          <w:sz w:val="20"/>
          <w:szCs w:val="20"/>
          <w:lang w:val="fr-FR"/>
        </w:rPr>
        <w:t xml:space="preserve"> »</w:t>
      </w:r>
      <w:r w:rsidR="00551A4D" w:rsidRPr="00F030B1">
        <w:rPr>
          <w:w w:val="113"/>
          <w:sz w:val="20"/>
          <w:szCs w:val="20"/>
          <w:lang w:val="fr-FR"/>
        </w:rPr>
        <w:t>.</w:t>
      </w:r>
    </w:p>
    <w:p w14:paraId="649D8FB2" w14:textId="77777777" w:rsidR="0006456D" w:rsidRPr="00F030B1" w:rsidRDefault="0006456D" w:rsidP="00F030B1">
      <w:pPr>
        <w:pStyle w:val="NoSpacing"/>
        <w:jc w:val="both"/>
        <w:rPr>
          <w:sz w:val="20"/>
          <w:szCs w:val="20"/>
          <w:lang w:val="fr-FR"/>
        </w:rPr>
      </w:pPr>
    </w:p>
    <w:p w14:paraId="55588ECD" w14:textId="3FD08FE8" w:rsidR="009374B9" w:rsidRPr="00F030B1" w:rsidRDefault="009374B9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  <w:r w:rsidRPr="00F42CBF">
        <w:rPr>
          <w:b/>
          <w:spacing w:val="1"/>
          <w:w w:val="126"/>
          <w:sz w:val="20"/>
          <w:szCs w:val="20"/>
          <w:lang w:val="fr-FR"/>
        </w:rPr>
        <w:t>Paragraphe 5</w:t>
      </w:r>
      <w:r w:rsidR="00156674" w:rsidRPr="00F42CBF">
        <w:rPr>
          <w:b/>
          <w:spacing w:val="1"/>
          <w:w w:val="126"/>
          <w:sz w:val="20"/>
          <w:szCs w:val="20"/>
          <w:lang w:val="fr-FR"/>
        </w:rPr>
        <w:t> :</w:t>
      </w:r>
      <w:r w:rsidR="00156674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Proposition de rajout « </w:t>
      </w:r>
      <w:r w:rsidR="00D97A92" w:rsidRPr="00F030B1">
        <w:rPr>
          <w:bCs/>
          <w:spacing w:val="1"/>
          <w:w w:val="126"/>
          <w:sz w:val="20"/>
          <w:szCs w:val="20"/>
          <w:lang w:val="fr-FR"/>
        </w:rPr>
        <w:t>N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ous promouvons la </w:t>
      </w:r>
      <w:r w:rsidR="00D97A92" w:rsidRPr="00F030B1">
        <w:rPr>
          <w:bCs/>
          <w:spacing w:val="1"/>
          <w:w w:val="126"/>
          <w:sz w:val="20"/>
          <w:szCs w:val="20"/>
          <w:lang w:val="fr-FR"/>
        </w:rPr>
        <w:t>création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</w:t>
      </w:r>
      <w:r w:rsidR="008B520D" w:rsidRPr="00F030B1">
        <w:rPr>
          <w:bCs/>
          <w:spacing w:val="1"/>
          <w:w w:val="126"/>
          <w:sz w:val="20"/>
          <w:szCs w:val="20"/>
          <w:lang w:val="fr-FR"/>
        </w:rPr>
        <w:t>fonds spéciaux</w:t>
      </w:r>
      <w:r w:rsidR="00551A4D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Cs/>
          <w:spacing w:val="1"/>
          <w:w w:val="126"/>
          <w:sz w:val="20"/>
          <w:szCs w:val="20"/>
          <w:lang w:val="fr-FR"/>
        </w:rPr>
        <w:t>pour les urgences socia</w:t>
      </w:r>
      <w:r w:rsidR="00365AD0" w:rsidRPr="00F030B1">
        <w:rPr>
          <w:bCs/>
          <w:spacing w:val="1"/>
          <w:w w:val="126"/>
          <w:sz w:val="20"/>
          <w:szCs w:val="20"/>
          <w:lang w:val="fr-FR"/>
        </w:rPr>
        <w:t>les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et climatiques, </w:t>
      </w:r>
      <w:r w:rsidR="00365AD0" w:rsidRPr="00F030B1">
        <w:rPr>
          <w:bCs/>
          <w:spacing w:val="1"/>
          <w:w w:val="126"/>
          <w:sz w:val="20"/>
          <w:szCs w:val="20"/>
          <w:lang w:val="fr-FR"/>
        </w:rPr>
        <w:t>dédiés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uniquement au Pays en</w:t>
      </w:r>
      <w:r w:rsidR="00551A4D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="00365AD0" w:rsidRPr="00F030B1">
        <w:rPr>
          <w:bCs/>
          <w:spacing w:val="1"/>
          <w:w w:val="126"/>
          <w:sz w:val="20"/>
          <w:szCs w:val="20"/>
          <w:lang w:val="fr-FR"/>
        </w:rPr>
        <w:t>Développement</w:t>
      </w:r>
      <w:r w:rsidR="00AA2A85">
        <w:rPr>
          <w:bCs/>
          <w:spacing w:val="1"/>
          <w:w w:val="126"/>
          <w:sz w:val="20"/>
          <w:szCs w:val="20"/>
          <w:lang w:val="fr-FR"/>
        </w:rPr>
        <w:t> »</w:t>
      </w:r>
      <w:r w:rsidR="008E7614">
        <w:rPr>
          <w:bCs/>
          <w:spacing w:val="1"/>
          <w:w w:val="126"/>
          <w:sz w:val="20"/>
          <w:szCs w:val="20"/>
          <w:lang w:val="fr-FR"/>
        </w:rPr>
        <w:t>.</w:t>
      </w:r>
    </w:p>
    <w:p w14:paraId="49F6B940" w14:textId="77777777" w:rsidR="0006456D" w:rsidRPr="00F030B1" w:rsidRDefault="0006456D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</w:p>
    <w:p w14:paraId="416B2192" w14:textId="6909DCC0" w:rsidR="009374B9" w:rsidRPr="00F030B1" w:rsidRDefault="009374B9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  <w:r w:rsidRPr="00F42CBF">
        <w:rPr>
          <w:b/>
          <w:spacing w:val="1"/>
          <w:w w:val="126"/>
          <w:sz w:val="20"/>
          <w:szCs w:val="20"/>
          <w:lang w:val="fr-FR"/>
        </w:rPr>
        <w:t>Paragraphe 8 :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="00BA464B">
        <w:rPr>
          <w:bCs/>
          <w:spacing w:val="1"/>
          <w:w w:val="126"/>
          <w:sz w:val="20"/>
          <w:szCs w:val="20"/>
          <w:lang w:val="fr-FR"/>
        </w:rPr>
        <w:t>Proposition de r</w:t>
      </w:r>
      <w:r w:rsidRPr="00F030B1">
        <w:rPr>
          <w:bCs/>
          <w:spacing w:val="1"/>
          <w:w w:val="126"/>
          <w:sz w:val="20"/>
          <w:szCs w:val="20"/>
          <w:lang w:val="fr-FR"/>
        </w:rPr>
        <w:t>ajout en mettant en avant la lutte contre la corruption</w:t>
      </w:r>
      <w:r w:rsidR="00BA464B">
        <w:rPr>
          <w:bCs/>
          <w:spacing w:val="1"/>
          <w:w w:val="126"/>
          <w:sz w:val="20"/>
          <w:szCs w:val="20"/>
          <w:lang w:val="fr-FR"/>
        </w:rPr>
        <w:t xml:space="preserve"> : 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« Nous </w:t>
      </w:r>
      <w:r w:rsidR="00997DD2" w:rsidRPr="00F030B1">
        <w:rPr>
          <w:bCs/>
          <w:spacing w:val="1"/>
          <w:w w:val="126"/>
          <w:sz w:val="20"/>
          <w:szCs w:val="20"/>
          <w:lang w:val="fr-FR"/>
        </w:rPr>
        <w:t>réaffirmons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que la mobilisation et l'utilisation efficaces et transparentes des ressources doivent se faire dans le respect de Ia </w:t>
      </w:r>
      <w:r w:rsidR="00997DD2" w:rsidRPr="00F030B1">
        <w:rPr>
          <w:bCs/>
          <w:spacing w:val="1"/>
          <w:w w:val="126"/>
          <w:sz w:val="20"/>
          <w:szCs w:val="20"/>
          <w:lang w:val="fr-FR"/>
        </w:rPr>
        <w:t>liberté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, des droits de l'homme et de la </w:t>
      </w:r>
      <w:r w:rsidR="00997DD2" w:rsidRPr="00F030B1">
        <w:rPr>
          <w:bCs/>
          <w:spacing w:val="1"/>
          <w:w w:val="126"/>
          <w:sz w:val="20"/>
          <w:szCs w:val="20"/>
          <w:lang w:val="fr-FR"/>
        </w:rPr>
        <w:t>souveraineté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nationale, en </w:t>
      </w:r>
      <w:r w:rsidR="00997DD2" w:rsidRPr="00F030B1">
        <w:rPr>
          <w:bCs/>
          <w:spacing w:val="1"/>
          <w:w w:val="126"/>
          <w:sz w:val="20"/>
          <w:szCs w:val="20"/>
          <w:lang w:val="fr-FR"/>
        </w:rPr>
        <w:t>renforçant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les </w:t>
      </w:r>
      <w:r w:rsidR="00997DD2" w:rsidRPr="00F030B1">
        <w:rPr>
          <w:bCs/>
          <w:spacing w:val="1"/>
          <w:w w:val="126"/>
          <w:sz w:val="20"/>
          <w:szCs w:val="20"/>
          <w:lang w:val="fr-FR"/>
        </w:rPr>
        <w:t>mécanismes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lutte contre Ia corruption et en promouvant une bonne gouvernance</w:t>
      </w:r>
      <w:r w:rsidR="007C393F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Cs/>
          <w:spacing w:val="1"/>
          <w:w w:val="126"/>
          <w:sz w:val="20"/>
          <w:szCs w:val="20"/>
          <w:lang w:val="fr-FR"/>
        </w:rPr>
        <w:t>»</w:t>
      </w:r>
    </w:p>
    <w:p w14:paraId="06581CE5" w14:textId="77777777" w:rsidR="0006456D" w:rsidRPr="00F030B1" w:rsidRDefault="0006456D" w:rsidP="00F030B1">
      <w:pPr>
        <w:pStyle w:val="NoSpacing"/>
        <w:rPr>
          <w:bCs/>
          <w:spacing w:val="1"/>
          <w:w w:val="126"/>
          <w:sz w:val="20"/>
          <w:szCs w:val="20"/>
          <w:lang w:val="fr-FR"/>
        </w:rPr>
      </w:pPr>
    </w:p>
    <w:p w14:paraId="45F3A260" w14:textId="50E92FAF" w:rsidR="009374B9" w:rsidRPr="00F030B1" w:rsidRDefault="009374B9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  <w:r w:rsidRPr="00F42CBF">
        <w:rPr>
          <w:b/>
          <w:spacing w:val="1"/>
          <w:w w:val="126"/>
          <w:sz w:val="20"/>
          <w:szCs w:val="20"/>
          <w:lang w:val="fr-FR"/>
        </w:rPr>
        <w:t>Paragraphe 12 :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Rajout d'un paragraphe : « Le cadre de financement mondial</w:t>
      </w:r>
      <w:r w:rsid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="007C393F" w:rsidRPr="00F030B1">
        <w:rPr>
          <w:bCs/>
          <w:spacing w:val="1"/>
          <w:w w:val="126"/>
          <w:sz w:val="20"/>
          <w:szCs w:val="20"/>
          <w:lang w:val="fr-FR"/>
        </w:rPr>
        <w:t>renouvelé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doit </w:t>
      </w:r>
      <w:r w:rsidR="007C393F" w:rsidRPr="00F030B1">
        <w:rPr>
          <w:bCs/>
          <w:spacing w:val="1"/>
          <w:w w:val="126"/>
          <w:sz w:val="20"/>
          <w:szCs w:val="20"/>
          <w:lang w:val="fr-FR"/>
        </w:rPr>
        <w:t>être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constitu</w:t>
      </w:r>
      <w:r w:rsidR="007C393F" w:rsidRPr="00F030B1">
        <w:rPr>
          <w:bCs/>
          <w:spacing w:val="1"/>
          <w:w w:val="126"/>
          <w:sz w:val="20"/>
          <w:szCs w:val="20"/>
          <w:lang w:val="fr-FR"/>
        </w:rPr>
        <w:t>é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politiques et actions </w:t>
      </w:r>
      <w:r w:rsidR="007C393F" w:rsidRPr="00F030B1">
        <w:rPr>
          <w:bCs/>
          <w:spacing w:val="1"/>
          <w:w w:val="126"/>
          <w:sz w:val="20"/>
          <w:szCs w:val="20"/>
          <w:lang w:val="fr-FR"/>
        </w:rPr>
        <w:t>concrètes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qui comblent les lacunes dans la mise en </w:t>
      </w:r>
      <w:r w:rsidR="007C393F" w:rsidRPr="00F030B1">
        <w:rPr>
          <w:bCs/>
          <w:spacing w:val="1"/>
          <w:w w:val="126"/>
          <w:sz w:val="20"/>
          <w:szCs w:val="20"/>
          <w:lang w:val="fr-FR"/>
        </w:rPr>
        <w:t>œuvre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l'Agenda d'Addis-Abeba, ten</w:t>
      </w:r>
      <w:r w:rsidR="00FB743E" w:rsidRPr="00F030B1">
        <w:rPr>
          <w:bCs/>
          <w:spacing w:val="1"/>
          <w:w w:val="126"/>
          <w:sz w:val="20"/>
          <w:szCs w:val="20"/>
          <w:lang w:val="fr-FR"/>
        </w:rPr>
        <w:t>ir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compte des</w:t>
      </w:r>
      <w:r w:rsidR="0006456D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nouveaux </w:t>
      </w:r>
      <w:r w:rsidR="00FB743E" w:rsidRPr="00F030B1">
        <w:rPr>
          <w:bCs/>
          <w:spacing w:val="1"/>
          <w:w w:val="126"/>
          <w:sz w:val="20"/>
          <w:szCs w:val="20"/>
          <w:lang w:val="fr-FR"/>
        </w:rPr>
        <w:t>défis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="00FB743E" w:rsidRPr="00F030B1">
        <w:rPr>
          <w:bCs/>
          <w:spacing w:val="1"/>
          <w:w w:val="126"/>
          <w:sz w:val="20"/>
          <w:szCs w:val="20"/>
          <w:lang w:val="fr-FR"/>
        </w:rPr>
        <w:t>émergents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, restaurer la confiance dans le </w:t>
      </w:r>
      <w:r w:rsidR="00FB743E" w:rsidRPr="00F030B1">
        <w:rPr>
          <w:bCs/>
          <w:spacing w:val="1"/>
          <w:w w:val="126"/>
          <w:sz w:val="20"/>
          <w:szCs w:val="20"/>
          <w:lang w:val="fr-FR"/>
        </w:rPr>
        <w:t>multilatéralisme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et </w:t>
      </w:r>
      <w:r w:rsidR="00FB743E" w:rsidRPr="00F030B1">
        <w:rPr>
          <w:bCs/>
          <w:spacing w:val="1"/>
          <w:w w:val="126"/>
          <w:sz w:val="20"/>
          <w:szCs w:val="20"/>
          <w:lang w:val="fr-FR"/>
        </w:rPr>
        <w:t>accélérer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nos efforts collectifs</w:t>
      </w:r>
      <w:r w:rsidR="00E67D8D" w:rsidRPr="00F030B1">
        <w:rPr>
          <w:bCs/>
          <w:spacing w:val="1"/>
          <w:w w:val="126"/>
          <w:sz w:val="20"/>
          <w:szCs w:val="20"/>
          <w:lang w:val="fr-FR"/>
        </w:rPr>
        <w:t> »</w:t>
      </w:r>
      <w:r w:rsidR="00415FE4" w:rsidRPr="00F030B1">
        <w:rPr>
          <w:bCs/>
          <w:spacing w:val="1"/>
          <w:w w:val="126"/>
          <w:sz w:val="20"/>
          <w:szCs w:val="20"/>
          <w:lang w:val="fr-FR"/>
        </w:rPr>
        <w:t>.</w:t>
      </w:r>
    </w:p>
    <w:p w14:paraId="61BE2104" w14:textId="77777777" w:rsidR="0006456D" w:rsidRPr="00F030B1" w:rsidRDefault="0006456D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</w:p>
    <w:p w14:paraId="2EA90987" w14:textId="370E7465" w:rsidR="009374B9" w:rsidRPr="00F030B1" w:rsidRDefault="009374B9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  <w:r w:rsidRPr="00F42CBF">
        <w:rPr>
          <w:b/>
          <w:spacing w:val="1"/>
          <w:w w:val="126"/>
          <w:sz w:val="20"/>
          <w:szCs w:val="20"/>
          <w:lang w:val="fr-FR"/>
        </w:rPr>
        <w:t>Paragraphe 14</w:t>
      </w:r>
      <w:r w:rsidR="0014430B" w:rsidRPr="00F42CBF">
        <w:rPr>
          <w:b/>
          <w:spacing w:val="1"/>
          <w:w w:val="126"/>
          <w:sz w:val="20"/>
          <w:szCs w:val="20"/>
          <w:lang w:val="fr-FR"/>
        </w:rPr>
        <w:t xml:space="preserve"> </w:t>
      </w:r>
      <w:r w:rsidRPr="00F42CBF">
        <w:rPr>
          <w:b/>
          <w:spacing w:val="1"/>
          <w:w w:val="126"/>
          <w:sz w:val="20"/>
          <w:szCs w:val="20"/>
          <w:lang w:val="fr-FR"/>
        </w:rPr>
        <w:t>: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 Rajout en soulignant le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rôle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du capital humain et de la jeunesse « Le</w:t>
      </w:r>
      <w:r w:rsidR="0006456D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sous-investissement dans les secteurs sociaux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clés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freine les</w:t>
      </w:r>
      <w:r w:rsidR="0006456D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progrès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vers la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réalisation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des ODD et exacerbe les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inégalités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, dont les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inégalités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genre. Nous nous engageons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à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réduire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les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inégalités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et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à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combler les 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déficits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f</w:t>
      </w:r>
      <w:r w:rsidR="0014430B" w:rsidRPr="00F030B1">
        <w:rPr>
          <w:bCs/>
          <w:spacing w:val="1"/>
          <w:w w:val="126"/>
          <w:sz w:val="20"/>
          <w:szCs w:val="20"/>
          <w:lang w:val="fr-FR"/>
        </w:rPr>
        <w:t>i</w:t>
      </w:r>
      <w:r w:rsidRPr="00F030B1">
        <w:rPr>
          <w:bCs/>
          <w:spacing w:val="1"/>
          <w:w w:val="126"/>
          <w:sz w:val="20"/>
          <w:szCs w:val="20"/>
          <w:lang w:val="fr-FR"/>
        </w:rPr>
        <w:t>nancement dans la prestation de services publics essentiels, dont la sant</w:t>
      </w:r>
      <w:r w:rsidR="002E1875" w:rsidRPr="00F030B1">
        <w:rPr>
          <w:bCs/>
          <w:spacing w:val="1"/>
          <w:w w:val="126"/>
          <w:sz w:val="20"/>
          <w:szCs w:val="20"/>
          <w:lang w:val="fr-FR"/>
        </w:rPr>
        <w:t>é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, </w:t>
      </w:r>
      <w:r w:rsidR="002E1875" w:rsidRPr="00F030B1">
        <w:rPr>
          <w:bCs/>
          <w:spacing w:val="1"/>
          <w:w w:val="126"/>
          <w:sz w:val="20"/>
          <w:szCs w:val="20"/>
          <w:lang w:val="fr-FR"/>
        </w:rPr>
        <w:t>l’éducation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, </w:t>
      </w:r>
      <w:r w:rsidR="002E1875" w:rsidRPr="00F030B1">
        <w:rPr>
          <w:bCs/>
          <w:spacing w:val="1"/>
          <w:w w:val="126"/>
          <w:sz w:val="20"/>
          <w:szCs w:val="20"/>
          <w:lang w:val="fr-FR"/>
        </w:rPr>
        <w:t>l’énergie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, l'eau et </w:t>
      </w:r>
      <w:r w:rsidR="002E1875" w:rsidRPr="00F030B1">
        <w:rPr>
          <w:bCs/>
          <w:spacing w:val="1"/>
          <w:w w:val="126"/>
          <w:sz w:val="20"/>
          <w:szCs w:val="20"/>
          <w:lang w:val="fr-FR"/>
        </w:rPr>
        <w:t>I’assainissement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, et </w:t>
      </w:r>
      <w:r w:rsidR="002E1875" w:rsidRPr="00F030B1">
        <w:rPr>
          <w:bCs/>
          <w:spacing w:val="1"/>
          <w:w w:val="126"/>
          <w:sz w:val="20"/>
          <w:szCs w:val="20"/>
          <w:lang w:val="fr-FR"/>
        </w:rPr>
        <w:t>à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mettre en place des </w:t>
      </w:r>
      <w:r w:rsidR="002E1875" w:rsidRPr="00F030B1">
        <w:rPr>
          <w:bCs/>
          <w:spacing w:val="1"/>
          <w:w w:val="126"/>
          <w:sz w:val="20"/>
          <w:szCs w:val="20"/>
          <w:lang w:val="fr-FR"/>
        </w:rPr>
        <w:t>systèmes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protection sociale tout en investissant dans le capital humain et en donnant aux jeunes les moyens de contribuer au développement de leurs pays »</w:t>
      </w:r>
    </w:p>
    <w:p w14:paraId="2BABA828" w14:textId="77777777" w:rsidR="0006456D" w:rsidRPr="00F030B1" w:rsidRDefault="0006456D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</w:p>
    <w:p w14:paraId="25DF52EA" w14:textId="007E7A66" w:rsidR="009374B9" w:rsidRPr="00F030B1" w:rsidRDefault="009374B9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  <w:r w:rsidRPr="00F42CBF">
        <w:rPr>
          <w:b/>
          <w:spacing w:val="1"/>
          <w:w w:val="126"/>
          <w:sz w:val="20"/>
          <w:szCs w:val="20"/>
          <w:lang w:val="fr-FR"/>
        </w:rPr>
        <w:t>Paragraphe 17 :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Proposition de rajout « </w:t>
      </w:r>
      <w:r w:rsidR="007142EB" w:rsidRPr="00F030B1">
        <w:rPr>
          <w:bCs/>
          <w:spacing w:val="1"/>
          <w:w w:val="126"/>
          <w:sz w:val="20"/>
          <w:szCs w:val="20"/>
          <w:lang w:val="fr-FR"/>
        </w:rPr>
        <w:t>N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ous favorisons la mise en place de solutions et </w:t>
      </w:r>
      <w:r w:rsidR="007142EB" w:rsidRPr="00F030B1">
        <w:rPr>
          <w:bCs/>
          <w:spacing w:val="1"/>
          <w:w w:val="126"/>
          <w:sz w:val="20"/>
          <w:szCs w:val="20"/>
          <w:lang w:val="fr-FR"/>
        </w:rPr>
        <w:t>stratégies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="007142EB" w:rsidRPr="00F030B1">
        <w:rPr>
          <w:bCs/>
          <w:spacing w:val="1"/>
          <w:w w:val="126"/>
          <w:sz w:val="20"/>
          <w:szCs w:val="20"/>
          <w:lang w:val="fr-FR"/>
        </w:rPr>
        <w:t>adaptées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aux </w:t>
      </w:r>
      <w:r w:rsidR="007142EB" w:rsidRPr="00F030B1">
        <w:rPr>
          <w:bCs/>
          <w:spacing w:val="1"/>
          <w:w w:val="126"/>
          <w:sz w:val="20"/>
          <w:szCs w:val="20"/>
          <w:lang w:val="fr-FR"/>
        </w:rPr>
        <w:t>différents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contextes nationaux pour </w:t>
      </w:r>
      <w:r w:rsidR="007142EB" w:rsidRPr="00F030B1">
        <w:rPr>
          <w:bCs/>
          <w:spacing w:val="1"/>
          <w:w w:val="126"/>
          <w:sz w:val="20"/>
          <w:szCs w:val="20"/>
          <w:lang w:val="fr-FR"/>
        </w:rPr>
        <w:t>éradiquer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l'</w:t>
      </w:r>
      <w:r w:rsidR="007142EB" w:rsidRPr="00F030B1">
        <w:rPr>
          <w:bCs/>
          <w:spacing w:val="1"/>
          <w:w w:val="126"/>
          <w:sz w:val="20"/>
          <w:szCs w:val="20"/>
          <w:lang w:val="fr-FR"/>
        </w:rPr>
        <w:t>insécurité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alimentaire et la malnutrition chronique »</w:t>
      </w:r>
      <w:r w:rsidR="007142EB" w:rsidRPr="00F030B1">
        <w:rPr>
          <w:bCs/>
          <w:spacing w:val="1"/>
          <w:w w:val="126"/>
          <w:sz w:val="20"/>
          <w:szCs w:val="20"/>
          <w:lang w:val="fr-FR"/>
        </w:rPr>
        <w:t>.</w:t>
      </w:r>
    </w:p>
    <w:p w14:paraId="29E8ECD8" w14:textId="77777777" w:rsidR="0006456D" w:rsidRPr="00F030B1" w:rsidRDefault="0006456D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</w:p>
    <w:p w14:paraId="037CB0CE" w14:textId="0F2A57AD" w:rsidR="009374B9" w:rsidRPr="00F030B1" w:rsidRDefault="009374B9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  <w:r w:rsidRPr="00F42CBF">
        <w:rPr>
          <w:b/>
          <w:spacing w:val="1"/>
          <w:w w:val="126"/>
          <w:sz w:val="20"/>
          <w:szCs w:val="20"/>
          <w:lang w:val="fr-FR"/>
        </w:rPr>
        <w:t>Paragraphe 20 :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Proposition de rajout « Nous promouvons le renforcement des </w:t>
      </w:r>
      <w:r w:rsidR="007142EB" w:rsidRPr="00F030B1">
        <w:rPr>
          <w:bCs/>
          <w:spacing w:val="1"/>
          <w:w w:val="126"/>
          <w:sz w:val="20"/>
          <w:szCs w:val="20"/>
          <w:lang w:val="fr-FR"/>
        </w:rPr>
        <w:t>systèmes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micro finances pour soutenir l'entrepreneuriat »</w:t>
      </w:r>
      <w:r w:rsidR="007142EB" w:rsidRPr="00F030B1">
        <w:rPr>
          <w:bCs/>
          <w:spacing w:val="1"/>
          <w:w w:val="126"/>
          <w:sz w:val="20"/>
          <w:szCs w:val="20"/>
          <w:lang w:val="fr-FR"/>
        </w:rPr>
        <w:t>.</w:t>
      </w:r>
    </w:p>
    <w:p w14:paraId="53832503" w14:textId="77777777" w:rsidR="0006456D" w:rsidRPr="00F030B1" w:rsidRDefault="0006456D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</w:p>
    <w:p w14:paraId="3B688BF6" w14:textId="3756D945" w:rsidR="009374B9" w:rsidRPr="00F030B1" w:rsidRDefault="009374B9" w:rsidP="00F030B1">
      <w:pPr>
        <w:pStyle w:val="NoSpacing"/>
        <w:jc w:val="both"/>
        <w:rPr>
          <w:bCs/>
          <w:spacing w:val="1"/>
          <w:w w:val="126"/>
          <w:sz w:val="20"/>
          <w:szCs w:val="20"/>
          <w:lang w:val="fr-FR"/>
        </w:rPr>
      </w:pPr>
      <w:r w:rsidRPr="00F42CBF">
        <w:rPr>
          <w:b/>
          <w:spacing w:val="1"/>
          <w:w w:val="126"/>
          <w:sz w:val="20"/>
          <w:szCs w:val="20"/>
          <w:lang w:val="fr-FR"/>
        </w:rPr>
        <w:t>Paragraphe 29</w:t>
      </w:r>
      <w:r w:rsidR="00C31665" w:rsidRPr="00F42CBF">
        <w:rPr>
          <w:b/>
          <w:spacing w:val="1"/>
          <w:w w:val="126"/>
          <w:sz w:val="20"/>
          <w:szCs w:val="20"/>
          <w:lang w:val="fr-FR"/>
        </w:rPr>
        <w:t xml:space="preserve"> </w:t>
      </w:r>
      <w:r w:rsidRPr="00F42CBF">
        <w:rPr>
          <w:b/>
          <w:spacing w:val="1"/>
          <w:w w:val="126"/>
          <w:sz w:val="20"/>
          <w:szCs w:val="20"/>
          <w:lang w:val="fr-FR"/>
        </w:rPr>
        <w:t>: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A rajouter dans ce sous paragraphe </w:t>
      </w:r>
      <w:r w:rsidR="00B4633C">
        <w:rPr>
          <w:bCs/>
          <w:spacing w:val="1"/>
          <w:w w:val="126"/>
          <w:sz w:val="20"/>
          <w:szCs w:val="20"/>
          <w:lang w:val="fr-FR"/>
        </w:rPr>
        <w:t>sur l’a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lignement des </w:t>
      </w:r>
      <w:r w:rsidR="00C31665" w:rsidRPr="00F030B1">
        <w:rPr>
          <w:bCs/>
          <w:spacing w:val="1"/>
          <w:w w:val="126"/>
          <w:sz w:val="20"/>
          <w:szCs w:val="20"/>
          <w:lang w:val="fr-FR"/>
        </w:rPr>
        <w:t>systèmes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fiscaux</w:t>
      </w:r>
      <w:r w:rsidR="0006456D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sur le </w:t>
      </w:r>
      <w:r w:rsidR="00C31665" w:rsidRPr="00F030B1">
        <w:rPr>
          <w:bCs/>
          <w:spacing w:val="1"/>
          <w:w w:val="126"/>
          <w:sz w:val="20"/>
          <w:szCs w:val="20"/>
          <w:lang w:val="fr-FR"/>
        </w:rPr>
        <w:t>développèrent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durable</w:t>
      </w:r>
      <w:r w:rsidR="00D27C11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Cs/>
          <w:spacing w:val="1"/>
          <w:w w:val="126"/>
          <w:sz w:val="20"/>
          <w:szCs w:val="20"/>
          <w:lang w:val="fr-FR"/>
        </w:rPr>
        <w:t>: «</w:t>
      </w:r>
      <w:r w:rsidR="007C380D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Identifier et </w:t>
      </w:r>
      <w:r w:rsidR="007C380D" w:rsidRPr="00F030B1">
        <w:rPr>
          <w:bCs/>
          <w:spacing w:val="1"/>
          <w:w w:val="126"/>
          <w:sz w:val="20"/>
          <w:szCs w:val="20"/>
          <w:lang w:val="fr-FR"/>
        </w:rPr>
        <w:t xml:space="preserve">mettre </w:t>
      </w:r>
      <w:r w:rsidR="00F030B1" w:rsidRPr="00F030B1">
        <w:rPr>
          <w:bCs/>
          <w:spacing w:val="1"/>
          <w:w w:val="126"/>
          <w:sz w:val="20"/>
          <w:szCs w:val="20"/>
          <w:lang w:val="fr-FR"/>
        </w:rPr>
        <w:t xml:space="preserve">en </w:t>
      </w:r>
      <w:r w:rsidR="00B613A2" w:rsidRPr="00F030B1">
        <w:rPr>
          <w:bCs/>
          <w:spacing w:val="1"/>
          <w:w w:val="126"/>
          <w:sz w:val="20"/>
          <w:szCs w:val="20"/>
          <w:lang w:val="fr-FR"/>
        </w:rPr>
        <w:t>œuvre des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="00D27C11" w:rsidRPr="00F030B1">
        <w:rPr>
          <w:bCs/>
          <w:spacing w:val="1"/>
          <w:w w:val="126"/>
          <w:sz w:val="20"/>
          <w:szCs w:val="20"/>
          <w:lang w:val="fr-FR"/>
        </w:rPr>
        <w:t>prélèvements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</w:t>
      </w:r>
      <w:r w:rsidR="00D27C11" w:rsidRPr="00F030B1">
        <w:rPr>
          <w:bCs/>
          <w:spacing w:val="1"/>
          <w:w w:val="126"/>
          <w:sz w:val="20"/>
          <w:szCs w:val="20"/>
          <w:lang w:val="fr-FR"/>
        </w:rPr>
        <w:t>solidarité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mondiaux / taxes innovantes sous la forme d'une taxe</w:t>
      </w:r>
      <w:r w:rsidR="0006456D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Cs/>
          <w:spacing w:val="1"/>
          <w:w w:val="126"/>
          <w:sz w:val="20"/>
          <w:szCs w:val="20"/>
          <w:lang w:val="fr-FR"/>
        </w:rPr>
        <w:t>sur le carburant maritime et priv</w:t>
      </w:r>
      <w:r w:rsidR="00D27C11" w:rsidRPr="00F030B1">
        <w:rPr>
          <w:bCs/>
          <w:spacing w:val="1"/>
          <w:w w:val="126"/>
          <w:sz w:val="20"/>
          <w:szCs w:val="20"/>
          <w:lang w:val="fr-FR"/>
        </w:rPr>
        <w:t>é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pour les carburants, les </w:t>
      </w:r>
      <w:r w:rsidR="007C380D" w:rsidRPr="00F030B1">
        <w:rPr>
          <w:bCs/>
          <w:spacing w:val="1"/>
          <w:w w:val="126"/>
          <w:sz w:val="20"/>
          <w:szCs w:val="20"/>
          <w:lang w:val="fr-FR"/>
        </w:rPr>
        <w:t>bénéfices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la ma</w:t>
      </w:r>
      <w:r w:rsidR="00905980">
        <w:rPr>
          <w:bCs/>
          <w:spacing w:val="1"/>
          <w:w w:val="126"/>
          <w:sz w:val="20"/>
          <w:szCs w:val="20"/>
          <w:lang w:val="fr-FR"/>
        </w:rPr>
        <w:t>n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ne fossile des </w:t>
      </w:r>
      <w:r w:rsidR="007C380D" w:rsidRPr="00F030B1">
        <w:rPr>
          <w:bCs/>
          <w:spacing w:val="1"/>
          <w:w w:val="126"/>
          <w:sz w:val="20"/>
          <w:szCs w:val="20"/>
          <w:lang w:val="fr-FR"/>
        </w:rPr>
        <w:t>bénéfices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, le </w:t>
      </w:r>
      <w:r w:rsidR="007C380D" w:rsidRPr="00F030B1">
        <w:rPr>
          <w:bCs/>
          <w:spacing w:val="1"/>
          <w:w w:val="126"/>
          <w:sz w:val="20"/>
          <w:szCs w:val="20"/>
          <w:lang w:val="fr-FR"/>
        </w:rPr>
        <w:t>prélèvement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combustibles fossiles ou le </w:t>
      </w:r>
      <w:r w:rsidR="007C380D" w:rsidRPr="00F030B1">
        <w:rPr>
          <w:bCs/>
          <w:spacing w:val="1"/>
          <w:w w:val="126"/>
          <w:sz w:val="20"/>
          <w:szCs w:val="20"/>
          <w:lang w:val="fr-FR"/>
        </w:rPr>
        <w:t>prélèvement</w:t>
      </w:r>
      <w:r w:rsidRPr="00F030B1">
        <w:rPr>
          <w:bCs/>
          <w:spacing w:val="1"/>
          <w:w w:val="126"/>
          <w:sz w:val="20"/>
          <w:szCs w:val="20"/>
          <w:lang w:val="fr-FR"/>
        </w:rPr>
        <w:t xml:space="preserve"> de dommages en carbone pour financer les ODD</w:t>
      </w:r>
      <w:r w:rsidR="007C380D" w:rsidRPr="00F030B1">
        <w:rPr>
          <w:bCs/>
          <w:spacing w:val="1"/>
          <w:w w:val="126"/>
          <w:sz w:val="20"/>
          <w:szCs w:val="20"/>
          <w:lang w:val="fr-FR"/>
        </w:rPr>
        <w:t xml:space="preserve"> </w:t>
      </w:r>
      <w:r w:rsidRPr="00F030B1">
        <w:rPr>
          <w:bCs/>
          <w:spacing w:val="1"/>
          <w:w w:val="126"/>
          <w:sz w:val="20"/>
          <w:szCs w:val="20"/>
          <w:lang w:val="fr-FR"/>
        </w:rPr>
        <w:t>»</w:t>
      </w:r>
      <w:r w:rsidR="007C380D" w:rsidRPr="00F030B1">
        <w:rPr>
          <w:bCs/>
          <w:spacing w:val="1"/>
          <w:w w:val="126"/>
          <w:sz w:val="20"/>
          <w:szCs w:val="20"/>
          <w:lang w:val="fr-FR"/>
        </w:rPr>
        <w:t>.</w:t>
      </w:r>
    </w:p>
    <w:p w14:paraId="3A3861D7" w14:textId="77777777" w:rsidR="0006456D" w:rsidRPr="00F23F1D" w:rsidRDefault="0006456D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34CE3768" w14:textId="77777777" w:rsidR="009374B9" w:rsidRPr="00F42CBF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30 :</w:t>
      </w:r>
    </w:p>
    <w:p w14:paraId="4389A2A9" w14:textId="77777777" w:rsidR="00F030B1" w:rsidRDefault="00F030B1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1A14B013" w14:textId="4B16247A" w:rsidR="004F42E5" w:rsidRPr="00C340A1" w:rsidRDefault="009374B9" w:rsidP="00C340A1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Au point g) </w:t>
      </w:r>
      <w:r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Nous fournirons aux pays en </w:t>
      </w:r>
      <w:r w:rsidR="00F030B1"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une assistance technique et des programmes de renforcement des </w:t>
      </w:r>
      <w:r w:rsidR="00F030B1"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capacités</w:t>
      </w:r>
      <w:r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fond</w:t>
      </w:r>
      <w:r w:rsidR="00F030B1"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</w:t>
      </w:r>
      <w:r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s sur la demande afin qu'ils </w:t>
      </w:r>
      <w:r w:rsidR="00B03FFD"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bénéficient</w:t>
      </w:r>
      <w:r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cadres de </w:t>
      </w:r>
      <w:r w:rsidR="00B03FFD"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coopération</w:t>
      </w:r>
      <w:r w:rsidRPr="00C340A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fiscale internationale tels que la solution en deux piliers ;</w:t>
      </w:r>
    </w:p>
    <w:p w14:paraId="01142500" w14:textId="77777777" w:rsidR="004F42E5" w:rsidRDefault="009374B9" w:rsidP="008B520D">
      <w:pPr>
        <w:pStyle w:val="ListParagraph"/>
        <w:numPr>
          <w:ilvl w:val="0"/>
          <w:numId w:val="13"/>
        </w:num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4F42E5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Mettre « deux piliers » entre guillemets ;</w:t>
      </w:r>
    </w:p>
    <w:p w14:paraId="5701B5E1" w14:textId="740864E9" w:rsidR="009374B9" w:rsidRPr="004F42E5" w:rsidRDefault="009374B9" w:rsidP="008B520D">
      <w:pPr>
        <w:pStyle w:val="ListParagraph"/>
        <w:numPr>
          <w:ilvl w:val="0"/>
          <w:numId w:val="13"/>
        </w:num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4F42E5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Rajouter l'</w:t>
      </w:r>
      <w:r w:rsidR="00B03FFD" w:rsidRPr="004F42E5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élément</w:t>
      </w:r>
      <w:r w:rsidRPr="004F42E5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suivant : « A</w:t>
      </w:r>
      <w:r w:rsidR="00B03FFD" w:rsidRPr="004F42E5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i</w:t>
      </w:r>
      <w:r w:rsidRPr="004F42E5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der les pays </w:t>
      </w:r>
      <w:r w:rsidR="00B03FFD" w:rsidRPr="004F42E5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4F42E5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analyser les implications de la mise en </w:t>
      </w:r>
      <w:r w:rsidR="00B03FFD" w:rsidRPr="004F42E5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œuvre</w:t>
      </w:r>
      <w:r w:rsidRPr="004F42E5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 la « solution a deux piliers ».</w:t>
      </w:r>
    </w:p>
    <w:p w14:paraId="5DC12510" w14:textId="77777777" w:rsidR="0006456D" w:rsidRPr="00F23F1D" w:rsidRDefault="0006456D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2A34066B" w14:textId="77777777" w:rsidR="00744229" w:rsidRPr="00F42CBF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lastRenderedPageBreak/>
        <w:t>Paragraphe 31</w:t>
      </w:r>
    </w:p>
    <w:p w14:paraId="3FBE92BA" w14:textId="77777777" w:rsidR="00744229" w:rsidRDefault="0074422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2B6B141B" w14:textId="58B7FDA1" w:rsidR="007D4153" w:rsidRPr="00F23F1D" w:rsidRDefault="0053450A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Rajout a</w:t>
      </w:r>
      <w:r w:rsidR="00744229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u point a)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d’un nouveau paragraphe </w:t>
      </w:r>
      <w:r w:rsidRPr="00540BC6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a) Bis : </w:t>
      </w:r>
      <w:r w:rsidR="009374B9" w:rsidRPr="00540BC6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« Nous réaffirmons notre engagement à renforcer la coopération fiscale internationale, notamment entre pays en développement, pour lutter contre les flux financiers illicites et appelle les institutions financières internationales à soutenir les pays en développement en mettant l'accent </w:t>
      </w:r>
      <w:r w:rsidR="00B26CE1" w:rsidRPr="00540BC6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sur le</w:t>
      </w:r>
      <w:r w:rsidR="009374B9" w:rsidRPr="00540BC6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 partage des meilleures pratiques et l'appropriation nationale ».</w:t>
      </w:r>
    </w:p>
    <w:p w14:paraId="0223823B" w14:textId="77777777" w:rsidR="007D4153" w:rsidRPr="00F23F1D" w:rsidRDefault="007D4153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037D3E94" w14:textId="6C45212E" w:rsidR="009374B9" w:rsidRPr="00F23F1D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32 :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« Nous sollicitons les partenaires financiers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soutenir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spécialement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les Pays les Moins avancés à mettre en place et à promouvoir les banques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de développement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nationales et les banques coopératives pour mieux investir dans les Objectifs de Développement Durable</w:t>
      </w:r>
      <w:r w:rsidR="007E490E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 ».</w:t>
      </w:r>
    </w:p>
    <w:p w14:paraId="705F4679" w14:textId="77777777" w:rsidR="0006456D" w:rsidRPr="00F23F1D" w:rsidRDefault="0006456D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76D6660A" w14:textId="77777777" w:rsidR="009374B9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34</w:t>
      </w:r>
    </w:p>
    <w:p w14:paraId="72B710B7" w14:textId="77777777" w:rsidR="00F42CBF" w:rsidRPr="00F42CBF" w:rsidRDefault="00F42CBF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</w:pPr>
    </w:p>
    <w:p w14:paraId="1A158944" w14:textId="101618C7" w:rsidR="009374B9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Rajout </w:t>
      </w:r>
      <w:r w:rsidR="002C3202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au point c)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dans le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même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alinéa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pour plus de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précisions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« Nous encouragerons la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création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 nouveaux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véhicules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d'investissements nationaux, tels que les fonds de capital-risque ax</w:t>
      </w:r>
      <w:r w:rsidR="00ED3534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s sur le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, et d'instruments financiers innovants, tels que le financement mixte ainsi que les march</w:t>
      </w:r>
      <w:r w:rsidR="00ED3534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s du carbone pouvant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réduire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les risques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associés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aux infrastructures pour la croissance verte, notamment les obligations </w:t>
      </w:r>
      <w:r w:rsidR="00BB73E1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thématiques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(par exemple, les obligations de produits, telles que les obligations vertes, sociales, de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durable et les obligations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liées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aux ODD, obligations durables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liées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A47403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objectifs de performance), avec des cadres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règlementaires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solides et une gestion des risques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adéquate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»</w:t>
      </w:r>
      <w:r w:rsidR="00A47403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40EB8B34" w14:textId="77777777" w:rsidR="00A47403" w:rsidRPr="00F23F1D" w:rsidRDefault="00A47403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556D4A14" w14:textId="554ED81D" w:rsidR="009374B9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Rajout </w:t>
      </w:r>
      <w:r w:rsidR="00B61E18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au point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d) du sous-paragraphe </w:t>
      </w:r>
      <w:r w:rsidR="00B61E18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sur le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du secteur financier et cadres favorables au niveau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national :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« Soutenir les investissements dans le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et la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numérisation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infrastructures de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systèmes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financiers dans les pays en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et</w:t>
      </w:r>
      <w:r w:rsidR="007D415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en particulier dans les pays dans des situations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spéciales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, notamment l'identification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numérique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, l'infrastructure de paiement et d'autres solutions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numériques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"</w:t>
      </w:r>
      <w:r w:rsidR="00A47403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2354FC53" w14:textId="77777777" w:rsidR="00A47403" w:rsidRPr="00F23F1D" w:rsidRDefault="00A47403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4331C434" w14:textId="73E07609" w:rsidR="009374B9" w:rsidRPr="00F23F1D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Rajout </w:t>
      </w:r>
      <w:r w:rsidR="000B1A69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au point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f) </w:t>
      </w:r>
      <w:r w:rsidR="00B10B7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du sous-paragraphe sur l’a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ccès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au financement, transferts de salaires et</w:t>
      </w:r>
      <w:r w:rsidR="00A47403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relations avec les banques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correspondantes :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«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Développer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solutions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complètes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 gestion des risques et d'assurance pour les petits exploitants et autres parties prenantes pour se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protéger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contre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les risques de production, la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volatilité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prix et les risques climatiques</w:t>
      </w:r>
      <w:r w:rsidR="00A47403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»</w:t>
      </w:r>
      <w:r w:rsidR="00A47403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767A86F2" w14:textId="77777777" w:rsidR="007D4153" w:rsidRPr="00F23F1D" w:rsidRDefault="007D4153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6740DD13" w14:textId="77777777" w:rsidR="009374B9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35</w:t>
      </w:r>
    </w:p>
    <w:p w14:paraId="38999269" w14:textId="77777777" w:rsidR="00F42CBF" w:rsidRPr="00F42CBF" w:rsidRDefault="00F42CBF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</w:pPr>
    </w:p>
    <w:p w14:paraId="3E6E081B" w14:textId="6E8CD57D" w:rsidR="009374B9" w:rsidRDefault="002A669A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Au point 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</w:t>
      </w: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)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: Rajout d'un </w:t>
      </w:r>
      <w:r w:rsidR="00225F4E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nouvel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alinéa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dans la rubrique </w:t>
      </w:r>
      <w:r w:rsidR="00A0097A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investissements directs étrangers </w:t>
      </w:r>
      <w:r w:rsidR="00A0097A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(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IDE</w:t>
      </w:r>
      <w:r w:rsidR="00A0097A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)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relatif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la promotion des IDE « Nous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réaffirmons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notre engagement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favoriser l'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intégration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pays en </w:t>
      </w:r>
      <w:r w:rsidR="00A4740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, en particulier les pays d'Afrique subsaharienne, dans les chaines de valeur mondiales, en promouvant des IDE de qua</w:t>
      </w:r>
      <w:r w:rsidR="00BE4F93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lité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, </w:t>
      </w:r>
      <w:r w:rsidR="00BE4F9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générateurs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d'emplois favorisant le </w:t>
      </w:r>
      <w:r w:rsidR="00BE4F9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</w:t>
      </w:r>
      <w:r w:rsidR="00BE4F9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compétences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locales et la </w:t>
      </w:r>
      <w:r w:rsidR="00BE4F9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création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d'entreprises tout en contribuant </w:t>
      </w:r>
      <w:r w:rsidR="00BE4F9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une industrialisation durable</w:t>
      </w:r>
      <w:r w:rsidR="00BE4F93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»</w:t>
      </w:r>
      <w:r w:rsidR="00BE4F93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07705DBE" w14:textId="77777777" w:rsidR="00BE4F93" w:rsidRPr="00F23F1D" w:rsidRDefault="00BE4F93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1E39C45C" w14:textId="5B060400" w:rsidR="009374B9" w:rsidRDefault="002A669A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Au point 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f</w:t>
      </w: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)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Mobilisation de capitaux </w:t>
      </w:r>
      <w:r w:rsidR="00BE4F9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privés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pour un impact sur le </w:t>
      </w:r>
      <w:r w:rsidR="00225F4E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durable : « </w:t>
      </w:r>
      <w:r w:rsidR="00225F4E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Réévaluer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les exigences de capital pour les garanties et les </w:t>
      </w:r>
      <w:r w:rsidR="00225F4E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mécanismes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 financement mélanges dans la </w:t>
      </w:r>
      <w:r w:rsidR="00225F4E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règlementation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225F4E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financière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et dans les </w:t>
      </w:r>
      <w:r w:rsidR="00225F4E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méthodologies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 notation de </w:t>
      </w:r>
      <w:r w:rsidR="00225F4E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crédit</w:t>
      </w:r>
      <w:r w:rsidR="00B22ED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»</w:t>
      </w:r>
      <w:r w:rsidR="00B22ED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67CB5C1D" w14:textId="77777777" w:rsidR="00225F4E" w:rsidRPr="00F23F1D" w:rsidRDefault="00225F4E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292EBB04" w14:textId="7CAD893B" w:rsidR="009374B9" w:rsidRPr="00F23F1D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lastRenderedPageBreak/>
        <w:t>Paragraphe 36 :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Insertion d'un nouvel </w:t>
      </w:r>
      <w:r w:rsidR="00225F4E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alinéa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: « Du </w:t>
      </w:r>
      <w:r w:rsidR="009715F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côté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pays en </w:t>
      </w:r>
      <w:r w:rsidR="009715F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, nous nous engageons </w:t>
      </w:r>
      <w:r w:rsidR="009715F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9715F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améliorer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le climat des affaires pour attirer les </w:t>
      </w:r>
      <w:r w:rsidR="00A0097A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IDE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et favoriser une croissance </w:t>
      </w:r>
      <w:r w:rsidR="009715F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économique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inclusive. </w:t>
      </w:r>
      <w:r w:rsidR="00B22ED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U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ne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compétitivité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accrue permettra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également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 mieux s'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intégrer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dans les chaines de valeur mondiales et de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bénéficier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d'un financement du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plus important »</w:t>
      </w:r>
      <w:r w:rsidR="00B22ED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41A055AD" w14:textId="77777777" w:rsidR="007D4153" w:rsidRPr="00F23F1D" w:rsidRDefault="007D4153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00C947C6" w14:textId="612B6969" w:rsidR="009374B9" w:rsidRPr="00F23F1D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38</w:t>
      </w:r>
      <w:r w:rsidR="004D58FC"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 :</w:t>
      </w:r>
      <w:r w:rsidR="004D58F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Proposition de rajout </w:t>
      </w:r>
      <w:r w:rsidR="004D58F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la partie </w:t>
      </w:r>
      <w:r w:rsidR="004D58F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relative à l’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Aide Publique au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4D58F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(APD) 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« Nous encourageons la miss en place d'assistance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dédiée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B22ED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l'urgence climatique »</w:t>
      </w:r>
      <w:r w:rsidR="00B22ED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0B3371E1" w14:textId="77777777" w:rsidR="007D4153" w:rsidRPr="00F23F1D" w:rsidRDefault="007D4153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44D316B3" w14:textId="5977BC42" w:rsidR="009374B9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39 :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Rajout </w:t>
      </w:r>
      <w:r w:rsidR="00B22ED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l'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alinéa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</w:t>
      </w:r>
      <w:r w:rsidR="004D58F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)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: « Nous nous engageons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également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B22ED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appuyer les pays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particulièrement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vulnérables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, dont les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capacités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s</w:t>
      </w:r>
      <w:r w:rsidR="00B22ED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o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nt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limitées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pour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préparer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projets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éligibles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aux financements climatiques, afin de renforcer leur </w:t>
      </w:r>
      <w:r w:rsidR="00B22ED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accès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aux financements »</w:t>
      </w:r>
      <w:r w:rsidR="00B22ED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294218C4" w14:textId="77777777" w:rsidR="00630B9A" w:rsidRDefault="00630B9A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17060E30" w14:textId="7E5BE60B" w:rsidR="00630B9A" w:rsidRPr="00F23F1D" w:rsidRDefault="00630B9A" w:rsidP="00630B9A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40 :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Rajout d'un sous-alinéa</w:t>
      </w: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« Développer et aligner les cadres de mesure de I</w:t>
      </w: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’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impact</w:t>
      </w:r>
      <w:r w:rsidR="000A5AB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B</w:t>
      </w:r>
      <w:r w:rsidR="000A5AB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MD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avec les ODD, mesurer les impacts positifs et négatifs, et assurer ''adhésion aux normes environnementales, sociales et de gouvernance ambitieuse dans toutes les opérations »</w:t>
      </w: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5E5AFD62" w14:textId="77777777" w:rsidR="00630B9A" w:rsidRPr="00F23F1D" w:rsidRDefault="00630B9A" w:rsidP="00630B9A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63B79069" w14:textId="77777777" w:rsidR="00630B9A" w:rsidRPr="00F23F1D" w:rsidRDefault="00630B9A" w:rsidP="00630B9A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44 :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Intégrer d) «</w:t>
      </w: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Soutenir l'industrialisation inclusive et durable, la production agricole et la transformation des ressources naturelles</w:t>
      </w: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 ».</w:t>
      </w:r>
    </w:p>
    <w:p w14:paraId="142BF6FF" w14:textId="77777777" w:rsidR="00630B9A" w:rsidRPr="00F23F1D" w:rsidRDefault="00630B9A" w:rsidP="00630B9A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75AF48DC" w14:textId="77777777" w:rsidR="00630B9A" w:rsidRPr="00F42CBF" w:rsidRDefault="00630B9A" w:rsidP="00630B9A">
      <w:pPr>
        <w:tabs>
          <w:tab w:val="left" w:pos="20"/>
        </w:tabs>
        <w:spacing w:after="0" w:line="240" w:lineRule="auto"/>
        <w:jc w:val="both"/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45 :</w:t>
      </w:r>
    </w:p>
    <w:p w14:paraId="740F02DD" w14:textId="77777777" w:rsidR="007D4153" w:rsidRPr="00F23F1D" w:rsidRDefault="007D4153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711AAB77" w14:textId="62C232F8" w:rsidR="009374B9" w:rsidRDefault="007F15C6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Rajout </w:t>
      </w:r>
      <w:r w:rsidR="00E3544B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d'un nouvel alinéa 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e) </w:t>
      </w:r>
      <w:r w:rsidR="00B56B5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« 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Nous encourageons les BMD et les</w:t>
      </w:r>
      <w:r w:rsidR="00B56B5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BPD </w:t>
      </w:r>
      <w:r w:rsidR="00B56B5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B56B5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élargir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leurs domaines d'investissement pour les PMA dans les infrastructures liées au commerce, y compris les routes, les chemins de fer et les ports, ainsi que des réseaux électriques</w:t>
      </w:r>
      <w:r w:rsidR="00B56B5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 ».</w:t>
      </w:r>
    </w:p>
    <w:p w14:paraId="5C944EAD" w14:textId="77777777" w:rsidR="005670CB" w:rsidRPr="00F23F1D" w:rsidRDefault="005670CB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2730E2C0" w14:textId="22CBDD7F" w:rsidR="009374B9" w:rsidRDefault="005670CB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Rajout </w:t>
      </w:r>
      <w:r w:rsidR="00E3544B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d'un nouvel alinéa </w:t>
      </w:r>
      <w:r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f) </w:t>
      </w:r>
      <w:r w:rsidR="00B56B5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« </w:t>
      </w:r>
      <w:r w:rsidR="009374B9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Nous invitons le Fonds commun des produits de base à assurer des subventions, des prêts concessionnels et des investissements en actions aux PMA pour les projets qui favorisent la valeur ajoutée, en particulier dans l'agriculture, et inviter les pays à accroître les contributions volontaires au Fonds commun pour les matières premières</w:t>
      </w:r>
      <w:r w:rsidR="00B56B5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 ».</w:t>
      </w:r>
    </w:p>
    <w:p w14:paraId="34151D60" w14:textId="77777777" w:rsidR="00B56B57" w:rsidRPr="00F23F1D" w:rsidRDefault="00B56B57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1977B698" w14:textId="2BE2C5A0" w:rsidR="009374B9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48 :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Rajout d'un nouvel </w:t>
      </w:r>
      <w:r w:rsidR="00B56B5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alinéa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o</w:t>
      </w:r>
      <w:r w:rsidR="00B56B5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)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« Nous encourageons la diminution des </w:t>
      </w:r>
      <w:r w:rsidR="00B56B5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couts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emprunts via la </w:t>
      </w:r>
      <w:r w:rsidR="00B56B5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réduction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 la prime de risque sur les emprunts souverains encore </w:t>
      </w:r>
      <w:r w:rsidR="00B56B5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très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B56B5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élevés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et la </w:t>
      </w:r>
      <w:r w:rsidR="00B56B5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révision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 la </w:t>
      </w:r>
      <w:r w:rsidR="00B56B5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méthodologie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 notation de </w:t>
      </w:r>
      <w:r w:rsidR="00B56B57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crédit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agences de notation</w:t>
      </w:r>
      <w:r w:rsidR="00B56B57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 ».</w:t>
      </w:r>
    </w:p>
    <w:p w14:paraId="7A25D0C0" w14:textId="77777777" w:rsidR="00362888" w:rsidRDefault="00362888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22330409" w14:textId="6D2347EA" w:rsidR="00D9583C" w:rsidRPr="00D9583C" w:rsidRDefault="00362888" w:rsidP="00D9583C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50 :</w:t>
      </w:r>
      <w:r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Rajout </w:t>
      </w:r>
      <w:r w:rsidR="0015461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d’un nouvel alinéa</w:t>
      </w:r>
      <w:r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154611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f</w:t>
      </w:r>
      <w:r w:rsid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)</w:t>
      </w:r>
      <w:r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« Nous encourageons les pays </w:t>
      </w:r>
      <w:r w:rsidR="00D9583C"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débiteurs</w:t>
      </w:r>
      <w:r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qui ont besoin d'un </w:t>
      </w:r>
      <w:r w:rsidR="00D9583C"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allègement</w:t>
      </w:r>
      <w:r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 la dette </w:t>
      </w:r>
      <w:r w:rsidR="00D9583C"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rechercher activement des traitements de</w:t>
      </w:r>
      <w:r w:rsidR="00D9583C"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la </w:t>
      </w:r>
      <w:r w:rsid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</w:t>
      </w:r>
      <w:r w:rsidR="00D9583C"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ette plus souple et adapté</w:t>
      </w:r>
      <w:r w:rsid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e</w:t>
      </w:r>
      <w:r w:rsidR="00D9583C" w:rsidRP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aux besoins des pays en développement, en particulier ceux les plus vulnérables, et une restructuration préventive de la dette</w:t>
      </w:r>
      <w:r w:rsidR="00D9583C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 ».</w:t>
      </w:r>
    </w:p>
    <w:p w14:paraId="33CCE06D" w14:textId="1A2E86BE" w:rsidR="00362888" w:rsidRPr="00D9583C" w:rsidRDefault="00362888" w:rsidP="00D9583C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4317571F" w14:textId="518297CE" w:rsidR="009374B9" w:rsidRPr="00F23F1D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59 :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3F0144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P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roposition de rajout </w:t>
      </w:r>
      <w:r w:rsidR="0052296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la partie </w:t>
      </w:r>
      <w:r w:rsidR="0052296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Coopération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internationale sur la Science, Technologie et Innovation : « Nous nous engageons </w:t>
      </w:r>
      <w:r w:rsidR="0052296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renforcer la </w:t>
      </w:r>
      <w:r w:rsidR="0052296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coopération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entre la banque de technologie des Nations Unies pour les P</w:t>
      </w:r>
      <w:r w:rsidR="0052296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MA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et les Etats </w:t>
      </w:r>
      <w:r w:rsidR="0052296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travers la promotion du renforcement de </w:t>
      </w:r>
      <w:r w:rsidR="0052296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capacités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»</w:t>
      </w:r>
      <w:r w:rsidR="0052296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7940E37E" w14:textId="77777777" w:rsidR="007D4153" w:rsidRDefault="007D4153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5F5393A3" w14:textId="77777777" w:rsidR="00F42CBF" w:rsidRPr="00F23F1D" w:rsidRDefault="00F42CBF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71760ABD" w14:textId="6CAFDCC1" w:rsidR="009374B9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lastRenderedPageBreak/>
        <w:t>Paragraphe 60 :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3F0144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P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roposition de rajout « Nous nous engageons </w:t>
      </w:r>
      <w:r w:rsidR="0052296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soutenir les Etats, plus </w:t>
      </w:r>
      <w:r w:rsidR="0052296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particulièrement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les </w:t>
      </w:r>
      <w:r w:rsidR="0052296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PMA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, dans </w:t>
      </w:r>
      <w:r w:rsidR="001B3B62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l’</w:t>
      </w:r>
      <w:r w:rsidR="0052296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élaboration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et la mise en </w:t>
      </w:r>
      <w:r w:rsidR="0052296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œuvre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politiques favorisant l'</w:t>
      </w:r>
      <w:r w:rsidR="0052296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accès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52296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la science, la technologie et I</w:t>
      </w:r>
      <w:r w:rsidR="0090432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’i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nnovation pour les femmes, les jeunes et les enfants »</w:t>
      </w:r>
      <w:r w:rsidR="007D4153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2005675C" w14:textId="77777777" w:rsidR="00F42CBF" w:rsidRPr="00F23F1D" w:rsidRDefault="00F42CBF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5886E3A1" w14:textId="77777777" w:rsidR="009374B9" w:rsidRPr="00F42CBF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</w:pPr>
      <w:r w:rsidRPr="00F42CBF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Paragraphe 61 :</w:t>
      </w:r>
    </w:p>
    <w:p w14:paraId="5E0483F2" w14:textId="77777777" w:rsidR="00F42CBF" w:rsidRPr="00F42CBF" w:rsidRDefault="00F42CBF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</w:pPr>
    </w:p>
    <w:p w14:paraId="49D771C7" w14:textId="6F31A143" w:rsidR="009374B9" w:rsidRPr="00F23F1D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A ajouter dans le paragraphe a) (...) soutenu par des cadres </w:t>
      </w:r>
      <w:r w:rsidR="0090432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réglementaires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adaptatifs qui </w:t>
      </w:r>
      <w:r w:rsidR="0090432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gèrent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efficacement les </w:t>
      </w:r>
      <w:r w:rsidR="0090432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opportunités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et les risques des nouvelles technologies. »</w:t>
      </w:r>
    </w:p>
    <w:p w14:paraId="0E4835E0" w14:textId="77777777" w:rsidR="007D4153" w:rsidRPr="00F23F1D" w:rsidRDefault="007D4153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</w:pPr>
    </w:p>
    <w:p w14:paraId="6934B469" w14:textId="0046D44A" w:rsidR="009374B9" w:rsidRPr="00D13CA2" w:rsidRDefault="009374B9" w:rsidP="008B520D">
      <w:pPr>
        <w:tabs>
          <w:tab w:val="left" w:pos="20"/>
        </w:tabs>
        <w:spacing w:after="0" w:line="240" w:lineRule="auto"/>
        <w:jc w:val="both"/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</w:pP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Rajout </w:t>
      </w:r>
      <w:r w:rsidR="00D13CA2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en gras 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au paragraphe : « Nous nous engageons </w:t>
      </w:r>
      <w:r w:rsidR="0090432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à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unir nos efforts pour mettre en </w:t>
      </w:r>
      <w:r w:rsidR="0090432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œuvre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des politiques et des actions </w:t>
      </w:r>
      <w:r w:rsidR="0090432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concrètes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au sein de ce cadre de financement mondial </w:t>
      </w:r>
      <w:r w:rsidR="0090432D"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renouvelé</w:t>
      </w:r>
      <w:r w:rsidRPr="00F23F1D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, </w:t>
      </w:r>
      <w:r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en </w:t>
      </w:r>
      <w:r w:rsidR="0090432D"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privilégiant</w:t>
      </w:r>
      <w:r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 la </w:t>
      </w:r>
      <w:r w:rsidR="0090432D"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coopération</w:t>
      </w:r>
      <w:r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 Sud-Sud, en </w:t>
      </w:r>
      <w:r w:rsidR="0090432D"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renforçant</w:t>
      </w:r>
      <w:r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 les partenariats entre pays en </w:t>
      </w:r>
      <w:r w:rsidR="0090432D"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 et sur la base d'une </w:t>
      </w:r>
      <w:r w:rsidR="0090432D"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responsabilité</w:t>
      </w:r>
      <w:r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 </w:t>
      </w:r>
      <w:r w:rsidR="0090432D"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partagée</w:t>
      </w:r>
      <w:r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 entre les pays </w:t>
      </w:r>
      <w:r w:rsidR="0090432D"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développés</w:t>
      </w:r>
      <w:r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 et en </w:t>
      </w:r>
      <w:r w:rsidR="0090432D"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D13CA2">
        <w:rPr>
          <w:rFonts w:cs="Times New Roman"/>
          <w:b/>
          <w:color w:val="000000"/>
          <w:spacing w:val="1"/>
          <w:w w:val="126"/>
          <w:sz w:val="20"/>
          <w:szCs w:val="20"/>
          <w:lang w:val="fr-FR"/>
        </w:rPr>
        <w:t xml:space="preserve">, </w:t>
      </w:r>
      <w:r w:rsidRPr="00016BE6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afin de favoriser un </w:t>
      </w:r>
      <w:r w:rsidR="0090432D" w:rsidRPr="00016BE6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développement</w:t>
      </w:r>
      <w:r w:rsidRPr="00016BE6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durable et de restaurer la confiance dans le </w:t>
      </w:r>
      <w:r w:rsidR="0090432D" w:rsidRPr="00016BE6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multilatéralisme</w:t>
      </w:r>
      <w:r w:rsidRPr="00016BE6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 xml:space="preserve"> »</w:t>
      </w:r>
      <w:r w:rsidR="0090432D" w:rsidRPr="00016BE6">
        <w:rPr>
          <w:rFonts w:cs="Times New Roman"/>
          <w:bCs/>
          <w:color w:val="000000"/>
          <w:spacing w:val="1"/>
          <w:w w:val="126"/>
          <w:sz w:val="20"/>
          <w:szCs w:val="20"/>
          <w:lang w:val="fr-FR"/>
        </w:rPr>
        <w:t>.</w:t>
      </w:r>
    </w:p>
    <w:p w14:paraId="4F24E4E0" w14:textId="77777777" w:rsidR="009374B9" w:rsidRPr="009374B9" w:rsidRDefault="009374B9" w:rsidP="009374B9">
      <w:pPr>
        <w:tabs>
          <w:tab w:val="left" w:pos="20"/>
        </w:tabs>
        <w:spacing w:after="0" w:line="325" w:lineRule="exact"/>
        <w:ind w:left="20" w:firstLine="9"/>
        <w:jc w:val="both"/>
        <w:rPr>
          <w:rFonts w:cs="Times New Roman"/>
          <w:color w:val="000000"/>
          <w:w w:val="116"/>
          <w:sz w:val="20"/>
          <w:szCs w:val="20"/>
          <w:lang w:val="fr-FR"/>
        </w:rPr>
      </w:pPr>
    </w:p>
    <w:sectPr w:rsidR="009374B9" w:rsidRPr="009374B9" w:rsidSect="00551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5973"/>
    <w:multiLevelType w:val="multilevel"/>
    <w:tmpl w:val="93A48F7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22C85"/>
    <w:multiLevelType w:val="multilevel"/>
    <w:tmpl w:val="467EADA6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b/>
        <w:strike w:val="0"/>
        <w:color w:val="000000"/>
        <w:spacing w:val="2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B17FD"/>
    <w:multiLevelType w:val="multilevel"/>
    <w:tmpl w:val="F9885F7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18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97F77"/>
    <w:multiLevelType w:val="multilevel"/>
    <w:tmpl w:val="8FBA36A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92FFB"/>
    <w:multiLevelType w:val="multilevel"/>
    <w:tmpl w:val="F63C026A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b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407198"/>
    <w:multiLevelType w:val="multilevel"/>
    <w:tmpl w:val="6AB294DE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19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C1368"/>
    <w:multiLevelType w:val="multilevel"/>
    <w:tmpl w:val="4014D0B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A9266D"/>
    <w:multiLevelType w:val="multilevel"/>
    <w:tmpl w:val="9FD89EA2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F27D99"/>
    <w:multiLevelType w:val="multilevel"/>
    <w:tmpl w:val="569287C6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E02CFC"/>
    <w:multiLevelType w:val="multilevel"/>
    <w:tmpl w:val="16287E70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b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6C369F"/>
    <w:multiLevelType w:val="multilevel"/>
    <w:tmpl w:val="4E02F2A0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0E1CFC"/>
    <w:multiLevelType w:val="multilevel"/>
    <w:tmpl w:val="683E946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1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093E96"/>
    <w:multiLevelType w:val="hybridMultilevel"/>
    <w:tmpl w:val="9932BB46"/>
    <w:lvl w:ilvl="0" w:tplc="8F46E414">
      <w:numFmt w:val="bullet"/>
      <w:lvlText w:val="-"/>
      <w:lvlJc w:val="left"/>
      <w:pPr>
        <w:ind w:left="720" w:hanging="360"/>
      </w:pPr>
      <w:rPr>
        <w:rFonts w:ascii="Aptos" w:eastAsiaTheme="minorEastAsia" w:hAnsi="Apto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99652">
    <w:abstractNumId w:val="11"/>
  </w:num>
  <w:num w:numId="2" w16cid:durableId="37317400">
    <w:abstractNumId w:val="10"/>
  </w:num>
  <w:num w:numId="3" w16cid:durableId="1768379923">
    <w:abstractNumId w:val="9"/>
  </w:num>
  <w:num w:numId="4" w16cid:durableId="1221089326">
    <w:abstractNumId w:val="0"/>
  </w:num>
  <w:num w:numId="5" w16cid:durableId="1911429306">
    <w:abstractNumId w:val="1"/>
  </w:num>
  <w:num w:numId="6" w16cid:durableId="1287851962">
    <w:abstractNumId w:val="6"/>
  </w:num>
  <w:num w:numId="7" w16cid:durableId="493378208">
    <w:abstractNumId w:val="2"/>
  </w:num>
  <w:num w:numId="8" w16cid:durableId="1665814753">
    <w:abstractNumId w:val="8"/>
  </w:num>
  <w:num w:numId="9" w16cid:durableId="439448105">
    <w:abstractNumId w:val="3"/>
  </w:num>
  <w:num w:numId="10" w16cid:durableId="1045829929">
    <w:abstractNumId w:val="7"/>
  </w:num>
  <w:num w:numId="11" w16cid:durableId="1948461700">
    <w:abstractNumId w:val="4"/>
  </w:num>
  <w:num w:numId="12" w16cid:durableId="1682660409">
    <w:abstractNumId w:val="5"/>
  </w:num>
  <w:num w:numId="13" w16cid:durableId="1057585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B9"/>
    <w:rsid w:val="00016BE6"/>
    <w:rsid w:val="0006456D"/>
    <w:rsid w:val="000A5ABC"/>
    <w:rsid w:val="000B1A69"/>
    <w:rsid w:val="000E3688"/>
    <w:rsid w:val="0014430B"/>
    <w:rsid w:val="00154611"/>
    <w:rsid w:val="00156674"/>
    <w:rsid w:val="001B3B62"/>
    <w:rsid w:val="00225F4E"/>
    <w:rsid w:val="002A669A"/>
    <w:rsid w:val="002C3202"/>
    <w:rsid w:val="002E1875"/>
    <w:rsid w:val="002E2557"/>
    <w:rsid w:val="00362888"/>
    <w:rsid w:val="00365AD0"/>
    <w:rsid w:val="003E0779"/>
    <w:rsid w:val="003F0144"/>
    <w:rsid w:val="00403511"/>
    <w:rsid w:val="00415FE4"/>
    <w:rsid w:val="004D58FC"/>
    <w:rsid w:val="004E4B38"/>
    <w:rsid w:val="004F42E5"/>
    <w:rsid w:val="0052296D"/>
    <w:rsid w:val="0053450A"/>
    <w:rsid w:val="00540BC6"/>
    <w:rsid w:val="00551A4D"/>
    <w:rsid w:val="005670CB"/>
    <w:rsid w:val="005D510D"/>
    <w:rsid w:val="00630B9A"/>
    <w:rsid w:val="00640935"/>
    <w:rsid w:val="006C50D2"/>
    <w:rsid w:val="006E3118"/>
    <w:rsid w:val="007142EB"/>
    <w:rsid w:val="00744229"/>
    <w:rsid w:val="0076262E"/>
    <w:rsid w:val="007B76E3"/>
    <w:rsid w:val="007C380D"/>
    <w:rsid w:val="007C393F"/>
    <w:rsid w:val="007D4153"/>
    <w:rsid w:val="007E490E"/>
    <w:rsid w:val="007F15C6"/>
    <w:rsid w:val="007F5B39"/>
    <w:rsid w:val="0084781E"/>
    <w:rsid w:val="008B520D"/>
    <w:rsid w:val="008E7614"/>
    <w:rsid w:val="0090432D"/>
    <w:rsid w:val="00905980"/>
    <w:rsid w:val="009374B9"/>
    <w:rsid w:val="009715FD"/>
    <w:rsid w:val="00997DD2"/>
    <w:rsid w:val="00A0097A"/>
    <w:rsid w:val="00A32F5A"/>
    <w:rsid w:val="00A47403"/>
    <w:rsid w:val="00A976F7"/>
    <w:rsid w:val="00AA0A88"/>
    <w:rsid w:val="00AA2A85"/>
    <w:rsid w:val="00AC0D87"/>
    <w:rsid w:val="00B03FFD"/>
    <w:rsid w:val="00B10B71"/>
    <w:rsid w:val="00B22ED7"/>
    <w:rsid w:val="00B26CE1"/>
    <w:rsid w:val="00B4633C"/>
    <w:rsid w:val="00B56B57"/>
    <w:rsid w:val="00B613A2"/>
    <w:rsid w:val="00B61E18"/>
    <w:rsid w:val="00B71CDE"/>
    <w:rsid w:val="00BA464B"/>
    <w:rsid w:val="00BB73E1"/>
    <w:rsid w:val="00BE4F93"/>
    <w:rsid w:val="00C07914"/>
    <w:rsid w:val="00C31665"/>
    <w:rsid w:val="00C340A1"/>
    <w:rsid w:val="00C448BF"/>
    <w:rsid w:val="00CB4C36"/>
    <w:rsid w:val="00D13CA2"/>
    <w:rsid w:val="00D27C11"/>
    <w:rsid w:val="00D9583C"/>
    <w:rsid w:val="00D97A92"/>
    <w:rsid w:val="00DF3DC0"/>
    <w:rsid w:val="00E3544B"/>
    <w:rsid w:val="00E67D8D"/>
    <w:rsid w:val="00EB6BB6"/>
    <w:rsid w:val="00ED3534"/>
    <w:rsid w:val="00F030B1"/>
    <w:rsid w:val="00F23F1D"/>
    <w:rsid w:val="00F42CBF"/>
    <w:rsid w:val="00F70D07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E1C1"/>
  <w15:chartTrackingRefBased/>
  <w15:docId w15:val="{BE14DD0F-9900-449C-98DC-1ED3D62C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B9"/>
    <w:pPr>
      <w:spacing w:after="200" w:line="276" w:lineRule="auto"/>
    </w:pPr>
    <w:rPr>
      <w:rFonts w:eastAsiaTheme="minorEastAsia"/>
      <w:lang w:val="en-CA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4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30B1"/>
    <w:pPr>
      <w:spacing w:after="0" w:line="240" w:lineRule="auto"/>
    </w:pPr>
    <w:rPr>
      <w:rFonts w:eastAsiaTheme="minorEastAsia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ECD3B55A-9B58-4800-9ECD-ED9F541CE0DE}"/>
</file>

<file path=customXml/itemProps2.xml><?xml version="1.0" encoding="utf-8"?>
<ds:datastoreItem xmlns:ds="http://schemas.openxmlformats.org/officeDocument/2006/customXml" ds:itemID="{3BE1564C-7EED-4885-AD97-A27349191FC9}"/>
</file>

<file path=customXml/itemProps3.xml><?xml version="1.0" encoding="utf-8"?>
<ds:datastoreItem xmlns:ds="http://schemas.openxmlformats.org/officeDocument/2006/customXml" ds:itemID="{F93886B4-2E80-49E0-8109-82EA5DB5D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1463</Words>
  <Characters>8345</Characters>
  <Application>Microsoft Office Word</Application>
  <DocSecurity>4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JERRY DOMINIQUE RATSIMANDRESY</dc:creator>
  <cp:keywords/>
  <dc:description/>
  <cp:lastModifiedBy>Abhinav Nathan Jain</cp:lastModifiedBy>
  <cp:revision>2</cp:revision>
  <dcterms:created xsi:type="dcterms:W3CDTF">2025-02-21T17:54:00Z</dcterms:created>
  <dcterms:modified xsi:type="dcterms:W3CDTF">2025-02-21T17:54:00Z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