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01F" w14:textId="201B571D" w:rsidR="009D2E6D" w:rsidRPr="009D2E6D" w:rsidRDefault="009D2E6D" w:rsidP="009D2E6D">
      <w:pPr>
        <w:rPr>
          <w:rFonts w:cs="Roboto,Bold"/>
          <w:b/>
          <w:bCs/>
          <w:szCs w:val="20"/>
        </w:rPr>
      </w:pPr>
      <w:r w:rsidRPr="009D2E6D">
        <w:rPr>
          <w:rFonts w:cs="Roboto,Bold"/>
          <w:b/>
          <w:bCs/>
          <w:szCs w:val="20"/>
        </w:rPr>
        <w:t xml:space="preserve">II. </w:t>
      </w:r>
      <w:r w:rsidR="0000774D">
        <w:rPr>
          <w:rFonts w:cs="Roboto,Bold"/>
          <w:b/>
          <w:bCs/>
          <w:szCs w:val="20"/>
        </w:rPr>
        <w:t>B</w:t>
      </w:r>
      <w:r w:rsidRPr="009D2E6D">
        <w:rPr>
          <w:rFonts w:cs="Roboto,Bold"/>
          <w:b/>
          <w:bCs/>
          <w:szCs w:val="20"/>
        </w:rPr>
        <w:t xml:space="preserve">. </w:t>
      </w:r>
      <w:r w:rsidR="0000774D" w:rsidRPr="0000774D">
        <w:rPr>
          <w:rFonts w:cs="Roboto,Bold"/>
          <w:b/>
          <w:bCs/>
          <w:szCs w:val="20"/>
        </w:rPr>
        <w:t>Domestic and international private business and finance</w:t>
      </w:r>
    </w:p>
    <w:p w14:paraId="712804FF" w14:textId="4991BC50" w:rsidR="00100FFD" w:rsidRDefault="00100FFD" w:rsidP="0000774D">
      <w:pPr>
        <w:rPr>
          <w:b/>
          <w:bCs/>
          <w:szCs w:val="20"/>
        </w:rPr>
      </w:pPr>
    </w:p>
    <w:p w14:paraId="2B7252AF" w14:textId="77777777" w:rsidR="00100FFD" w:rsidRPr="0000774D" w:rsidRDefault="00100FFD" w:rsidP="0000774D">
      <w:pPr>
        <w:rPr>
          <w:szCs w:val="20"/>
        </w:rPr>
      </w:pPr>
    </w:p>
    <w:p w14:paraId="5448224C" w14:textId="44044C12" w:rsidR="0000774D" w:rsidRPr="0000774D" w:rsidRDefault="0000774D" w:rsidP="0000774D">
      <w:pPr>
        <w:rPr>
          <w:szCs w:val="20"/>
        </w:rPr>
      </w:pPr>
      <w:r w:rsidRPr="0000774D">
        <w:rPr>
          <w:szCs w:val="20"/>
        </w:rPr>
        <w:t>33-35</w:t>
      </w:r>
      <w:r w:rsidR="00C0717E">
        <w:rPr>
          <w:szCs w:val="20"/>
        </w:rPr>
        <w:t xml:space="preserve">: </w:t>
      </w:r>
      <w:r w:rsidRPr="0000774D">
        <w:rPr>
          <w:szCs w:val="20"/>
        </w:rPr>
        <w:t>As an overarching comment</w:t>
      </w:r>
      <w:r>
        <w:rPr>
          <w:szCs w:val="20"/>
        </w:rPr>
        <w:t xml:space="preserve"> for </w:t>
      </w:r>
      <w:r w:rsidR="007F6444">
        <w:rPr>
          <w:szCs w:val="20"/>
        </w:rPr>
        <w:t xml:space="preserve">paragraph’s </w:t>
      </w:r>
      <w:r>
        <w:rPr>
          <w:szCs w:val="20"/>
        </w:rPr>
        <w:t>33-35</w:t>
      </w:r>
      <w:r w:rsidRPr="0000774D">
        <w:rPr>
          <w:szCs w:val="20"/>
        </w:rPr>
        <w:t>, a major barrier to increasing private finance is the lack of “bankable</w:t>
      </w:r>
      <w:r w:rsidR="007F6444">
        <w:rPr>
          <w:szCs w:val="20"/>
        </w:rPr>
        <w:t>” or “</w:t>
      </w:r>
      <w:r w:rsidRPr="0000774D">
        <w:rPr>
          <w:szCs w:val="20"/>
        </w:rPr>
        <w:t xml:space="preserve">investable” deals. This is particularly the case for countries in special circumstances, including SIDS. </w:t>
      </w:r>
      <w:r w:rsidR="00100FFD">
        <w:rPr>
          <w:szCs w:val="20"/>
        </w:rPr>
        <w:t xml:space="preserve">For </w:t>
      </w:r>
      <w:r w:rsidR="00100FFD" w:rsidRPr="0000774D">
        <w:rPr>
          <w:szCs w:val="20"/>
        </w:rPr>
        <w:t>domestic, foreign and impact investment</w:t>
      </w:r>
      <w:r w:rsidR="00FF265E">
        <w:rPr>
          <w:szCs w:val="20"/>
        </w:rPr>
        <w:t xml:space="preserve">, </w:t>
      </w:r>
      <w:r w:rsidR="00100FFD">
        <w:rPr>
          <w:szCs w:val="20"/>
        </w:rPr>
        <w:t>there</w:t>
      </w:r>
      <w:r w:rsidR="007F6444">
        <w:rPr>
          <w:szCs w:val="20"/>
        </w:rPr>
        <w:t xml:space="preserve"> is </w:t>
      </w:r>
      <w:r w:rsidR="00100FFD">
        <w:rPr>
          <w:szCs w:val="20"/>
        </w:rPr>
        <w:t xml:space="preserve">a need for </w:t>
      </w:r>
      <w:r w:rsidRPr="0000774D">
        <w:rPr>
          <w:szCs w:val="20"/>
        </w:rPr>
        <w:t>development partners to provide support to the investment pipeline</w:t>
      </w:r>
      <w:r w:rsidR="007F6444">
        <w:rPr>
          <w:szCs w:val="20"/>
        </w:rPr>
        <w:t>,</w:t>
      </w:r>
      <w:r w:rsidRPr="0000774D">
        <w:rPr>
          <w:szCs w:val="20"/>
        </w:rPr>
        <w:t xml:space="preserve"> including supporting businesses to be </w:t>
      </w:r>
      <w:r w:rsidR="007F6444">
        <w:rPr>
          <w:szCs w:val="20"/>
        </w:rPr>
        <w:t>‘</w:t>
      </w:r>
      <w:r w:rsidRPr="0000774D">
        <w:rPr>
          <w:szCs w:val="20"/>
        </w:rPr>
        <w:t>investment ready</w:t>
      </w:r>
      <w:r w:rsidR="007F6444">
        <w:rPr>
          <w:szCs w:val="20"/>
        </w:rPr>
        <w:t>’</w:t>
      </w:r>
      <w:r w:rsidRPr="0000774D">
        <w:rPr>
          <w:szCs w:val="20"/>
        </w:rPr>
        <w:t xml:space="preserve">. </w:t>
      </w:r>
    </w:p>
    <w:p w14:paraId="5F5D7153" w14:textId="77777777" w:rsidR="0000774D" w:rsidRDefault="0000774D" w:rsidP="0000774D">
      <w:pPr>
        <w:rPr>
          <w:szCs w:val="20"/>
        </w:rPr>
      </w:pPr>
    </w:p>
    <w:p w14:paraId="48C7E4E2" w14:textId="68CE5632" w:rsidR="00100FFD" w:rsidRPr="0000774D" w:rsidRDefault="0000774D" w:rsidP="00100FFD">
      <w:pPr>
        <w:rPr>
          <w:szCs w:val="20"/>
        </w:rPr>
      </w:pPr>
      <w:r w:rsidRPr="0000774D">
        <w:rPr>
          <w:szCs w:val="20"/>
        </w:rPr>
        <w:t>Para</w:t>
      </w:r>
      <w:r w:rsidR="007F6444">
        <w:rPr>
          <w:szCs w:val="20"/>
        </w:rPr>
        <w:t xml:space="preserve"> 34</w:t>
      </w:r>
      <w:r w:rsidRPr="0000774D">
        <w:rPr>
          <w:szCs w:val="20"/>
        </w:rPr>
        <w:t xml:space="preserve"> is </w:t>
      </w:r>
      <w:proofErr w:type="gramStart"/>
      <w:r w:rsidR="007F6444">
        <w:rPr>
          <w:szCs w:val="20"/>
        </w:rPr>
        <w:t>encouraging</w:t>
      </w:r>
      <w:r w:rsidR="00FF265E">
        <w:rPr>
          <w:szCs w:val="20"/>
        </w:rPr>
        <w:t>, but</w:t>
      </w:r>
      <w:proofErr w:type="gramEnd"/>
      <w:r w:rsidR="00FF265E">
        <w:rPr>
          <w:szCs w:val="20"/>
        </w:rPr>
        <w:t xml:space="preserve"> could </w:t>
      </w:r>
      <w:r w:rsidRPr="0000774D">
        <w:rPr>
          <w:szCs w:val="20"/>
        </w:rPr>
        <w:t xml:space="preserve">include a reference to working with national pension and provident funds to promote domestic investment. </w:t>
      </w:r>
      <w:r w:rsidR="007F6444">
        <w:rPr>
          <w:szCs w:val="20"/>
        </w:rPr>
        <w:t xml:space="preserve">These entities </w:t>
      </w:r>
      <w:r w:rsidR="00100FFD" w:rsidRPr="0000774D">
        <w:rPr>
          <w:szCs w:val="20"/>
        </w:rPr>
        <w:t xml:space="preserve">are significant holders of </w:t>
      </w:r>
      <w:proofErr w:type="gramStart"/>
      <w:r w:rsidR="00100FFD" w:rsidRPr="0000774D">
        <w:rPr>
          <w:szCs w:val="20"/>
        </w:rPr>
        <w:t>capital</w:t>
      </w:r>
      <w:r w:rsidR="007F6444">
        <w:rPr>
          <w:szCs w:val="20"/>
        </w:rPr>
        <w:t xml:space="preserve">, </w:t>
      </w:r>
      <w:r w:rsidR="00100FFD" w:rsidRPr="0000774D">
        <w:rPr>
          <w:szCs w:val="20"/>
        </w:rPr>
        <w:t>and</w:t>
      </w:r>
      <w:proofErr w:type="gramEnd"/>
      <w:r w:rsidR="00100FFD" w:rsidRPr="0000774D">
        <w:rPr>
          <w:szCs w:val="20"/>
        </w:rPr>
        <w:t xml:space="preserve"> are more familiar with local investment opportunities. </w:t>
      </w:r>
    </w:p>
    <w:p w14:paraId="28C7EB86" w14:textId="77777777" w:rsidR="00100FFD" w:rsidRDefault="00100FFD" w:rsidP="0000774D">
      <w:pPr>
        <w:rPr>
          <w:szCs w:val="20"/>
        </w:rPr>
      </w:pPr>
    </w:p>
    <w:p w14:paraId="4AE6F9F4" w14:textId="76F21410" w:rsidR="00100FFD" w:rsidRDefault="007F6444" w:rsidP="0000774D">
      <w:pPr>
        <w:rPr>
          <w:szCs w:val="20"/>
        </w:rPr>
      </w:pPr>
      <w:r>
        <w:rPr>
          <w:szCs w:val="20"/>
        </w:rPr>
        <w:t xml:space="preserve">In 34C We see quite a </w:t>
      </w:r>
      <w:r w:rsidR="0000774D" w:rsidRPr="0000774D">
        <w:rPr>
          <w:szCs w:val="20"/>
        </w:rPr>
        <w:t>focus on sophisticated financial instruments</w:t>
      </w:r>
      <w:r w:rsidR="00FF265E">
        <w:rPr>
          <w:szCs w:val="20"/>
        </w:rPr>
        <w:t xml:space="preserve">. Our view is that </w:t>
      </w:r>
      <w:r w:rsidR="0000774D" w:rsidRPr="0000774D">
        <w:rPr>
          <w:szCs w:val="20"/>
        </w:rPr>
        <w:t>th</w:t>
      </w:r>
      <w:r>
        <w:rPr>
          <w:szCs w:val="20"/>
        </w:rPr>
        <w:t>ese</w:t>
      </w:r>
      <w:r w:rsidR="0000774D" w:rsidRPr="0000774D">
        <w:rPr>
          <w:szCs w:val="20"/>
        </w:rPr>
        <w:t xml:space="preserve"> may not be appropriate for </w:t>
      </w:r>
      <w:r w:rsidR="00FF265E">
        <w:rPr>
          <w:szCs w:val="20"/>
        </w:rPr>
        <w:t>all</w:t>
      </w:r>
      <w:r w:rsidR="0000774D" w:rsidRPr="0000774D">
        <w:rPr>
          <w:szCs w:val="20"/>
        </w:rPr>
        <w:t xml:space="preserve"> countries. </w:t>
      </w:r>
      <w:r>
        <w:rPr>
          <w:szCs w:val="20"/>
        </w:rPr>
        <w:t xml:space="preserve">The drafting could reflect this. </w:t>
      </w:r>
    </w:p>
    <w:p w14:paraId="4782D3DF" w14:textId="77777777" w:rsidR="00442B85" w:rsidRDefault="00442B85" w:rsidP="0000774D">
      <w:pPr>
        <w:rPr>
          <w:szCs w:val="20"/>
        </w:rPr>
      </w:pPr>
    </w:p>
    <w:p w14:paraId="6223DE5E" w14:textId="06442012" w:rsidR="0000774D" w:rsidRPr="0000774D" w:rsidRDefault="0000774D" w:rsidP="0000774D">
      <w:pPr>
        <w:rPr>
          <w:szCs w:val="20"/>
        </w:rPr>
      </w:pPr>
      <w:r w:rsidRPr="0000774D">
        <w:rPr>
          <w:szCs w:val="20"/>
        </w:rPr>
        <w:t>35 (a-f)</w:t>
      </w:r>
      <w:r w:rsidR="00C0717E">
        <w:rPr>
          <w:szCs w:val="20"/>
        </w:rPr>
        <w:t xml:space="preserve"> </w:t>
      </w:r>
      <w:r w:rsidR="007F6444">
        <w:rPr>
          <w:szCs w:val="20"/>
        </w:rPr>
        <w:t>The t</w:t>
      </w:r>
      <w:r w:rsidRPr="0000774D">
        <w:rPr>
          <w:szCs w:val="20"/>
        </w:rPr>
        <w:t xml:space="preserve">ext could refer to the role of development partners and MDBs in de-risking foreign investment through </w:t>
      </w:r>
      <w:r w:rsidR="007F6444">
        <w:rPr>
          <w:szCs w:val="20"/>
        </w:rPr>
        <w:t xml:space="preserve">mechanisms such as </w:t>
      </w:r>
      <w:r w:rsidRPr="0000774D">
        <w:rPr>
          <w:szCs w:val="20"/>
        </w:rPr>
        <w:t>first loss facilities</w:t>
      </w:r>
      <w:r w:rsidR="007F6444">
        <w:rPr>
          <w:szCs w:val="20"/>
        </w:rPr>
        <w:t xml:space="preserve"> or</w:t>
      </w:r>
      <w:r w:rsidRPr="0000774D">
        <w:rPr>
          <w:szCs w:val="20"/>
        </w:rPr>
        <w:t xml:space="preserve"> partial guarantees. </w:t>
      </w:r>
    </w:p>
    <w:p w14:paraId="1FB3941D" w14:textId="77777777" w:rsidR="0000774D" w:rsidRDefault="0000774D" w:rsidP="0000774D">
      <w:pPr>
        <w:rPr>
          <w:szCs w:val="20"/>
        </w:rPr>
      </w:pPr>
    </w:p>
    <w:p w14:paraId="1516B16A" w14:textId="5B6E1940" w:rsidR="0000774D" w:rsidRPr="0000774D" w:rsidRDefault="0000774D" w:rsidP="0000774D">
      <w:pPr>
        <w:rPr>
          <w:szCs w:val="20"/>
        </w:rPr>
      </w:pPr>
      <w:r w:rsidRPr="0000774D">
        <w:rPr>
          <w:szCs w:val="20"/>
        </w:rPr>
        <w:t>35g</w:t>
      </w:r>
      <w:r w:rsidRPr="0000774D">
        <w:rPr>
          <w:szCs w:val="20"/>
        </w:rPr>
        <w:tab/>
      </w:r>
      <w:r w:rsidRPr="0000774D">
        <w:rPr>
          <w:szCs w:val="20"/>
        </w:rPr>
        <w:tab/>
        <w:t>We support the need for IFC to scale up the use of the IDA Private Sector Window (PSW), through a variety of measures, including increased local currency lending and enhanc</w:t>
      </w:r>
      <w:r w:rsidR="00100FFD">
        <w:rPr>
          <w:szCs w:val="20"/>
        </w:rPr>
        <w:t xml:space="preserve">ing </w:t>
      </w:r>
      <w:r w:rsidRPr="0000774D">
        <w:rPr>
          <w:szCs w:val="20"/>
        </w:rPr>
        <w:t xml:space="preserve">private equity. </w:t>
      </w:r>
      <w:proofErr w:type="gramStart"/>
      <w:r w:rsidRPr="0000774D">
        <w:rPr>
          <w:szCs w:val="20"/>
        </w:rPr>
        <w:t>This complements</w:t>
      </w:r>
      <w:proofErr w:type="gramEnd"/>
      <w:r w:rsidRPr="0000774D">
        <w:rPr>
          <w:szCs w:val="20"/>
        </w:rPr>
        <w:t xml:space="preserve"> calls in this Chapter for additional focus on stimulating the private sector through policy reforms to enhance the business environment. </w:t>
      </w:r>
    </w:p>
    <w:p w14:paraId="22A0ED40" w14:textId="77777777" w:rsidR="0000774D" w:rsidRPr="0000774D" w:rsidRDefault="0000774D" w:rsidP="0000774D">
      <w:pPr>
        <w:rPr>
          <w:szCs w:val="20"/>
        </w:rPr>
      </w:pPr>
    </w:p>
    <w:p w14:paraId="12BA7D81" w14:textId="6DD61AFA" w:rsidR="0000774D" w:rsidRPr="0000774D" w:rsidRDefault="0000774D" w:rsidP="0000774D">
      <w:pPr>
        <w:rPr>
          <w:szCs w:val="20"/>
        </w:rPr>
      </w:pPr>
      <w:r w:rsidRPr="0000774D">
        <w:rPr>
          <w:szCs w:val="20"/>
        </w:rPr>
        <w:t xml:space="preserve">This is one area where the outcome document should recognise the progress that the MDBs, including IFC, have made in private sector development. All MDBs have made progress – although not yet enough – in leveraging more private sector financing. The scale up of IFC has already occurred as part of IDA21.  </w:t>
      </w:r>
      <w:r w:rsidR="00100FFD">
        <w:rPr>
          <w:szCs w:val="20"/>
        </w:rPr>
        <w:t>S</w:t>
      </w:r>
      <w:r w:rsidRPr="0000774D">
        <w:rPr>
          <w:szCs w:val="20"/>
        </w:rPr>
        <w:t>caling up the P</w:t>
      </w:r>
      <w:r w:rsidR="00100FFD">
        <w:rPr>
          <w:szCs w:val="20"/>
        </w:rPr>
        <w:t xml:space="preserve">rivate </w:t>
      </w:r>
      <w:r w:rsidRPr="0000774D">
        <w:rPr>
          <w:szCs w:val="20"/>
        </w:rPr>
        <w:t>S</w:t>
      </w:r>
      <w:r w:rsidR="00100FFD">
        <w:rPr>
          <w:szCs w:val="20"/>
        </w:rPr>
        <w:t xml:space="preserve">ector </w:t>
      </w:r>
      <w:r w:rsidRPr="0000774D">
        <w:rPr>
          <w:szCs w:val="20"/>
        </w:rPr>
        <w:t>W</w:t>
      </w:r>
      <w:r w:rsidR="00100FFD">
        <w:rPr>
          <w:szCs w:val="20"/>
        </w:rPr>
        <w:t>indow</w:t>
      </w:r>
      <w:r w:rsidRPr="0000774D">
        <w:rPr>
          <w:szCs w:val="20"/>
        </w:rPr>
        <w:t xml:space="preserve"> doesn’t come without trade-offs with IDA priorities, unless it comes from IFC’s own balance sheet.   </w:t>
      </w:r>
    </w:p>
    <w:p w14:paraId="0823E0F4" w14:textId="77777777" w:rsidR="00100FFD" w:rsidRDefault="00100FFD" w:rsidP="0000774D">
      <w:pPr>
        <w:rPr>
          <w:szCs w:val="20"/>
        </w:rPr>
      </w:pPr>
    </w:p>
    <w:p w14:paraId="2A9443FC" w14:textId="4DBEB1F4" w:rsidR="0000774D" w:rsidRDefault="0000774D" w:rsidP="0000774D">
      <w:pPr>
        <w:rPr>
          <w:szCs w:val="20"/>
        </w:rPr>
      </w:pPr>
      <w:r w:rsidRPr="0000774D">
        <w:rPr>
          <w:szCs w:val="20"/>
        </w:rPr>
        <w:t>35(h)</w:t>
      </w:r>
      <w:r w:rsidRPr="0000774D">
        <w:rPr>
          <w:szCs w:val="20"/>
        </w:rPr>
        <w:tab/>
      </w:r>
      <w:r w:rsidRPr="0000774D">
        <w:rPr>
          <w:szCs w:val="20"/>
        </w:rPr>
        <w:tab/>
        <w:t xml:space="preserve">We support the need for MDBs to establish pools of catalytic capital seeded by development banks, development finance institutions, foundations and philanthropies and note their support for the development of repositories of </w:t>
      </w:r>
      <w:proofErr w:type="gramStart"/>
      <w:r w:rsidRPr="0000774D">
        <w:rPr>
          <w:szCs w:val="20"/>
        </w:rPr>
        <w:t>guarantee</w:t>
      </w:r>
      <w:proofErr w:type="gramEnd"/>
      <w:r w:rsidRPr="0000774D">
        <w:rPr>
          <w:szCs w:val="20"/>
        </w:rPr>
        <w:t xml:space="preserve"> instruments, building on the World Bank Guarantee Platform.</w:t>
      </w:r>
      <w:r w:rsidR="00C0717E">
        <w:rPr>
          <w:szCs w:val="20"/>
        </w:rPr>
        <w:t xml:space="preserve"> </w:t>
      </w:r>
      <w:r w:rsidRPr="0000774D">
        <w:rPr>
          <w:szCs w:val="20"/>
        </w:rPr>
        <w:t xml:space="preserve">The MDBs are already doing this, though there is room for scale up. </w:t>
      </w:r>
    </w:p>
    <w:p w14:paraId="4F09F0FD" w14:textId="77777777" w:rsidR="007F6444" w:rsidRPr="0000774D" w:rsidRDefault="007F6444" w:rsidP="0000774D">
      <w:pPr>
        <w:rPr>
          <w:szCs w:val="20"/>
        </w:rPr>
      </w:pPr>
    </w:p>
    <w:p w14:paraId="5C921A8B" w14:textId="11263645" w:rsidR="0000774D" w:rsidRDefault="0000774D" w:rsidP="006507EA">
      <w:pPr>
        <w:rPr>
          <w:szCs w:val="20"/>
        </w:rPr>
      </w:pPr>
      <w:r w:rsidRPr="0000774D">
        <w:rPr>
          <w:szCs w:val="20"/>
        </w:rPr>
        <w:t>35(</w:t>
      </w:r>
      <w:proofErr w:type="spellStart"/>
      <w:r w:rsidRPr="0000774D">
        <w:rPr>
          <w:szCs w:val="20"/>
        </w:rPr>
        <w:t>i</w:t>
      </w:r>
      <w:proofErr w:type="spellEnd"/>
      <w:r w:rsidRPr="0000774D">
        <w:rPr>
          <w:szCs w:val="20"/>
        </w:rPr>
        <w:t>)</w:t>
      </w:r>
      <w:r w:rsidRPr="0000774D">
        <w:rPr>
          <w:szCs w:val="20"/>
        </w:rPr>
        <w:tab/>
      </w:r>
      <w:r w:rsidRPr="0000774D">
        <w:rPr>
          <w:szCs w:val="20"/>
        </w:rPr>
        <w:tab/>
      </w:r>
      <w:r w:rsidR="007F6444">
        <w:rPr>
          <w:szCs w:val="20"/>
        </w:rPr>
        <w:t>We s</w:t>
      </w:r>
      <w:r w:rsidRPr="0000774D">
        <w:rPr>
          <w:szCs w:val="20"/>
        </w:rPr>
        <w:t xml:space="preserve">upport MDBs providing enhanced technical assistance (TA) in a coordinated manner, including through the establishment of a Pooled Technical Assistance Platform, to help developing countries, particularly countries in special situations, originate, </w:t>
      </w:r>
      <w:proofErr w:type="gramStart"/>
      <w:r w:rsidRPr="0000774D">
        <w:rPr>
          <w:szCs w:val="20"/>
        </w:rPr>
        <w:t>prepare</w:t>
      </w:r>
      <w:proofErr w:type="gramEnd"/>
      <w:r w:rsidRPr="0000774D">
        <w:rPr>
          <w:szCs w:val="20"/>
        </w:rPr>
        <w:t xml:space="preserve"> and support high-impact infrastructure projects.</w:t>
      </w:r>
      <w:r w:rsidRPr="0000774D">
        <w:rPr>
          <w:szCs w:val="20"/>
        </w:rPr>
        <w:tab/>
      </w:r>
    </w:p>
    <w:p w14:paraId="526C5427" w14:textId="77777777" w:rsidR="006507EA" w:rsidRPr="0000774D" w:rsidRDefault="006507EA" w:rsidP="006507EA">
      <w:pPr>
        <w:rPr>
          <w:szCs w:val="20"/>
        </w:rPr>
      </w:pPr>
    </w:p>
    <w:p w14:paraId="67E736DA" w14:textId="44E48313" w:rsidR="0000774D" w:rsidRPr="0000774D" w:rsidRDefault="0000774D" w:rsidP="0000774D">
      <w:pPr>
        <w:rPr>
          <w:szCs w:val="20"/>
        </w:rPr>
      </w:pPr>
      <w:r w:rsidRPr="0000774D">
        <w:rPr>
          <w:szCs w:val="20"/>
        </w:rPr>
        <w:t>35(j, k) We support these, noting again that some progress has been made – particularly around risk mitigation.</w:t>
      </w:r>
      <w:r w:rsidR="00FF265E">
        <w:rPr>
          <w:szCs w:val="20"/>
        </w:rPr>
        <w:t xml:space="preserve"> </w:t>
      </w:r>
      <w:r w:rsidRPr="0000774D">
        <w:rPr>
          <w:szCs w:val="20"/>
        </w:rPr>
        <w:t xml:space="preserve">The work around credit rating methodologies is critical to </w:t>
      </w:r>
      <w:r w:rsidRPr="0000774D">
        <w:rPr>
          <w:szCs w:val="20"/>
        </w:rPr>
        <w:lastRenderedPageBreak/>
        <w:t xml:space="preserve">significantly lifting the amount of financing that MDBs have available, while ensuring that MDBs do not lose their AAA rating. </w:t>
      </w:r>
      <w:r w:rsidRPr="0000774D">
        <w:rPr>
          <w:szCs w:val="20"/>
        </w:rPr>
        <w:tab/>
      </w:r>
    </w:p>
    <w:p w14:paraId="38E098C9" w14:textId="77777777" w:rsidR="00100FFD" w:rsidRDefault="00100FFD" w:rsidP="0000774D">
      <w:pPr>
        <w:rPr>
          <w:szCs w:val="20"/>
        </w:rPr>
      </w:pPr>
    </w:p>
    <w:p w14:paraId="253245DC" w14:textId="04EF20E7" w:rsidR="009D2E6D" w:rsidRPr="009D2E6D" w:rsidRDefault="0000774D" w:rsidP="0000774D">
      <w:pPr>
        <w:rPr>
          <w:szCs w:val="20"/>
        </w:rPr>
      </w:pPr>
      <w:r w:rsidRPr="0000774D">
        <w:rPr>
          <w:szCs w:val="20"/>
        </w:rPr>
        <w:t>36</w:t>
      </w:r>
      <w:r w:rsidR="006507EA">
        <w:rPr>
          <w:szCs w:val="20"/>
        </w:rPr>
        <w:t>G</w:t>
      </w:r>
      <w:r w:rsidR="00C0717E">
        <w:rPr>
          <w:szCs w:val="20"/>
        </w:rPr>
        <w:t>:</w:t>
      </w:r>
      <w:r w:rsidRPr="0000774D">
        <w:rPr>
          <w:szCs w:val="20"/>
        </w:rPr>
        <w:tab/>
      </w:r>
      <w:r w:rsidR="00FF265E">
        <w:rPr>
          <w:szCs w:val="20"/>
        </w:rPr>
        <w:t xml:space="preserve">We’d welcome more clarity around </w:t>
      </w:r>
      <w:r w:rsidRPr="0000774D">
        <w:rPr>
          <w:szCs w:val="20"/>
        </w:rPr>
        <w:t>a “global interoperability governance framework”</w:t>
      </w:r>
      <w:r w:rsidR="00FF265E">
        <w:rPr>
          <w:szCs w:val="20"/>
        </w:rPr>
        <w:t xml:space="preserve">. </w:t>
      </w:r>
    </w:p>
    <w:sectPr w:rsidR="009D2E6D" w:rsidRPr="009D2E6D" w:rsidSect="002B60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1049" w14:textId="77777777" w:rsidR="00ED5C33" w:rsidRDefault="00ED5C33" w:rsidP="00023335">
      <w:pPr>
        <w:spacing w:line="240" w:lineRule="auto"/>
      </w:pPr>
      <w:r>
        <w:separator/>
      </w:r>
    </w:p>
  </w:endnote>
  <w:endnote w:type="continuationSeparator" w:id="0">
    <w:p w14:paraId="52632B8F" w14:textId="77777777" w:rsidR="00ED5C33" w:rsidRDefault="00ED5C33"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7C1" w14:textId="466D36EA" w:rsidR="009D2E6D" w:rsidRDefault="009D2E6D">
    <w:pPr>
      <w:pStyle w:val="Footer"/>
    </w:pPr>
    <w:r>
      <w:rPr>
        <w:noProof/>
      </w:rPr>
      <mc:AlternateContent>
        <mc:Choice Requires="wps">
          <w:drawing>
            <wp:anchor distT="0" distB="0" distL="0" distR="0" simplePos="0" relativeHeight="251659264" behindDoc="0" locked="0" layoutInCell="1" allowOverlap="1" wp14:anchorId="66E07DE8" wp14:editId="23EA0551">
              <wp:simplePos x="635" y="635"/>
              <wp:positionH relativeFrom="page">
                <wp:align>center</wp:align>
              </wp:positionH>
              <wp:positionV relativeFrom="page">
                <wp:align>bottom</wp:align>
              </wp:positionV>
              <wp:extent cx="443865" cy="443865"/>
              <wp:effectExtent l="0" t="0" r="2540" b="0"/>
              <wp:wrapNone/>
              <wp:docPr id="3760704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7DE8"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60A" w14:textId="1D16FB3D" w:rsidR="00CE1AA0" w:rsidRPr="00CE1AA0" w:rsidRDefault="009D2E6D" w:rsidP="00CE1AA0">
    <w:pPr>
      <w:pStyle w:val="DocumentID"/>
    </w:pPr>
    <w:bookmarkStart w:id="2" w:name="document_id2"/>
    <w:r>
      <w:rPr>
        <w:noProof/>
      </w:rPr>
      <mc:AlternateContent>
        <mc:Choice Requires="wps">
          <w:drawing>
            <wp:anchor distT="0" distB="0" distL="0" distR="0" simplePos="0" relativeHeight="251660288" behindDoc="0" locked="0" layoutInCell="1" allowOverlap="1" wp14:anchorId="15B12702" wp14:editId="63DAB5FC">
              <wp:simplePos x="635" y="635"/>
              <wp:positionH relativeFrom="page">
                <wp:align>center</wp:align>
              </wp:positionH>
              <wp:positionV relativeFrom="page">
                <wp:align>bottom</wp:align>
              </wp:positionV>
              <wp:extent cx="443865" cy="443865"/>
              <wp:effectExtent l="0" t="0" r="2540" b="0"/>
              <wp:wrapNone/>
              <wp:docPr id="43181366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12702"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rsidRPr="00F452A0">
      <w:t>[Document ID]</w:t>
    </w:r>
    <w:bookmarkEnd w:id="2"/>
  </w:p>
  <w:p w14:paraId="0314C96E" w14:textId="77777777" w:rsidR="00CE1AA0" w:rsidRPr="00D175FF" w:rsidRDefault="00CE1AA0" w:rsidP="00CE1AA0">
    <w:pPr>
      <w:pStyle w:val="Footer"/>
      <w:tabs>
        <w:tab w:val="left" w:pos="2565"/>
      </w:tabs>
      <w:jc w:val="center"/>
      <w:rPr>
        <w:sz w:val="20"/>
        <w:szCs w:val="20"/>
      </w:rPr>
    </w:pPr>
  </w:p>
  <w:p w14:paraId="4F80327D" w14:textId="4F3BC456" w:rsidR="00CE1AA0" w:rsidRDefault="00CE1AA0" w:rsidP="00CE1AA0">
    <w:pPr>
      <w:pStyle w:val="SecurityClassification"/>
    </w:pPr>
    <w:r w:rsidRPr="00F452A0">
      <w:t xml:space="preserve"> </w:t>
    </w:r>
    <w:bookmarkStart w:id="3" w:name="security_caveat_footer2"/>
    <w:bookmarkEnd w:id="3"/>
  </w:p>
  <w:p w14:paraId="041DC1BA" w14:textId="77777777" w:rsidR="00023335" w:rsidRDefault="00023335" w:rsidP="00CE1AA0">
    <w:pPr>
      <w:pStyle w:val="Footer"/>
      <w:jc w:val="center"/>
    </w:pPr>
    <w:bookmarkStart w:id="4" w:name="covering_classification_footer2"/>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6BE" w14:textId="0D91FC08" w:rsidR="00CE1AA0" w:rsidRDefault="009D2E6D" w:rsidP="00CE1AA0">
    <w:pPr>
      <w:pStyle w:val="DocumentID"/>
    </w:pPr>
    <w:bookmarkStart w:id="8" w:name="document_id"/>
    <w:r>
      <w:rPr>
        <w:noProof/>
      </w:rPr>
      <mc:AlternateContent>
        <mc:Choice Requires="wps">
          <w:drawing>
            <wp:anchor distT="0" distB="0" distL="0" distR="0" simplePos="0" relativeHeight="251658240" behindDoc="0" locked="0" layoutInCell="1" allowOverlap="1" wp14:anchorId="347E7AC6" wp14:editId="2633950E">
              <wp:simplePos x="899160" y="9776460"/>
              <wp:positionH relativeFrom="page">
                <wp:align>center</wp:align>
              </wp:positionH>
              <wp:positionV relativeFrom="page">
                <wp:align>bottom</wp:align>
              </wp:positionV>
              <wp:extent cx="443865" cy="443865"/>
              <wp:effectExtent l="0" t="0" r="2540" b="0"/>
              <wp:wrapNone/>
              <wp:docPr id="888505947"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7AC6"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[Document ID]</w:t>
    </w:r>
    <w:bookmarkEnd w:id="8"/>
  </w:p>
  <w:p w14:paraId="7393C16D" w14:textId="77777777" w:rsidR="00CE1AA0" w:rsidRPr="00D175FF" w:rsidRDefault="00CE1AA0" w:rsidP="00CE1AA0">
    <w:pPr>
      <w:pStyle w:val="Footer"/>
      <w:rPr>
        <w:sz w:val="20"/>
      </w:rPr>
    </w:pPr>
  </w:p>
  <w:p w14:paraId="06705A9A" w14:textId="231E68AC" w:rsidR="00CE1AA0" w:rsidRDefault="00CE1AA0" w:rsidP="00CE1AA0">
    <w:pPr>
      <w:pStyle w:val="SecurityClassification"/>
    </w:pPr>
    <w:r>
      <w:t xml:space="preserve"> </w:t>
    </w:r>
    <w:bookmarkStart w:id="9" w:name="security_caveat_footer"/>
    <w:bookmarkEnd w:id="9"/>
  </w:p>
  <w:p w14:paraId="1F507DEB" w14:textId="77777777" w:rsidR="00023335" w:rsidRDefault="00023335" w:rsidP="00CE1AA0">
    <w:pPr>
      <w:pStyle w:val="Footer"/>
      <w:jc w:val="center"/>
    </w:pPr>
    <w:bookmarkStart w:id="10" w:name="covering_classification_foote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E71B" w14:textId="77777777" w:rsidR="00ED5C33" w:rsidRDefault="00ED5C33" w:rsidP="00023335">
      <w:pPr>
        <w:spacing w:line="240" w:lineRule="auto"/>
      </w:pPr>
      <w:r>
        <w:separator/>
      </w:r>
    </w:p>
  </w:footnote>
  <w:footnote w:type="continuationSeparator" w:id="0">
    <w:p w14:paraId="7460B834" w14:textId="77777777" w:rsidR="00ED5C33" w:rsidRDefault="00ED5C33"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A60" w14:textId="2A843998" w:rsidR="009D2E6D" w:rsidRDefault="009D2E6D">
    <w:pPr>
      <w:pStyle w:val="Header"/>
    </w:pPr>
    <w:r>
      <w:rPr>
        <w:noProof/>
      </w:rPr>
      <mc:AlternateContent>
        <mc:Choice Requires="wps">
          <w:drawing>
            <wp:anchor distT="0" distB="0" distL="0" distR="0" simplePos="0" relativeHeight="251656192" behindDoc="0" locked="0" layoutInCell="1" allowOverlap="1" wp14:anchorId="2DA233AB" wp14:editId="5F932B44">
              <wp:simplePos x="635" y="635"/>
              <wp:positionH relativeFrom="page">
                <wp:align>center</wp:align>
              </wp:positionH>
              <wp:positionV relativeFrom="page">
                <wp:align>top</wp:align>
              </wp:positionV>
              <wp:extent cx="443865" cy="443865"/>
              <wp:effectExtent l="0" t="0" r="2540" b="5715"/>
              <wp:wrapNone/>
              <wp:docPr id="30750623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233AB"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67" w14:textId="3F9B526F" w:rsidR="005F746E" w:rsidRDefault="009D2E6D" w:rsidP="00CE1AA0">
    <w:pPr>
      <w:pStyle w:val="SecurityClassification"/>
    </w:pPr>
    <w:bookmarkStart w:id="0" w:name="security_classification_header2"/>
    <w:r>
      <w:rPr>
        <w:noProof/>
      </w:rPr>
      <mc:AlternateContent>
        <mc:Choice Requires="wps">
          <w:drawing>
            <wp:anchor distT="0" distB="0" distL="0" distR="0" simplePos="0" relativeHeight="251657216" behindDoc="0" locked="0" layoutInCell="1" allowOverlap="1" wp14:anchorId="44B65586" wp14:editId="2BEFB65B">
              <wp:simplePos x="635" y="635"/>
              <wp:positionH relativeFrom="page">
                <wp:align>center</wp:align>
              </wp:positionH>
              <wp:positionV relativeFrom="page">
                <wp:align>top</wp:align>
              </wp:positionV>
              <wp:extent cx="443865" cy="443865"/>
              <wp:effectExtent l="0" t="0" r="2540" b="5715"/>
              <wp:wrapNone/>
              <wp:docPr id="1687005545"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6558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733DF4C3" w14:textId="77777777" w:rsidR="00CE1AA0" w:rsidRPr="005F746E" w:rsidRDefault="00CE1AA0" w:rsidP="007F6444">
    <w:pPr>
      <w:pStyle w:val="Header"/>
      <w:rPr>
        <w:rStyle w:val="PageNumber"/>
      </w:rPr>
    </w:pPr>
    <w:bookmarkStart w:id="1" w:name="covering_classification_header2"/>
    <w:bookmarkEnd w:id="0"/>
    <w:bookmarkEnd w:id="1"/>
  </w:p>
  <w:p w14:paraId="2AE3C464"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7EF20B5D"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4D0" w14:textId="07704CEC" w:rsidR="005F746E" w:rsidRDefault="009D2E6D" w:rsidP="00CE1AA0">
    <w:pPr>
      <w:pStyle w:val="SecurityClassification"/>
    </w:pPr>
    <w:bookmarkStart w:id="5" w:name="security_classification_header"/>
    <w:r>
      <w:rPr>
        <w:noProof/>
      </w:rPr>
      <mc:AlternateContent>
        <mc:Choice Requires="wps">
          <w:drawing>
            <wp:anchor distT="0" distB="0" distL="0" distR="0" simplePos="0" relativeHeight="251655168" behindDoc="0" locked="0" layoutInCell="1" allowOverlap="1" wp14:anchorId="7A43B440" wp14:editId="66838BB2">
              <wp:simplePos x="899160" y="251460"/>
              <wp:positionH relativeFrom="page">
                <wp:align>center</wp:align>
              </wp:positionH>
              <wp:positionV relativeFrom="page">
                <wp:align>top</wp:align>
              </wp:positionV>
              <wp:extent cx="443865" cy="443865"/>
              <wp:effectExtent l="0" t="0" r="2540" b="5715"/>
              <wp:wrapNone/>
              <wp:docPr id="66609783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3B440"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bookmarkEnd w:id="5"/>
  <w:p w14:paraId="75334AF9" w14:textId="13A7DBE9" w:rsidR="00CE1AA0" w:rsidRDefault="00CE1AA0" w:rsidP="00CE1AA0">
    <w:pPr>
      <w:pStyle w:val="SecurityClassification"/>
    </w:pPr>
    <w:r>
      <w:t xml:space="preserve"> </w:t>
    </w:r>
    <w:bookmarkStart w:id="6" w:name="security_caveat_header"/>
    <w:bookmarkEnd w:id="6"/>
  </w:p>
  <w:p w14:paraId="4BD02360" w14:textId="77777777" w:rsidR="00023335" w:rsidRDefault="00023335" w:rsidP="00CE1AA0">
    <w:pPr>
      <w:pStyle w:val="SecurityClassification"/>
    </w:pPr>
    <w:bookmarkStart w:id="7" w:name="covering_classification_heade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2E6D"/>
    <w:rsid w:val="0000774D"/>
    <w:rsid w:val="00011E1E"/>
    <w:rsid w:val="00023335"/>
    <w:rsid w:val="00071F86"/>
    <w:rsid w:val="000A3B90"/>
    <w:rsid w:val="000F4023"/>
    <w:rsid w:val="00100FFD"/>
    <w:rsid w:val="001A2FB6"/>
    <w:rsid w:val="001E6B7C"/>
    <w:rsid w:val="002173C7"/>
    <w:rsid w:val="00236A09"/>
    <w:rsid w:val="00255554"/>
    <w:rsid w:val="00291F8E"/>
    <w:rsid w:val="002B6045"/>
    <w:rsid w:val="00303A38"/>
    <w:rsid w:val="003141F3"/>
    <w:rsid w:val="003E5F24"/>
    <w:rsid w:val="003F4A6D"/>
    <w:rsid w:val="00442B85"/>
    <w:rsid w:val="00515590"/>
    <w:rsid w:val="005F099A"/>
    <w:rsid w:val="005F1313"/>
    <w:rsid w:val="005F746E"/>
    <w:rsid w:val="00631640"/>
    <w:rsid w:val="006507EA"/>
    <w:rsid w:val="006537F8"/>
    <w:rsid w:val="006A699C"/>
    <w:rsid w:val="00790AAA"/>
    <w:rsid w:val="007C040A"/>
    <w:rsid w:val="007F6444"/>
    <w:rsid w:val="00803EF1"/>
    <w:rsid w:val="00832846"/>
    <w:rsid w:val="008A31F0"/>
    <w:rsid w:val="008D17C5"/>
    <w:rsid w:val="008D2C23"/>
    <w:rsid w:val="008F74DF"/>
    <w:rsid w:val="009602EC"/>
    <w:rsid w:val="009D261D"/>
    <w:rsid w:val="009D2E6D"/>
    <w:rsid w:val="009D40EF"/>
    <w:rsid w:val="009F5D27"/>
    <w:rsid w:val="00AE0B06"/>
    <w:rsid w:val="00B37FF1"/>
    <w:rsid w:val="00B72B22"/>
    <w:rsid w:val="00C0717E"/>
    <w:rsid w:val="00CE1AA0"/>
    <w:rsid w:val="00D96C65"/>
    <w:rsid w:val="00DB5226"/>
    <w:rsid w:val="00E62AAC"/>
    <w:rsid w:val="00EA04C8"/>
    <w:rsid w:val="00ED5C33"/>
    <w:rsid w:val="00ED6CB8"/>
    <w:rsid w:val="00F06D90"/>
    <w:rsid w:val="00FC043A"/>
    <w:rsid w:val="00FF265E"/>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3DE2"/>
  <w15:chartTrackingRefBased/>
  <w15:docId w15:val="{B3065780-61A6-4FF9-8CC4-FAFAA9F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2.xml><?xml version="1.0" encoding="utf-8"?>
<ds:datastoreItem xmlns:ds="http://schemas.openxmlformats.org/officeDocument/2006/customXml" ds:itemID="{4C90DF9A-D0A5-4473-AEB5-7DEB5C19D531}"/>
</file>

<file path=customXml/itemProps3.xml><?xml version="1.0" encoding="utf-8"?>
<ds:datastoreItem xmlns:ds="http://schemas.openxmlformats.org/officeDocument/2006/customXml" ds:itemID="{FF366170-F053-41B0-854C-074724E1B4AC}"/>
</file>

<file path=customXml/itemProps4.xml><?xml version="1.0" encoding="utf-8"?>
<ds:datastoreItem xmlns:ds="http://schemas.openxmlformats.org/officeDocument/2006/customXml" ds:itemID="{F17377F0-94E0-437B-88A0-015CD9992CE0}"/>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 (NYK)</dc:creator>
  <cp:keywords/>
  <dc:description/>
  <cp:lastModifiedBy>HANNAH, Richard (NYK)</cp:lastModifiedBy>
  <cp:revision>2</cp:revision>
  <cp:lastPrinted>2025-02-11T15:16:00Z</cp:lastPrinted>
  <dcterms:created xsi:type="dcterms:W3CDTF">2025-02-14T00:09:00Z</dcterms:created>
  <dcterms:modified xsi:type="dcterms:W3CDTF">2025-02-14T00:09:00Z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27b3d8a9,12542c3b,648da969</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34f5865b,166a611a,19bcf41e</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y fmtid="{D5CDD505-2E9C-101B-9397-08002B2CF9AE}" pid="8" name="ContentTypeId">
    <vt:lpwstr>0x01010098E67939E49F43488880277401A25400</vt:lpwstr>
  </property>
</Properties>
</file>