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601F" w14:textId="0CA47F7E" w:rsidR="009D2E6D" w:rsidRPr="009D2E6D" w:rsidRDefault="009D2E6D" w:rsidP="009D2E6D">
      <w:pPr>
        <w:rPr>
          <w:rFonts w:cs="Roboto,Bold"/>
          <w:b/>
          <w:bCs/>
          <w:szCs w:val="20"/>
        </w:rPr>
      </w:pPr>
      <w:r w:rsidRPr="009D2E6D">
        <w:rPr>
          <w:rFonts w:cs="Roboto,Bold"/>
          <w:b/>
          <w:bCs/>
          <w:szCs w:val="20"/>
        </w:rPr>
        <w:t xml:space="preserve">II. </w:t>
      </w:r>
      <w:r w:rsidR="00B35CB8">
        <w:rPr>
          <w:rFonts w:cs="Roboto,Bold"/>
          <w:b/>
          <w:bCs/>
          <w:szCs w:val="20"/>
        </w:rPr>
        <w:t>D International Trade</w:t>
      </w:r>
    </w:p>
    <w:p w14:paraId="5D4C50BF" w14:textId="77777777" w:rsidR="009D2E6D" w:rsidRPr="009D2E6D" w:rsidRDefault="009D2E6D" w:rsidP="009D2E6D">
      <w:pPr>
        <w:rPr>
          <w:rFonts w:cs="Roboto,Bold"/>
          <w:szCs w:val="20"/>
        </w:rPr>
      </w:pPr>
    </w:p>
    <w:p w14:paraId="61239FBF" w14:textId="4F4E2B23" w:rsidR="00A420D1" w:rsidRPr="000C64A2" w:rsidRDefault="00A420D1" w:rsidP="00A420D1">
      <w:pPr>
        <w:rPr>
          <w:b/>
          <w:bCs/>
          <w:szCs w:val="20"/>
        </w:rPr>
      </w:pPr>
      <w:r w:rsidRPr="000C64A2">
        <w:rPr>
          <w:szCs w:val="20"/>
        </w:rPr>
        <w:t>43</w:t>
      </w:r>
      <w:r w:rsidR="000C64A2" w:rsidRPr="000C64A2">
        <w:rPr>
          <w:szCs w:val="20"/>
        </w:rPr>
        <w:t>:</w:t>
      </w:r>
      <w:r w:rsidR="000C64A2">
        <w:rPr>
          <w:b/>
          <w:bCs/>
          <w:szCs w:val="20"/>
        </w:rPr>
        <w:t xml:space="preserve"> </w:t>
      </w:r>
      <w:r w:rsidR="000C64A2">
        <w:rPr>
          <w:szCs w:val="20"/>
          <w:lang w:val="en-AU"/>
        </w:rPr>
        <w:t xml:space="preserve">New Zealand does </w:t>
      </w:r>
      <w:r>
        <w:rPr>
          <w:szCs w:val="20"/>
          <w:lang w:val="en-AU"/>
        </w:rPr>
        <w:t>not support the description of ‘stalled multilateral negotiations’. N</w:t>
      </w:r>
      <w:r w:rsidRPr="00A420D1">
        <w:rPr>
          <w:szCs w:val="20"/>
          <w:lang w:val="en-AU"/>
        </w:rPr>
        <w:t>egotiations are not, in fact, stalled. While progress is difficult – we have active and intense processes on agriculture, fisheries subsidies, dispute settlement and more at the WTO.</w:t>
      </w:r>
    </w:p>
    <w:p w14:paraId="611D7B71" w14:textId="77777777" w:rsidR="00A420D1" w:rsidRPr="00A420D1" w:rsidRDefault="00A420D1" w:rsidP="00A420D1">
      <w:pPr>
        <w:rPr>
          <w:szCs w:val="20"/>
          <w:lang w:val="en-AU"/>
        </w:rPr>
      </w:pPr>
    </w:p>
    <w:p w14:paraId="59A541A7" w14:textId="105BD374" w:rsidR="00A420D1" w:rsidRDefault="00A420D1" w:rsidP="00A420D1">
      <w:pPr>
        <w:rPr>
          <w:szCs w:val="20"/>
          <w:lang w:val="en-AU"/>
        </w:rPr>
      </w:pPr>
      <w:r>
        <w:rPr>
          <w:szCs w:val="20"/>
          <w:lang w:val="en-AU"/>
        </w:rPr>
        <w:t>43 B: T</w:t>
      </w:r>
      <w:r w:rsidRPr="00A420D1">
        <w:rPr>
          <w:szCs w:val="20"/>
          <w:lang w:val="en-AU"/>
        </w:rPr>
        <w:t>his para could be more specific and call on WTO members to work towards the entry into force of the Fisheries Subsidies Agreement (Fish I) and to conclude negotiations on Fish II.</w:t>
      </w:r>
    </w:p>
    <w:p w14:paraId="437E6478" w14:textId="77777777" w:rsidR="00A420D1" w:rsidRDefault="00A420D1" w:rsidP="00A420D1">
      <w:pPr>
        <w:rPr>
          <w:szCs w:val="20"/>
          <w:lang w:val="en-AU"/>
        </w:rPr>
      </w:pPr>
    </w:p>
    <w:p w14:paraId="735B54DB" w14:textId="7D65129A" w:rsidR="00A420D1" w:rsidRPr="00A420D1" w:rsidRDefault="00A420D1" w:rsidP="00A420D1">
      <w:pPr>
        <w:rPr>
          <w:szCs w:val="20"/>
          <w:lang w:val="en-AU"/>
        </w:rPr>
      </w:pPr>
      <w:r>
        <w:rPr>
          <w:szCs w:val="20"/>
          <w:lang w:val="en-AU"/>
        </w:rPr>
        <w:t xml:space="preserve">43C: we query the </w:t>
      </w:r>
      <w:r w:rsidRPr="00A420D1">
        <w:rPr>
          <w:szCs w:val="20"/>
          <w:lang w:val="en-AU"/>
        </w:rPr>
        <w:t>timeline</w:t>
      </w:r>
      <w:r>
        <w:rPr>
          <w:szCs w:val="20"/>
          <w:lang w:val="en-AU"/>
        </w:rPr>
        <w:t xml:space="preserve"> for MC14</w:t>
      </w:r>
      <w:r w:rsidRPr="00A420D1">
        <w:rPr>
          <w:szCs w:val="20"/>
          <w:lang w:val="en-AU"/>
        </w:rPr>
        <w:t xml:space="preserve"> here.</w:t>
      </w:r>
    </w:p>
    <w:p w14:paraId="253245DC" w14:textId="33A3D846" w:rsidR="009D2E6D" w:rsidRDefault="00A420D1" w:rsidP="00A420D1">
      <w:pPr>
        <w:tabs>
          <w:tab w:val="clear" w:pos="567"/>
          <w:tab w:val="left" w:pos="5880"/>
        </w:tabs>
        <w:rPr>
          <w:szCs w:val="20"/>
        </w:rPr>
      </w:pPr>
      <w:r>
        <w:rPr>
          <w:szCs w:val="20"/>
        </w:rPr>
        <w:tab/>
      </w:r>
    </w:p>
    <w:p w14:paraId="105C80FD" w14:textId="4408FD5F" w:rsidR="00A420D1" w:rsidRDefault="00A420D1" w:rsidP="00A420D1">
      <w:pPr>
        <w:tabs>
          <w:tab w:val="clear" w:pos="567"/>
          <w:tab w:val="left" w:pos="5880"/>
        </w:tabs>
        <w:rPr>
          <w:rFonts w:eastAsia="Verdana" w:cs="Verdana"/>
          <w:color w:val="000000" w:themeColor="text1"/>
        </w:rPr>
      </w:pPr>
      <w:r>
        <w:rPr>
          <w:szCs w:val="20"/>
        </w:rPr>
        <w:t xml:space="preserve">43J: </w:t>
      </w:r>
      <w:r w:rsidRPr="48A536DD">
        <w:rPr>
          <w:rFonts w:eastAsia="Verdana" w:cs="Verdana"/>
          <w:color w:val="000000" w:themeColor="text1"/>
        </w:rPr>
        <w:t>N</w:t>
      </w:r>
      <w:r>
        <w:rPr>
          <w:rFonts w:eastAsia="Verdana" w:cs="Verdana"/>
          <w:color w:val="000000" w:themeColor="text1"/>
        </w:rPr>
        <w:t>ew Zealand</w:t>
      </w:r>
      <w:r w:rsidRPr="48A536DD">
        <w:rPr>
          <w:rFonts w:eastAsia="Verdana" w:cs="Verdana"/>
          <w:color w:val="000000" w:themeColor="text1"/>
        </w:rPr>
        <w:t xml:space="preserve"> is ready to negotiate PSH but</w:t>
      </w:r>
      <w:r w:rsidRPr="00A420D1">
        <w:rPr>
          <w:rFonts w:eastAsia="Verdana" w:cs="Verdana"/>
          <w:color w:val="000000" w:themeColor="text1"/>
          <w:u w:val="single"/>
        </w:rPr>
        <w:t xml:space="preserve"> this must be done in the context of broader agricultural reform </w:t>
      </w:r>
      <w:r w:rsidRPr="48A536DD">
        <w:rPr>
          <w:rFonts w:eastAsia="Verdana" w:cs="Verdana"/>
          <w:color w:val="000000" w:themeColor="text1"/>
        </w:rPr>
        <w:t>– specifically, within the context of reform to limit and eliminate the use of trade distorting subsidies</w:t>
      </w:r>
      <w:r>
        <w:rPr>
          <w:rFonts w:eastAsia="Verdana" w:cs="Verdana"/>
          <w:color w:val="000000" w:themeColor="text1"/>
        </w:rPr>
        <w:t xml:space="preserve">. Language should be adjusted accordingly. </w:t>
      </w:r>
    </w:p>
    <w:p w14:paraId="4B30C302" w14:textId="77777777" w:rsidR="00A420D1" w:rsidRDefault="00A420D1" w:rsidP="00A420D1">
      <w:pPr>
        <w:tabs>
          <w:tab w:val="clear" w:pos="567"/>
          <w:tab w:val="left" w:pos="5880"/>
        </w:tabs>
        <w:rPr>
          <w:rFonts w:eastAsia="Verdana" w:cs="Verdana"/>
          <w:color w:val="000000" w:themeColor="text1"/>
        </w:rPr>
      </w:pPr>
    </w:p>
    <w:p w14:paraId="44564F68" w14:textId="17FB0122" w:rsidR="00B35CB8" w:rsidRPr="00B35CB8" w:rsidRDefault="00A420D1" w:rsidP="00B35CB8">
      <w:pPr>
        <w:tabs>
          <w:tab w:val="clear" w:pos="567"/>
          <w:tab w:val="left" w:pos="5880"/>
        </w:tabs>
        <w:rPr>
          <w:lang w:val="en-AU"/>
        </w:rPr>
      </w:pPr>
      <w:r>
        <w:rPr>
          <w:szCs w:val="20"/>
        </w:rPr>
        <w:t xml:space="preserve">46: </w:t>
      </w:r>
      <w:r>
        <w:t xml:space="preserve">We would support a stronger </w:t>
      </w:r>
      <w:r w:rsidRPr="48A536DD">
        <w:t>emphasis in this para</w:t>
      </w:r>
      <w:r>
        <w:t xml:space="preserve"> on</w:t>
      </w:r>
      <w:r w:rsidRPr="48A536DD">
        <w:t xml:space="preserve"> sustainable extraction and ensuring social protection, as well as holding governments and private sector to account where this is not the case.</w:t>
      </w:r>
      <w:r w:rsidR="00B35CB8">
        <w:t xml:space="preserve"> </w:t>
      </w:r>
      <w:r w:rsidR="00B35CB8">
        <w:rPr>
          <w:lang w:val="en-AU"/>
        </w:rPr>
        <w:t>There are n</w:t>
      </w:r>
      <w:r w:rsidR="00B35CB8" w:rsidRPr="00B35CB8">
        <w:rPr>
          <w:lang w:val="en-AU"/>
        </w:rPr>
        <w:t xml:space="preserve">umerous examples of unsustainable resource extraction in developing countries, causing adverse social and environmental impacts, as well as conflict. </w:t>
      </w:r>
    </w:p>
    <w:p w14:paraId="6A3A84EC" w14:textId="3E31235F" w:rsidR="00A420D1" w:rsidRPr="009D2E6D" w:rsidRDefault="00A420D1" w:rsidP="00A420D1">
      <w:pPr>
        <w:tabs>
          <w:tab w:val="clear" w:pos="567"/>
          <w:tab w:val="left" w:pos="5880"/>
        </w:tabs>
        <w:rPr>
          <w:szCs w:val="20"/>
        </w:rPr>
      </w:pPr>
    </w:p>
    <w:sectPr w:rsidR="00A420D1" w:rsidRPr="009D2E6D" w:rsidSect="002B6045">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701"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33707" w14:textId="77777777" w:rsidR="00D13FA3" w:rsidRDefault="00D13FA3" w:rsidP="00023335">
      <w:pPr>
        <w:spacing w:line="240" w:lineRule="auto"/>
      </w:pPr>
      <w:r>
        <w:separator/>
      </w:r>
    </w:p>
  </w:endnote>
  <w:endnote w:type="continuationSeparator" w:id="0">
    <w:p w14:paraId="45C4520B" w14:textId="77777777" w:rsidR="00D13FA3" w:rsidRDefault="00D13FA3" w:rsidP="00023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Bold">
    <w:altName w:val="Roboto"/>
    <w:panose1 w:val="00000000000000000000"/>
    <w:charset w:val="00"/>
    <w:family w:val="auto"/>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07C1" w14:textId="466D36EA" w:rsidR="009D2E6D" w:rsidRDefault="009D2E6D">
    <w:pPr>
      <w:pStyle w:val="Footer"/>
    </w:pPr>
    <w:r>
      <w:rPr>
        <w:noProof/>
      </w:rPr>
      <mc:AlternateContent>
        <mc:Choice Requires="wps">
          <w:drawing>
            <wp:anchor distT="0" distB="0" distL="0" distR="0" simplePos="0" relativeHeight="251658240" behindDoc="0" locked="0" layoutInCell="1" allowOverlap="1" wp14:anchorId="66E07DE8" wp14:editId="283AFD02">
              <wp:simplePos x="635" y="635"/>
              <wp:positionH relativeFrom="page">
                <wp:align>center</wp:align>
              </wp:positionH>
              <wp:positionV relativeFrom="page">
                <wp:align>bottom</wp:align>
              </wp:positionV>
              <wp:extent cx="443865" cy="443865"/>
              <wp:effectExtent l="0" t="0" r="2540" b="0"/>
              <wp:wrapNone/>
              <wp:docPr id="376070426"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CEB23C" w14:textId="0C9882FD"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E07DE8" id="_x0000_t202" coordsize="21600,21600" o:spt="202" path="m,l,21600r21600,l21600,xe">
              <v:stroke joinstyle="miter"/>
              <v:path gradientshapeok="t" o:connecttype="rect"/>
            </v:shapetype>
            <v:shape id="Text Box 5" o:spid="_x0000_s1028" type="#_x0000_t202" alt="UNCLASSIFI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8CEB23C" w14:textId="0C9882FD"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E60A" w14:textId="1D16FB3D" w:rsidR="00CE1AA0" w:rsidRPr="00CE1AA0" w:rsidRDefault="009D2E6D" w:rsidP="00CE1AA0">
    <w:pPr>
      <w:pStyle w:val="DocumentID"/>
    </w:pPr>
    <w:bookmarkStart w:id="2" w:name="document_id2"/>
    <w:r>
      <w:rPr>
        <w:noProof/>
      </w:rPr>
      <mc:AlternateContent>
        <mc:Choice Requires="wps">
          <w:drawing>
            <wp:anchor distT="0" distB="0" distL="0" distR="0" simplePos="0" relativeHeight="251660288" behindDoc="0" locked="0" layoutInCell="1" allowOverlap="1" wp14:anchorId="15B12702" wp14:editId="63DAB5FC">
              <wp:simplePos x="635" y="635"/>
              <wp:positionH relativeFrom="page">
                <wp:align>center</wp:align>
              </wp:positionH>
              <wp:positionV relativeFrom="page">
                <wp:align>bottom</wp:align>
              </wp:positionV>
              <wp:extent cx="443865" cy="443865"/>
              <wp:effectExtent l="0" t="0" r="2540" b="0"/>
              <wp:wrapNone/>
              <wp:docPr id="431813662"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F20C61" w14:textId="2CD1BE2E"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B12702" id="_x0000_t202" coordsize="21600,21600" o:spt="202" path="m,l,21600r21600,l21600,xe">
              <v:stroke joinstyle="miter"/>
              <v:path gradientshapeok="t" o:connecttype="rect"/>
            </v:shapetype>
            <v:shape id="Text Box 6" o:spid="_x0000_s1029" type="#_x0000_t202" alt="UNCLASSIFIED"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CF20C61" w14:textId="2CD1BE2E"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r w:rsidR="00CE1AA0" w:rsidRPr="00F452A0">
      <w:t>[Document ID]</w:t>
    </w:r>
    <w:bookmarkEnd w:id="2"/>
  </w:p>
  <w:p w14:paraId="0314C96E" w14:textId="77777777" w:rsidR="00CE1AA0" w:rsidRPr="00D175FF" w:rsidRDefault="00CE1AA0" w:rsidP="00CE1AA0">
    <w:pPr>
      <w:pStyle w:val="Footer"/>
      <w:tabs>
        <w:tab w:val="left" w:pos="2565"/>
      </w:tabs>
      <w:jc w:val="center"/>
      <w:rPr>
        <w:sz w:val="20"/>
        <w:szCs w:val="20"/>
      </w:rPr>
    </w:pPr>
  </w:p>
  <w:p w14:paraId="4F80327D" w14:textId="4F3BC456" w:rsidR="00CE1AA0" w:rsidRDefault="00CE1AA0" w:rsidP="00CE1AA0">
    <w:pPr>
      <w:pStyle w:val="SecurityClassification"/>
    </w:pPr>
    <w:r w:rsidRPr="00F452A0">
      <w:t xml:space="preserve"> </w:t>
    </w:r>
    <w:bookmarkStart w:id="3" w:name="security_caveat_footer2"/>
    <w:bookmarkEnd w:id="3"/>
  </w:p>
  <w:p w14:paraId="041DC1BA" w14:textId="77777777" w:rsidR="00023335" w:rsidRDefault="00023335" w:rsidP="00CE1AA0">
    <w:pPr>
      <w:pStyle w:val="Footer"/>
      <w:jc w:val="center"/>
    </w:pPr>
    <w:bookmarkStart w:id="4" w:name="covering_classification_footer2"/>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96BE" w14:textId="0D91FC08" w:rsidR="00CE1AA0" w:rsidRDefault="009D2E6D" w:rsidP="00CE1AA0">
    <w:pPr>
      <w:pStyle w:val="DocumentID"/>
    </w:pPr>
    <w:bookmarkStart w:id="8" w:name="document_id"/>
    <w:r>
      <w:rPr>
        <w:noProof/>
      </w:rPr>
      <mc:AlternateContent>
        <mc:Choice Requires="wps">
          <w:drawing>
            <wp:anchor distT="0" distB="0" distL="0" distR="0" simplePos="0" relativeHeight="251657216" behindDoc="0" locked="0" layoutInCell="1" allowOverlap="1" wp14:anchorId="347E7AC6" wp14:editId="1E4A6CC1">
              <wp:simplePos x="899160" y="9776460"/>
              <wp:positionH relativeFrom="page">
                <wp:align>center</wp:align>
              </wp:positionH>
              <wp:positionV relativeFrom="page">
                <wp:align>bottom</wp:align>
              </wp:positionV>
              <wp:extent cx="443865" cy="443865"/>
              <wp:effectExtent l="0" t="0" r="2540" b="0"/>
              <wp:wrapNone/>
              <wp:docPr id="888505947"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2B1E4C" w14:textId="6F3637E7"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7E7AC6" id="_x0000_t202" coordsize="21600,21600" o:spt="202" path="m,l,21600r21600,l21600,xe">
              <v:stroke joinstyle="miter"/>
              <v:path gradientshapeok="t" o:connecttype="rect"/>
            </v:shapetype>
            <v:shape id="Text Box 4" o:spid="_x0000_s1031" type="#_x0000_t202" alt="UNCLASSIFIED" style="position:absolute;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62B1E4C" w14:textId="6F3637E7"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r w:rsidR="00CE1AA0">
      <w:t>[Document ID]</w:t>
    </w:r>
    <w:bookmarkEnd w:id="8"/>
  </w:p>
  <w:p w14:paraId="7393C16D" w14:textId="77777777" w:rsidR="00CE1AA0" w:rsidRPr="00D175FF" w:rsidRDefault="00CE1AA0" w:rsidP="00CE1AA0">
    <w:pPr>
      <w:pStyle w:val="Footer"/>
      <w:rPr>
        <w:sz w:val="20"/>
      </w:rPr>
    </w:pPr>
  </w:p>
  <w:p w14:paraId="06705A9A" w14:textId="231E68AC" w:rsidR="00CE1AA0" w:rsidRDefault="00CE1AA0" w:rsidP="00CE1AA0">
    <w:pPr>
      <w:pStyle w:val="SecurityClassification"/>
    </w:pPr>
    <w:r>
      <w:t xml:space="preserve"> </w:t>
    </w:r>
    <w:bookmarkStart w:id="9" w:name="security_caveat_footer"/>
    <w:bookmarkEnd w:id="9"/>
  </w:p>
  <w:p w14:paraId="1F507DEB" w14:textId="77777777" w:rsidR="00023335" w:rsidRDefault="00023335" w:rsidP="00CE1AA0">
    <w:pPr>
      <w:pStyle w:val="Footer"/>
      <w:jc w:val="center"/>
    </w:pPr>
    <w:bookmarkStart w:id="10" w:name="covering_classification_footer"/>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46A7D" w14:textId="77777777" w:rsidR="00D13FA3" w:rsidRDefault="00D13FA3" w:rsidP="00023335">
      <w:pPr>
        <w:spacing w:line="240" w:lineRule="auto"/>
      </w:pPr>
      <w:r>
        <w:separator/>
      </w:r>
    </w:p>
  </w:footnote>
  <w:footnote w:type="continuationSeparator" w:id="0">
    <w:p w14:paraId="26A602FB" w14:textId="77777777" w:rsidR="00D13FA3" w:rsidRDefault="00D13FA3" w:rsidP="00023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FA60" w14:textId="2A843998" w:rsidR="009D2E6D" w:rsidRDefault="009D2E6D">
    <w:pPr>
      <w:pStyle w:val="Header"/>
    </w:pPr>
    <w:r>
      <w:rPr>
        <w:noProof/>
      </w:rPr>
      <mc:AlternateContent>
        <mc:Choice Requires="wps">
          <w:drawing>
            <wp:anchor distT="0" distB="0" distL="0" distR="0" simplePos="0" relativeHeight="251655168" behindDoc="0" locked="0" layoutInCell="1" allowOverlap="1" wp14:anchorId="2DA233AB" wp14:editId="27771417">
              <wp:simplePos x="635" y="635"/>
              <wp:positionH relativeFrom="page">
                <wp:align>center</wp:align>
              </wp:positionH>
              <wp:positionV relativeFrom="page">
                <wp:align>top</wp:align>
              </wp:positionV>
              <wp:extent cx="443865" cy="443865"/>
              <wp:effectExtent l="0" t="0" r="2540" b="5715"/>
              <wp:wrapNone/>
              <wp:docPr id="307506235"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8ED143" w14:textId="75FEA1D2"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A233AB" id="_x0000_t202" coordsize="21600,21600" o:spt="202" path="m,l,21600r21600,l21600,xe">
              <v:stroke joinstyle="miter"/>
              <v:path gradientshapeok="t" o:connecttype="rect"/>
            </v:shapetype>
            <v:shape id="Text Box 2" o:spid="_x0000_s1026" type="#_x0000_t202" alt="UNCLASSIFIED" style="position:absolute;margin-left:0;margin-top:0;width:34.95pt;height:34.9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48ED143" w14:textId="75FEA1D2"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2467" w14:textId="3F9B526F" w:rsidR="005F746E" w:rsidRDefault="009D2E6D" w:rsidP="00CE1AA0">
    <w:pPr>
      <w:pStyle w:val="SecurityClassification"/>
    </w:pPr>
    <w:bookmarkStart w:id="0" w:name="security_classification_header2"/>
    <w:r>
      <w:rPr>
        <w:noProof/>
      </w:rPr>
      <mc:AlternateContent>
        <mc:Choice Requires="wps">
          <w:drawing>
            <wp:anchor distT="0" distB="0" distL="0" distR="0" simplePos="0" relativeHeight="251659264" behindDoc="0" locked="0" layoutInCell="1" allowOverlap="1" wp14:anchorId="44B65586" wp14:editId="1964A42A">
              <wp:simplePos x="635" y="635"/>
              <wp:positionH relativeFrom="page">
                <wp:align>center</wp:align>
              </wp:positionH>
              <wp:positionV relativeFrom="page">
                <wp:align>top</wp:align>
              </wp:positionV>
              <wp:extent cx="443865" cy="443865"/>
              <wp:effectExtent l="0" t="0" r="2540" b="5715"/>
              <wp:wrapNone/>
              <wp:docPr id="1687005545"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47A3FE" w14:textId="286AF3A2"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B65586" id="_x0000_t202" coordsize="21600,21600" o:spt="202" path="m,l,21600r21600,l21600,xe">
              <v:stroke joinstyle="miter"/>
              <v:path gradientshapeok="t" o:connecttype="rect"/>
            </v:shapetype>
            <v:shape id="Text Box 3" o:spid="_x0000_s1027" type="#_x0000_t202" alt="UNCLASSIFIED"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547A3FE" w14:textId="286AF3A2"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p w14:paraId="733DF4C3" w14:textId="77777777" w:rsidR="00CE1AA0" w:rsidRPr="005F746E" w:rsidRDefault="00CE1AA0" w:rsidP="007F6444">
    <w:pPr>
      <w:pStyle w:val="Header"/>
      <w:rPr>
        <w:rStyle w:val="PageNumber"/>
      </w:rPr>
    </w:pPr>
    <w:bookmarkStart w:id="1" w:name="covering_classification_header2"/>
    <w:bookmarkEnd w:id="0"/>
    <w:bookmarkEnd w:id="1"/>
  </w:p>
  <w:p w14:paraId="2AE3C464" w14:textId="77777777" w:rsidR="00CE1AA0" w:rsidRPr="00F452A0" w:rsidRDefault="00CE1AA0"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515590">
      <w:rPr>
        <w:rStyle w:val="PageNumber"/>
        <w:noProof/>
      </w:rPr>
      <w:t>2</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515590">
      <w:rPr>
        <w:rStyle w:val="PageNumber"/>
        <w:noProof/>
      </w:rPr>
      <w:t>2</w:t>
    </w:r>
    <w:r w:rsidRPr="00F452A0">
      <w:rPr>
        <w:rStyle w:val="PageNumber"/>
      </w:rPr>
      <w:fldChar w:fldCharType="end"/>
    </w:r>
  </w:p>
  <w:p w14:paraId="7EF20B5D" w14:textId="77777777" w:rsidR="00023335" w:rsidRPr="00023335" w:rsidRDefault="00023335" w:rsidP="00023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14D0" w14:textId="07704CEC" w:rsidR="005F746E" w:rsidRDefault="009D2E6D" w:rsidP="00CE1AA0">
    <w:pPr>
      <w:pStyle w:val="SecurityClassification"/>
    </w:pPr>
    <w:bookmarkStart w:id="5" w:name="security_classification_header"/>
    <w:r>
      <w:rPr>
        <w:noProof/>
      </w:rPr>
      <mc:AlternateContent>
        <mc:Choice Requires="wps">
          <w:drawing>
            <wp:anchor distT="0" distB="0" distL="0" distR="0" simplePos="0" relativeHeight="251656192" behindDoc="0" locked="0" layoutInCell="1" allowOverlap="1" wp14:anchorId="7A43B440" wp14:editId="73F85869">
              <wp:simplePos x="899160" y="251460"/>
              <wp:positionH relativeFrom="page">
                <wp:align>center</wp:align>
              </wp:positionH>
              <wp:positionV relativeFrom="page">
                <wp:align>top</wp:align>
              </wp:positionV>
              <wp:extent cx="443865" cy="443865"/>
              <wp:effectExtent l="0" t="0" r="2540" b="5715"/>
              <wp:wrapNone/>
              <wp:docPr id="666097833"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5940B8" w14:textId="6D148678"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43B440" id="_x0000_t202" coordsize="21600,21600" o:spt="202" path="m,l,21600r21600,l21600,xe">
              <v:stroke joinstyle="miter"/>
              <v:path gradientshapeok="t" o:connecttype="rect"/>
            </v:shapetype>
            <v:shape id="Text Box 1" o:spid="_x0000_s1030" type="#_x0000_t202" alt="UNCLASSIFIED" style="position:absolute;left:0;text-align:left;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A5940B8" w14:textId="6D148678"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bookmarkEnd w:id="5"/>
  <w:p w14:paraId="75334AF9" w14:textId="13A7DBE9" w:rsidR="00CE1AA0" w:rsidRDefault="00CE1AA0" w:rsidP="00CE1AA0">
    <w:pPr>
      <w:pStyle w:val="SecurityClassification"/>
    </w:pPr>
    <w:r>
      <w:t xml:space="preserve"> </w:t>
    </w:r>
    <w:bookmarkStart w:id="6" w:name="security_caveat_header"/>
    <w:bookmarkEnd w:id="6"/>
  </w:p>
  <w:p w14:paraId="4BD02360" w14:textId="77777777" w:rsidR="00023335" w:rsidRDefault="00023335" w:rsidP="00CE1AA0">
    <w:pPr>
      <w:pStyle w:val="SecurityClassification"/>
    </w:pPr>
    <w:bookmarkStart w:id="7" w:name="covering_classification_header"/>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num w:numId="1" w16cid:durableId="1490830947">
    <w:abstractNumId w:val="0"/>
  </w:num>
  <w:num w:numId="2" w16cid:durableId="1694040873">
    <w:abstractNumId w:val="4"/>
  </w:num>
  <w:num w:numId="3" w16cid:durableId="201019565">
    <w:abstractNumId w:val="2"/>
  </w:num>
  <w:num w:numId="4" w16cid:durableId="260795149">
    <w:abstractNumId w:val="3"/>
  </w:num>
  <w:num w:numId="5" w16cid:durableId="1797527226">
    <w:abstractNumId w:val="6"/>
  </w:num>
  <w:num w:numId="6" w16cid:durableId="902839132">
    <w:abstractNumId w:val="5"/>
  </w:num>
  <w:num w:numId="7" w16cid:durableId="147810952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D2E6D"/>
    <w:rsid w:val="0000774D"/>
    <w:rsid w:val="00011E1E"/>
    <w:rsid w:val="00023335"/>
    <w:rsid w:val="00053E2F"/>
    <w:rsid w:val="00071F86"/>
    <w:rsid w:val="000A3B90"/>
    <w:rsid w:val="000C64A2"/>
    <w:rsid w:val="00100FFD"/>
    <w:rsid w:val="00134267"/>
    <w:rsid w:val="002173C7"/>
    <w:rsid w:val="00236A09"/>
    <w:rsid w:val="00255554"/>
    <w:rsid w:val="00291F8E"/>
    <w:rsid w:val="002B6045"/>
    <w:rsid w:val="00303A38"/>
    <w:rsid w:val="003141F3"/>
    <w:rsid w:val="00365277"/>
    <w:rsid w:val="003E5F24"/>
    <w:rsid w:val="003F4A6D"/>
    <w:rsid w:val="00515590"/>
    <w:rsid w:val="005F099A"/>
    <w:rsid w:val="005F1313"/>
    <w:rsid w:val="005F746E"/>
    <w:rsid w:val="00631640"/>
    <w:rsid w:val="006507EA"/>
    <w:rsid w:val="006537F8"/>
    <w:rsid w:val="006A3343"/>
    <w:rsid w:val="006A699C"/>
    <w:rsid w:val="00737469"/>
    <w:rsid w:val="00790AAA"/>
    <w:rsid w:val="007F6444"/>
    <w:rsid w:val="00803EF1"/>
    <w:rsid w:val="00832846"/>
    <w:rsid w:val="008A31F0"/>
    <w:rsid w:val="008D17C5"/>
    <w:rsid w:val="008D2C23"/>
    <w:rsid w:val="009602EC"/>
    <w:rsid w:val="009D261D"/>
    <w:rsid w:val="009D2E6D"/>
    <w:rsid w:val="009D40EF"/>
    <w:rsid w:val="009F5D27"/>
    <w:rsid w:val="00A420D1"/>
    <w:rsid w:val="00AE0B06"/>
    <w:rsid w:val="00B35CB8"/>
    <w:rsid w:val="00B37FF1"/>
    <w:rsid w:val="00B72B22"/>
    <w:rsid w:val="00BF6F1A"/>
    <w:rsid w:val="00CE1AA0"/>
    <w:rsid w:val="00CF576F"/>
    <w:rsid w:val="00D13FA3"/>
    <w:rsid w:val="00D96C65"/>
    <w:rsid w:val="00DB5226"/>
    <w:rsid w:val="00DD19A7"/>
    <w:rsid w:val="00E62AAC"/>
    <w:rsid w:val="00EA04C8"/>
    <w:rsid w:val="00ED6CB8"/>
    <w:rsid w:val="00EF2068"/>
    <w:rsid w:val="00F06D90"/>
    <w:rsid w:val="00FC043A"/>
    <w:rsid w:val="00FE3D98"/>
  </w:rsids>
  <m:mathPr>
    <m:mathFont m:val="Cambria Math"/>
    <m:brkBin m:val="before"/>
    <m:brkBinSub m:val="--"/>
    <m:smallFrac m:val="0"/>
    <m:dispDef/>
    <m:lMargin m:val="0"/>
    <m:rMargin m:val="0"/>
    <m:defJc m:val="centerGroup"/>
    <m:wrapIndent m:val="1440"/>
    <m:intLim m:val="subSup"/>
    <m:naryLim m:val="undOvr"/>
  </m:mathPr>
  <w:themeFontLang w:val="en-NZ"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73DE2"/>
  <w15:chartTrackingRefBased/>
  <w15:docId w15:val="{B3065780-61A6-4FF9-8CC4-FAFAA9F1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MFAT"/>
    <w:qFormat/>
    <w:rsid w:val="00B37FF1"/>
    <w:pPr>
      <w:tabs>
        <w:tab w:val="left" w:pos="567"/>
      </w:tabs>
      <w:spacing w:line="288" w:lineRule="auto"/>
    </w:pPr>
    <w:rPr>
      <w:rFonts w:ascii="Verdana" w:hAnsi="Verdana"/>
      <w:szCs w:val="24"/>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line="240" w:lineRule="auto"/>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line="240" w:lineRule="auto"/>
      <w:outlineLvl w:val="1"/>
    </w:pPr>
    <w:rPr>
      <w:rFonts w:cs="Arial"/>
      <w:sz w:val="24"/>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pPr>
      <w:spacing w:line="240" w:lineRule="auto"/>
    </w:pPr>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5742DE95-C227-4982-8D2B-1F43C95E0619}">
  <ds:schemaRefs>
    <ds:schemaRef ds:uri="http://schemas.openxmlformats.org/officeDocument/2006/bibliography"/>
  </ds:schemaRefs>
</ds:datastoreItem>
</file>

<file path=customXml/itemProps2.xml><?xml version="1.0" encoding="utf-8"?>
<ds:datastoreItem xmlns:ds="http://schemas.openxmlformats.org/officeDocument/2006/customXml" ds:itemID="{CC2797CA-A9A8-4DE0-B2EA-A8B728992021}"/>
</file>

<file path=customXml/itemProps3.xml><?xml version="1.0" encoding="utf-8"?>
<ds:datastoreItem xmlns:ds="http://schemas.openxmlformats.org/officeDocument/2006/customXml" ds:itemID="{22BA786C-5483-4CD1-B1EF-FDE9BDFB0DF1}"/>
</file>

<file path=customXml/itemProps4.xml><?xml version="1.0" encoding="utf-8"?>
<ds:datastoreItem xmlns:ds="http://schemas.openxmlformats.org/officeDocument/2006/customXml" ds:itemID="{15F4F0B2-1D42-4652-804B-846014F638FC}"/>
</file>

<file path=docMetadata/LabelInfo.xml><?xml version="1.0" encoding="utf-8"?>
<clbl:labelList xmlns:clbl="http://schemas.microsoft.com/office/2020/mipLabelMetadata">
  <clbl:label id="{134c9d5b-ecd1-4255-8544-9530ef9a4426}" enabled="1" method="Privileged" siteId="{1aaaec2a-4cb7-48cc-a7da-41e33f622781}" contentBits="3"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Ministry of Foreign Affairs and Trade</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Richard (NYK)</dc:creator>
  <cp:keywords/>
  <dc:description/>
  <cp:lastModifiedBy>HANNAH, Richard (NYK)</cp:lastModifiedBy>
  <cp:revision>6</cp:revision>
  <cp:lastPrinted>2025-02-11T15:16:00Z</cp:lastPrinted>
  <dcterms:created xsi:type="dcterms:W3CDTF">2025-02-13T23:41:00Z</dcterms:created>
  <dcterms:modified xsi:type="dcterms:W3CDTF">2025-02-14T00:06:00Z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27b3d8a9,12542c3b,648da969</vt:lpwstr>
  </property>
  <property fmtid="{D5CDD505-2E9C-101B-9397-08002B2CF9AE}" pid="3" name="ClassificationContentMarkingHeaderFontProps">
    <vt:lpwstr>#000000,11,Segoe UI Semibold</vt:lpwstr>
  </property>
  <property fmtid="{D5CDD505-2E9C-101B-9397-08002B2CF9AE}" pid="4" name="ClassificationContentMarkingHeaderText">
    <vt:lpwstr>UNCLASSIFIED</vt:lpwstr>
  </property>
  <property fmtid="{D5CDD505-2E9C-101B-9397-08002B2CF9AE}" pid="5" name="ClassificationContentMarkingFooterShapeIds">
    <vt:lpwstr>34f5865b,166a611a,19bcf41e</vt:lpwstr>
  </property>
  <property fmtid="{D5CDD505-2E9C-101B-9397-08002B2CF9AE}" pid="6" name="ClassificationContentMarkingFooterFontProps">
    <vt:lpwstr>#000000,11,Segoe UI Semibold</vt:lpwstr>
  </property>
  <property fmtid="{D5CDD505-2E9C-101B-9397-08002B2CF9AE}" pid="7" name="ClassificationContentMarkingFooterText">
    <vt:lpwstr>UNCLASSIFIED</vt:lpwstr>
  </property>
  <property fmtid="{D5CDD505-2E9C-101B-9397-08002B2CF9AE}" pid="8" name="ContentTypeId">
    <vt:lpwstr>0x01010098E67939E49F43488880277401A25400</vt:lpwstr>
  </property>
</Properties>
</file>