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7DEB" w14:textId="77777777" w:rsidR="00CE5D0E" w:rsidRDefault="00CE5D0E" w:rsidP="00CE5D0E">
      <w:pPr>
        <w:pStyle w:val="Heading1"/>
        <w:spacing w:before="0" w:line="240" w:lineRule="auto"/>
        <w:jc w:val="center"/>
        <w:rPr>
          <w:rStyle w:val="A0"/>
          <w:rFonts w:cstheme="majorBidi"/>
          <w:b/>
          <w:bCs/>
          <w:color w:val="2F5496" w:themeColor="accent1" w:themeShade="BF"/>
          <w:sz w:val="32"/>
          <w:szCs w:val="32"/>
        </w:rPr>
      </w:pPr>
    </w:p>
    <w:p w14:paraId="27924EA3" w14:textId="32DF7BA3" w:rsidR="00CE1AF4" w:rsidRDefault="00391D0E" w:rsidP="00CE1AF4">
      <w:pPr>
        <w:pStyle w:val="Heading1"/>
        <w:spacing w:before="0" w:line="240" w:lineRule="auto"/>
        <w:jc w:val="center"/>
        <w:rPr>
          <w:rStyle w:val="A0"/>
          <w:rFonts w:cstheme="majorBidi"/>
          <w:b/>
          <w:bCs/>
          <w:color w:val="2F5496" w:themeColor="accent1" w:themeShade="BF"/>
          <w:sz w:val="32"/>
          <w:szCs w:val="32"/>
        </w:rPr>
      </w:pPr>
      <w:r w:rsidRPr="00D35D92">
        <w:rPr>
          <w:rStyle w:val="A0"/>
          <w:rFonts w:cstheme="majorBidi"/>
          <w:b/>
          <w:bCs/>
          <w:color w:val="2F5496" w:themeColor="accent1" w:themeShade="BF"/>
          <w:sz w:val="32"/>
          <w:szCs w:val="32"/>
        </w:rPr>
        <w:t>Facts</w:t>
      </w:r>
      <w:r w:rsidR="00003CE1" w:rsidRPr="00D35D92">
        <w:rPr>
          <w:rStyle w:val="A0"/>
          <w:rFonts w:cstheme="majorBidi"/>
          <w:b/>
          <w:bCs/>
          <w:color w:val="2F5496" w:themeColor="accent1" w:themeShade="BF"/>
          <w:sz w:val="32"/>
          <w:szCs w:val="32"/>
        </w:rPr>
        <w:t>heet</w:t>
      </w:r>
    </w:p>
    <w:p w14:paraId="453ADC33" w14:textId="0D9CF28F" w:rsidR="00BB494D" w:rsidRPr="00D35D92" w:rsidRDefault="00003CE1" w:rsidP="00583E87">
      <w:pPr>
        <w:pStyle w:val="Heading1"/>
        <w:spacing w:before="0" w:line="240" w:lineRule="auto"/>
        <w:jc w:val="center"/>
        <w:rPr>
          <w:rStyle w:val="A0"/>
          <w:rFonts w:cstheme="majorBidi"/>
          <w:b/>
          <w:bCs/>
          <w:i/>
          <w:iCs/>
          <w:color w:val="2F5496" w:themeColor="accent1" w:themeShade="BF"/>
          <w:sz w:val="32"/>
          <w:szCs w:val="32"/>
        </w:rPr>
      </w:pPr>
      <w:r w:rsidRPr="00D35D92">
        <w:rPr>
          <w:rStyle w:val="A0"/>
          <w:rFonts w:cstheme="majorBidi"/>
          <w:b/>
          <w:bCs/>
          <w:i/>
          <w:iCs/>
          <w:color w:val="2F5496" w:themeColor="accent1" w:themeShade="BF"/>
          <w:sz w:val="32"/>
          <w:szCs w:val="32"/>
        </w:rPr>
        <w:t xml:space="preserve">Financing </w:t>
      </w:r>
      <w:r w:rsidR="00391D0E" w:rsidRPr="00D35D92">
        <w:rPr>
          <w:rStyle w:val="A0"/>
          <w:rFonts w:cstheme="majorBidi"/>
          <w:b/>
          <w:bCs/>
          <w:i/>
          <w:iCs/>
          <w:color w:val="2F5496" w:themeColor="accent1" w:themeShade="BF"/>
          <w:sz w:val="32"/>
          <w:szCs w:val="32"/>
        </w:rPr>
        <w:t>f</w:t>
      </w:r>
      <w:r w:rsidRPr="00D35D92">
        <w:rPr>
          <w:rStyle w:val="A0"/>
          <w:rFonts w:cstheme="majorBidi"/>
          <w:b/>
          <w:bCs/>
          <w:i/>
          <w:iCs/>
          <w:color w:val="2F5496" w:themeColor="accent1" w:themeShade="BF"/>
          <w:sz w:val="32"/>
          <w:szCs w:val="32"/>
        </w:rPr>
        <w:t xml:space="preserve">or Development: Progress </w:t>
      </w:r>
      <w:r w:rsidR="008B49C5" w:rsidRPr="00D35D92">
        <w:rPr>
          <w:rStyle w:val="A0"/>
          <w:rFonts w:cstheme="majorBidi"/>
          <w:b/>
          <w:bCs/>
          <w:i/>
          <w:iCs/>
          <w:color w:val="2F5496" w:themeColor="accent1" w:themeShade="BF"/>
          <w:sz w:val="32"/>
          <w:szCs w:val="32"/>
        </w:rPr>
        <w:t>a</w:t>
      </w:r>
      <w:r w:rsidRPr="00D35D92">
        <w:rPr>
          <w:rStyle w:val="A0"/>
          <w:rFonts w:cstheme="majorBidi"/>
          <w:b/>
          <w:bCs/>
          <w:i/>
          <w:iCs/>
          <w:color w:val="2F5496" w:themeColor="accent1" w:themeShade="BF"/>
          <w:sz w:val="32"/>
          <w:szCs w:val="32"/>
        </w:rPr>
        <w:t>nd Prospects 2018</w:t>
      </w:r>
      <w:r w:rsidR="00A93018">
        <w:rPr>
          <w:rStyle w:val="A0"/>
          <w:rFonts w:cstheme="majorBidi"/>
          <w:b/>
          <w:bCs/>
          <w:i/>
          <w:iCs/>
          <w:color w:val="2F5496" w:themeColor="accent1" w:themeShade="BF"/>
          <w:sz w:val="32"/>
          <w:szCs w:val="32"/>
        </w:rPr>
        <w:t xml:space="preserve"> </w:t>
      </w:r>
      <w:r w:rsidR="00E45FFD">
        <w:rPr>
          <w:rStyle w:val="A0"/>
          <w:rFonts w:cstheme="majorBidi"/>
          <w:b/>
          <w:bCs/>
          <w:i/>
          <w:iCs/>
          <w:color w:val="2F5496" w:themeColor="accent1" w:themeShade="BF"/>
          <w:sz w:val="32"/>
          <w:szCs w:val="32"/>
        </w:rPr>
        <w:t xml:space="preserve">  </w:t>
      </w:r>
      <w:r w:rsidR="00E45FFD">
        <w:rPr>
          <w:rStyle w:val="FootnoteReference"/>
          <w:b/>
          <w:bCs/>
          <w:i/>
          <w:iCs/>
        </w:rPr>
        <w:footnoteReference w:id="1"/>
      </w:r>
    </w:p>
    <w:p w14:paraId="331FB7A2" w14:textId="77777777" w:rsidR="00CE1AF4" w:rsidRDefault="00BB494D" w:rsidP="00CE5D0E">
      <w:pPr>
        <w:pStyle w:val="NoSpacing"/>
        <w:jc w:val="center"/>
        <w:rPr>
          <w:rStyle w:val="A0"/>
          <w:sz w:val="22"/>
          <w:szCs w:val="22"/>
        </w:rPr>
      </w:pPr>
      <w:r w:rsidRPr="00003CE1">
        <w:rPr>
          <w:rStyle w:val="A0"/>
          <w:sz w:val="22"/>
          <w:szCs w:val="22"/>
        </w:rPr>
        <w:t>Inter-agency Task Force on Financing for Development</w:t>
      </w:r>
    </w:p>
    <w:p w14:paraId="7E1E58FB" w14:textId="4296ED70" w:rsidR="00620392" w:rsidRDefault="00CE5D0E" w:rsidP="00CE1AF4">
      <w:pPr>
        <w:pStyle w:val="NoSpacing"/>
        <w:rPr>
          <w:rStyle w:val="A0"/>
          <w:sz w:val="22"/>
          <w:szCs w:val="22"/>
        </w:rPr>
      </w:pPr>
      <w:r>
        <w:rPr>
          <w:rStyle w:val="A0"/>
          <w:sz w:val="22"/>
          <w:szCs w:val="22"/>
        </w:rPr>
        <w:br/>
      </w:r>
      <w:hyperlink r:id="rId8" w:history="1">
        <w:r w:rsidRPr="008D1E1F">
          <w:rPr>
            <w:rStyle w:val="Hyperlink"/>
            <w:rFonts w:cs="UniformCondensed-Medium"/>
          </w:rPr>
          <w:t>http://bit.ly/iatf2018</w:t>
        </w:r>
      </w:hyperlink>
    </w:p>
    <w:p w14:paraId="66D98A59" w14:textId="77777777" w:rsidR="00CE5D0E" w:rsidRDefault="00CE5D0E" w:rsidP="005270D9">
      <w:pPr>
        <w:pStyle w:val="NoSpacing"/>
        <w:rPr>
          <w:rStyle w:val="A0"/>
          <w:sz w:val="22"/>
          <w:szCs w:val="22"/>
        </w:rPr>
      </w:pPr>
    </w:p>
    <w:p w14:paraId="6D4887D2" w14:textId="77777777" w:rsidR="005270D9" w:rsidRPr="00CE5D0E" w:rsidRDefault="005270D9" w:rsidP="005270D9">
      <w:pPr>
        <w:pStyle w:val="NoSpacing"/>
        <w:rPr>
          <w:rFonts w:ascii="Helvetica" w:hAnsi="Helvetica" w:cs="Helvetica"/>
          <w:color w:val="000000"/>
        </w:rPr>
      </w:pPr>
    </w:p>
    <w:p w14:paraId="128F8033" w14:textId="77777777" w:rsidR="00003CE1" w:rsidRPr="00CE5D0E" w:rsidRDefault="00003CE1" w:rsidP="00003CE1">
      <w:pPr>
        <w:pStyle w:val="NoSpacing"/>
        <w:rPr>
          <w:rFonts w:ascii="Helvetica" w:hAnsi="Helvetica" w:cs="Helvetica"/>
          <w:b/>
          <w:bCs/>
          <w:sz w:val="20"/>
          <w:szCs w:val="20"/>
          <w:u w:val="single"/>
          <w:shd w:val="clear" w:color="auto" w:fill="FFFFFF"/>
        </w:rPr>
      </w:pPr>
      <w:r w:rsidRPr="00CE5D0E">
        <w:rPr>
          <w:rFonts w:ascii="Helvetica" w:hAnsi="Helvetica" w:cs="Helvetica"/>
          <w:b/>
          <w:bCs/>
          <w:sz w:val="20"/>
          <w:szCs w:val="20"/>
          <w:u w:val="single"/>
          <w:shd w:val="clear" w:color="auto" w:fill="FFFFFF"/>
        </w:rPr>
        <w:t>Domestic public resources</w:t>
      </w:r>
    </w:p>
    <w:p w14:paraId="2635D036" w14:textId="77777777" w:rsidR="00003CE1" w:rsidRPr="00CE5D0E" w:rsidRDefault="00003CE1" w:rsidP="00003CE1">
      <w:pPr>
        <w:pStyle w:val="NoSpacing"/>
        <w:ind w:left="720"/>
        <w:rPr>
          <w:rFonts w:ascii="Helvetica" w:hAnsi="Helvetica" w:cs="Helvetica"/>
          <w:sz w:val="20"/>
          <w:szCs w:val="20"/>
          <w:shd w:val="clear" w:color="auto" w:fill="FFFFFF"/>
        </w:rPr>
      </w:pPr>
    </w:p>
    <w:p w14:paraId="2F59A83C" w14:textId="709B4A1E" w:rsidR="007E2F0A" w:rsidRPr="00CE5D0E" w:rsidRDefault="007E2F0A" w:rsidP="00575E2B">
      <w:pPr>
        <w:pStyle w:val="ListParagraph"/>
        <w:numPr>
          <w:ilvl w:val="0"/>
          <w:numId w:val="13"/>
        </w:numPr>
        <w:autoSpaceDE w:val="0"/>
        <w:autoSpaceDN w:val="0"/>
        <w:adjustRightInd w:val="0"/>
        <w:spacing w:after="0" w:line="240" w:lineRule="auto"/>
        <w:rPr>
          <w:rFonts w:ascii="Helvetica" w:eastAsiaTheme="minorEastAsia" w:hAnsi="Helvetica" w:cs="Helvetica"/>
          <w:b/>
          <w:bCs/>
          <w:color w:val="E43226"/>
          <w:sz w:val="20"/>
          <w:szCs w:val="20"/>
          <w:lang w:val="en-US" w:eastAsia="zh-CN"/>
        </w:rPr>
      </w:pPr>
      <w:r w:rsidRPr="00CE5D0E">
        <w:rPr>
          <w:rFonts w:ascii="Helvetica" w:eastAsiaTheme="minorEastAsia" w:hAnsi="Helvetica" w:cs="Helvetica"/>
          <w:color w:val="000000"/>
          <w:sz w:val="20"/>
          <w:szCs w:val="20"/>
          <w:lang w:val="en-US" w:eastAsia="zh-CN"/>
        </w:rPr>
        <w:t>Median tax collection in developed countries was 25.2 percent of GDP in 2016, but f</w:t>
      </w:r>
      <w:r w:rsidR="00575E2B" w:rsidRPr="00CE5D0E">
        <w:rPr>
          <w:rFonts w:ascii="Helvetica" w:eastAsiaTheme="minorEastAsia" w:hAnsi="Helvetica" w:cs="Helvetica"/>
          <w:color w:val="000000"/>
          <w:sz w:val="20"/>
          <w:szCs w:val="20"/>
          <w:lang w:val="en-US" w:eastAsia="zh-CN"/>
        </w:rPr>
        <w:t>or the least develop</w:t>
      </w:r>
      <w:r w:rsidRPr="00CE5D0E">
        <w:rPr>
          <w:rFonts w:ascii="Helvetica" w:eastAsiaTheme="minorEastAsia" w:hAnsi="Helvetica" w:cs="Helvetica"/>
          <w:color w:val="000000"/>
          <w:sz w:val="20"/>
          <w:szCs w:val="20"/>
          <w:lang w:val="en-US" w:eastAsia="zh-CN"/>
        </w:rPr>
        <w:t>ed</w:t>
      </w:r>
      <w:r w:rsidR="00575E2B" w:rsidRPr="00CE5D0E">
        <w:rPr>
          <w:rFonts w:ascii="Helvetica" w:eastAsiaTheme="minorEastAsia" w:hAnsi="Helvetica" w:cs="Helvetica"/>
          <w:color w:val="000000"/>
          <w:sz w:val="20"/>
          <w:szCs w:val="20"/>
          <w:lang w:val="en-US" w:eastAsia="zh-CN"/>
        </w:rPr>
        <w:t xml:space="preserve"> countries, median tax revenue declined in 2016 and is only 13.3 percent of GDP.</w:t>
      </w:r>
      <w:r w:rsidRPr="00CE5D0E">
        <w:rPr>
          <w:rFonts w:ascii="Helvetica" w:eastAsiaTheme="minorEastAsia" w:hAnsi="Helvetica" w:cs="Helvetica"/>
          <w:color w:val="000000"/>
          <w:sz w:val="20"/>
          <w:szCs w:val="20"/>
          <w:lang w:val="en-US" w:eastAsia="zh-CN"/>
        </w:rPr>
        <w:t xml:space="preserve"> Middle income countries saw median tax revenue of 17.9 per cent in 2016.</w:t>
      </w:r>
      <w:r w:rsidR="00A040B4" w:rsidRPr="00CE5D0E">
        <w:rPr>
          <w:rFonts w:ascii="Helvetica" w:eastAsiaTheme="minorEastAsia" w:hAnsi="Helvetica" w:cs="Helvetica"/>
          <w:color w:val="000000"/>
          <w:sz w:val="20"/>
          <w:szCs w:val="20"/>
          <w:lang w:val="en-US" w:eastAsia="zh-CN"/>
        </w:rPr>
        <w:t xml:space="preserve"> </w:t>
      </w:r>
      <w:r w:rsidRPr="00CE5D0E">
        <w:rPr>
          <w:rFonts w:ascii="Helvetica" w:eastAsiaTheme="minorEastAsia" w:hAnsi="Helvetica" w:cs="Helvetica"/>
          <w:color w:val="000000"/>
          <w:sz w:val="20"/>
          <w:szCs w:val="20"/>
          <w:lang w:val="en-US" w:eastAsia="zh-CN"/>
        </w:rPr>
        <w:t>(p.41)</w:t>
      </w:r>
    </w:p>
    <w:p w14:paraId="665FC267" w14:textId="77777777" w:rsidR="007E2F0A" w:rsidRPr="00CE5D0E" w:rsidRDefault="007E2F0A" w:rsidP="007E2F0A">
      <w:pPr>
        <w:pStyle w:val="ListParagraph"/>
        <w:autoSpaceDE w:val="0"/>
        <w:autoSpaceDN w:val="0"/>
        <w:adjustRightInd w:val="0"/>
        <w:spacing w:after="0" w:line="240" w:lineRule="auto"/>
        <w:rPr>
          <w:rFonts w:ascii="Helvetica" w:eastAsiaTheme="minorEastAsia" w:hAnsi="Helvetica" w:cs="Helvetica"/>
          <w:b/>
          <w:bCs/>
          <w:color w:val="E43226"/>
          <w:sz w:val="20"/>
          <w:szCs w:val="20"/>
          <w:lang w:val="en-US" w:eastAsia="zh-CN"/>
        </w:rPr>
      </w:pPr>
    </w:p>
    <w:p w14:paraId="63CDA69B" w14:textId="77777777" w:rsidR="00575E2B" w:rsidRPr="00CE5D0E" w:rsidRDefault="00003CE1" w:rsidP="00575E2B">
      <w:pPr>
        <w:pStyle w:val="ListParagraph"/>
        <w:numPr>
          <w:ilvl w:val="0"/>
          <w:numId w:val="13"/>
        </w:numPr>
        <w:autoSpaceDE w:val="0"/>
        <w:autoSpaceDN w:val="0"/>
        <w:adjustRightInd w:val="0"/>
        <w:spacing w:after="0" w:line="240" w:lineRule="auto"/>
        <w:rPr>
          <w:rFonts w:ascii="Helvetica" w:eastAsiaTheme="minorEastAsia" w:hAnsi="Helvetica" w:cs="Helvetica"/>
          <w:b/>
          <w:bCs/>
          <w:color w:val="E43226"/>
          <w:sz w:val="20"/>
          <w:szCs w:val="20"/>
          <w:lang w:val="en-US" w:eastAsia="zh-CN"/>
        </w:rPr>
      </w:pPr>
      <w:r w:rsidRPr="00CE5D0E">
        <w:rPr>
          <w:rFonts w:ascii="Helvetica" w:eastAsiaTheme="minorEastAsia" w:hAnsi="Helvetica" w:cs="Helvetica"/>
          <w:color w:val="000000"/>
          <w:sz w:val="20"/>
          <w:szCs w:val="20"/>
          <w:lang w:val="en-US" w:eastAsia="zh-CN"/>
        </w:rPr>
        <w:t xml:space="preserve">In Latin America and the Caribbean, tax non-compliance is </w:t>
      </w:r>
      <w:r w:rsidR="00575E2B" w:rsidRPr="00CE5D0E">
        <w:rPr>
          <w:rFonts w:ascii="Helvetica" w:eastAsiaTheme="minorEastAsia" w:hAnsi="Helvetica" w:cs="Helvetica"/>
          <w:color w:val="000000"/>
          <w:sz w:val="20"/>
          <w:szCs w:val="20"/>
          <w:lang w:val="en-US" w:eastAsia="zh-CN"/>
        </w:rPr>
        <w:t xml:space="preserve">estimated to be </w:t>
      </w:r>
      <w:r w:rsidRPr="00CE5D0E">
        <w:rPr>
          <w:rFonts w:ascii="Helvetica" w:eastAsiaTheme="minorEastAsia" w:hAnsi="Helvetica" w:cs="Helvetica"/>
          <w:color w:val="000000"/>
          <w:sz w:val="20"/>
          <w:szCs w:val="20"/>
          <w:lang w:val="en-US" w:eastAsia="zh-CN"/>
        </w:rPr>
        <w:t>equivalent to 2.4 per cent of GDP for value-added taxes (VAT) and 4.3 per cent for income tax, worth a combined total of $340 billion in 2015. (</w:t>
      </w:r>
      <w:r w:rsidR="005270D9" w:rsidRPr="00CE5D0E">
        <w:rPr>
          <w:rFonts w:ascii="Helvetica" w:eastAsiaTheme="minorEastAsia" w:hAnsi="Helvetica" w:cs="Helvetica"/>
          <w:color w:val="000000"/>
          <w:sz w:val="20"/>
          <w:szCs w:val="20"/>
          <w:lang w:val="en-US" w:eastAsia="zh-CN"/>
        </w:rPr>
        <w:t>p</w:t>
      </w:r>
      <w:r w:rsidRPr="00CE5D0E">
        <w:rPr>
          <w:rFonts w:ascii="Helvetica" w:eastAsiaTheme="minorEastAsia" w:hAnsi="Helvetica" w:cs="Helvetica"/>
          <w:color w:val="000000"/>
          <w:sz w:val="20"/>
          <w:szCs w:val="20"/>
          <w:lang w:val="en-US" w:eastAsia="zh-CN"/>
        </w:rPr>
        <w:t>.43)</w:t>
      </w:r>
    </w:p>
    <w:p w14:paraId="637D7015" w14:textId="77777777" w:rsidR="00575E2B" w:rsidRPr="00CE5D0E" w:rsidRDefault="00575E2B" w:rsidP="00575E2B">
      <w:pPr>
        <w:autoSpaceDE w:val="0"/>
        <w:autoSpaceDN w:val="0"/>
        <w:adjustRightInd w:val="0"/>
        <w:spacing w:after="0" w:line="240" w:lineRule="auto"/>
        <w:rPr>
          <w:rFonts w:ascii="Helvetica" w:eastAsiaTheme="minorEastAsia" w:hAnsi="Helvetica" w:cs="Helvetica"/>
          <w:b/>
          <w:bCs/>
          <w:color w:val="E43226"/>
          <w:sz w:val="20"/>
          <w:szCs w:val="20"/>
          <w:lang w:val="en-US" w:eastAsia="zh-CN"/>
        </w:rPr>
      </w:pPr>
    </w:p>
    <w:p w14:paraId="5E41C56C" w14:textId="77777777" w:rsidR="00575E2B" w:rsidRPr="00CE5D0E" w:rsidRDefault="00575E2B" w:rsidP="00575E2B">
      <w:pPr>
        <w:pStyle w:val="ListParagraph"/>
        <w:numPr>
          <w:ilvl w:val="0"/>
          <w:numId w:val="13"/>
        </w:numPr>
        <w:autoSpaceDE w:val="0"/>
        <w:autoSpaceDN w:val="0"/>
        <w:adjustRightInd w:val="0"/>
        <w:spacing w:after="0" w:line="240" w:lineRule="auto"/>
        <w:rPr>
          <w:rFonts w:ascii="Helvetica" w:eastAsiaTheme="minorEastAsia" w:hAnsi="Helvetica" w:cs="Helvetica"/>
          <w:b/>
          <w:bCs/>
          <w:sz w:val="20"/>
          <w:szCs w:val="20"/>
          <w:lang w:val="en-US" w:eastAsia="zh-CN"/>
        </w:rPr>
      </w:pPr>
      <w:r w:rsidRPr="00CE5D0E">
        <w:rPr>
          <w:rFonts w:ascii="Helvetica" w:eastAsiaTheme="minorEastAsia" w:hAnsi="Helvetica" w:cs="Helvetica"/>
          <w:color w:val="000000"/>
          <w:sz w:val="20"/>
          <w:szCs w:val="20"/>
          <w:lang w:val="en-US" w:eastAsia="zh-CN"/>
        </w:rPr>
        <w:t xml:space="preserve">Digitizing </w:t>
      </w:r>
      <w:r w:rsidRPr="00CE5D0E">
        <w:rPr>
          <w:rFonts w:ascii="Helvetica" w:eastAsiaTheme="minorEastAsia" w:hAnsi="Helvetica" w:cs="Helvetica"/>
          <w:sz w:val="20"/>
          <w:szCs w:val="20"/>
          <w:lang w:val="en-US" w:eastAsia="zh-CN"/>
        </w:rPr>
        <w:t xml:space="preserve">tax payments </w:t>
      </w:r>
      <w:r w:rsidR="00C16895" w:rsidRPr="00CE5D0E">
        <w:rPr>
          <w:rFonts w:ascii="Helvetica" w:eastAsiaTheme="minorEastAsia" w:hAnsi="Helvetica" w:cs="Helvetica"/>
          <w:sz w:val="20"/>
          <w:szCs w:val="20"/>
          <w:lang w:val="en-US" w:eastAsia="zh-CN"/>
        </w:rPr>
        <w:t xml:space="preserve">in developing countries </w:t>
      </w:r>
      <w:r w:rsidRPr="00CE5D0E">
        <w:rPr>
          <w:rFonts w:ascii="Helvetica" w:eastAsiaTheme="minorEastAsia" w:hAnsi="Helvetica" w:cs="Helvetica"/>
          <w:sz w:val="20"/>
          <w:szCs w:val="20"/>
          <w:lang w:val="en-US" w:eastAsia="zh-CN"/>
        </w:rPr>
        <w:t xml:space="preserve">can lead to direct savings </w:t>
      </w:r>
      <w:r w:rsidR="00C16895" w:rsidRPr="00CE5D0E">
        <w:rPr>
          <w:rFonts w:ascii="Helvetica" w:eastAsiaTheme="minorEastAsia" w:hAnsi="Helvetica" w:cs="Helvetica"/>
          <w:sz w:val="20"/>
          <w:szCs w:val="20"/>
          <w:lang w:val="en-US" w:eastAsia="zh-CN"/>
        </w:rPr>
        <w:t xml:space="preserve">of </w:t>
      </w:r>
      <w:r w:rsidRPr="00CE5D0E">
        <w:rPr>
          <w:rFonts w:ascii="Helvetica" w:eastAsiaTheme="minorEastAsia" w:hAnsi="Helvetica" w:cs="Helvetica"/>
          <w:sz w:val="20"/>
          <w:szCs w:val="20"/>
          <w:lang w:val="en-US" w:eastAsia="zh-CN"/>
        </w:rPr>
        <w:t xml:space="preserve">between 0.8 and 1.1 per cent of GDP </w:t>
      </w:r>
      <w:r w:rsidR="00095A47" w:rsidRPr="00CE5D0E">
        <w:rPr>
          <w:rFonts w:ascii="Helvetica" w:eastAsiaTheme="minorEastAsia" w:hAnsi="Helvetica" w:cs="Helvetica"/>
          <w:sz w:val="20"/>
          <w:szCs w:val="20"/>
          <w:lang w:val="en-US" w:eastAsia="zh-CN"/>
        </w:rPr>
        <w:t>annually</w:t>
      </w:r>
      <w:r w:rsidRPr="00CE5D0E">
        <w:rPr>
          <w:rFonts w:ascii="Helvetica" w:eastAsiaTheme="minorEastAsia" w:hAnsi="Helvetica" w:cs="Helvetica"/>
          <w:sz w:val="20"/>
          <w:szCs w:val="20"/>
          <w:lang w:val="en-US" w:eastAsia="zh-CN"/>
        </w:rPr>
        <w:t xml:space="preserve">, with about 0.5 per cent of GDP accruing to government. </w:t>
      </w:r>
      <w:r w:rsidR="00C16895" w:rsidRPr="00CE5D0E">
        <w:rPr>
          <w:rFonts w:ascii="Helvetica" w:eastAsiaTheme="minorEastAsia" w:hAnsi="Helvetica" w:cs="Helvetica"/>
          <w:sz w:val="20"/>
          <w:szCs w:val="20"/>
          <w:lang w:val="en-US" w:eastAsia="zh-CN"/>
        </w:rPr>
        <w:t>(P. 45)</w:t>
      </w:r>
    </w:p>
    <w:p w14:paraId="1C3F9A60" w14:textId="77777777" w:rsidR="00095A47" w:rsidRPr="00CE5D0E" w:rsidRDefault="00095A47" w:rsidP="00095A47">
      <w:pPr>
        <w:pStyle w:val="ListParagraph"/>
        <w:rPr>
          <w:rFonts w:ascii="Helvetica" w:eastAsiaTheme="minorEastAsia" w:hAnsi="Helvetica" w:cs="Helvetica"/>
          <w:b/>
          <w:bCs/>
          <w:sz w:val="20"/>
          <w:szCs w:val="20"/>
          <w:lang w:val="en-US" w:eastAsia="zh-CN"/>
        </w:rPr>
      </w:pPr>
    </w:p>
    <w:p w14:paraId="4F121C0E" w14:textId="77777777" w:rsidR="00095A47" w:rsidRPr="00CE5D0E" w:rsidRDefault="00095A47" w:rsidP="00575E2B">
      <w:pPr>
        <w:pStyle w:val="ListParagraph"/>
        <w:numPr>
          <w:ilvl w:val="0"/>
          <w:numId w:val="13"/>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sz w:val="20"/>
          <w:szCs w:val="20"/>
          <w:lang w:val="en-US" w:eastAsia="zh-CN"/>
        </w:rPr>
        <w:t>Only 16 countries have automatically-adjusted specific excise taxes on cigarettes, the WHO recommended best practice. (</w:t>
      </w:r>
      <w:r w:rsidR="005270D9" w:rsidRPr="00CE5D0E">
        <w:rPr>
          <w:rFonts w:ascii="Helvetica" w:eastAsiaTheme="minorEastAsia" w:hAnsi="Helvetica" w:cs="Helvetica"/>
          <w:sz w:val="20"/>
          <w:szCs w:val="20"/>
          <w:lang w:val="en-US" w:eastAsia="zh-CN"/>
        </w:rPr>
        <w:t>p</w:t>
      </w:r>
      <w:r w:rsidRPr="00CE5D0E">
        <w:rPr>
          <w:rFonts w:ascii="Helvetica" w:eastAsiaTheme="minorEastAsia" w:hAnsi="Helvetica" w:cs="Helvetica"/>
          <w:sz w:val="20"/>
          <w:szCs w:val="20"/>
          <w:lang w:val="en-US" w:eastAsia="zh-CN"/>
        </w:rPr>
        <w:t>. 48)</w:t>
      </w:r>
    </w:p>
    <w:p w14:paraId="04CB345C" w14:textId="77777777" w:rsidR="00003CE1" w:rsidRPr="00CE5D0E" w:rsidRDefault="00003CE1" w:rsidP="00003CE1">
      <w:pPr>
        <w:pStyle w:val="ListParagraph"/>
        <w:autoSpaceDE w:val="0"/>
        <w:autoSpaceDN w:val="0"/>
        <w:adjustRightInd w:val="0"/>
        <w:spacing w:after="0" w:line="240" w:lineRule="auto"/>
        <w:rPr>
          <w:rFonts w:ascii="Helvetica" w:eastAsiaTheme="minorEastAsia" w:hAnsi="Helvetica" w:cs="Helvetica"/>
          <w:b/>
          <w:bCs/>
          <w:sz w:val="20"/>
          <w:szCs w:val="20"/>
          <w:lang w:val="en-US" w:eastAsia="zh-CN"/>
        </w:rPr>
      </w:pPr>
    </w:p>
    <w:p w14:paraId="02A456C9" w14:textId="77777777" w:rsidR="00003CE1" w:rsidRPr="00CE5D0E" w:rsidRDefault="00095A47" w:rsidP="00003CE1">
      <w:pPr>
        <w:pStyle w:val="ListParagraph"/>
        <w:numPr>
          <w:ilvl w:val="0"/>
          <w:numId w:val="8"/>
        </w:numPr>
        <w:autoSpaceDE w:val="0"/>
        <w:autoSpaceDN w:val="0"/>
        <w:adjustRightInd w:val="0"/>
        <w:spacing w:after="0" w:line="240" w:lineRule="auto"/>
        <w:rPr>
          <w:rFonts w:ascii="Helvetica" w:eastAsiaTheme="minorEastAsia" w:hAnsi="Helvetica" w:cs="Helvetica"/>
          <w:color w:val="000000"/>
          <w:sz w:val="20"/>
          <w:szCs w:val="20"/>
          <w:lang w:val="en-US" w:eastAsia="zh-CN"/>
        </w:rPr>
      </w:pPr>
      <w:r w:rsidRPr="00CE5D0E">
        <w:rPr>
          <w:rFonts w:ascii="Helvetica" w:eastAsiaTheme="minorEastAsia" w:hAnsi="Helvetica" w:cs="Helvetica"/>
          <w:sz w:val="20"/>
          <w:szCs w:val="20"/>
          <w:lang w:val="en-US" w:eastAsia="zh-CN"/>
        </w:rPr>
        <w:t>In 2017</w:t>
      </w:r>
      <w:r w:rsidR="00003CE1" w:rsidRPr="00CE5D0E">
        <w:rPr>
          <w:rFonts w:ascii="Helvetica" w:eastAsiaTheme="minorEastAsia" w:hAnsi="Helvetica" w:cs="Helvetica"/>
          <w:sz w:val="20"/>
          <w:szCs w:val="20"/>
          <w:lang w:val="en-US" w:eastAsia="zh-CN"/>
        </w:rPr>
        <w:t xml:space="preserve"> only 26 of the covered 115 countries provide sufficient budget information that would enable all stakeholders to track </w:t>
      </w:r>
      <w:r w:rsidR="00003CE1" w:rsidRPr="00CE5D0E">
        <w:rPr>
          <w:rFonts w:ascii="Helvetica" w:eastAsiaTheme="minorEastAsia" w:hAnsi="Helvetica" w:cs="Helvetica"/>
          <w:color w:val="000000"/>
          <w:sz w:val="20"/>
          <w:szCs w:val="20"/>
          <w:lang w:val="en-US" w:eastAsia="zh-CN"/>
        </w:rPr>
        <w:t>development spending. (p. 56)</w:t>
      </w:r>
    </w:p>
    <w:p w14:paraId="75A21AAF" w14:textId="77777777" w:rsidR="00003CE1" w:rsidRPr="00CE5D0E" w:rsidRDefault="00003CE1" w:rsidP="00003CE1">
      <w:pPr>
        <w:pStyle w:val="ListParagraph"/>
        <w:autoSpaceDE w:val="0"/>
        <w:autoSpaceDN w:val="0"/>
        <w:adjustRightInd w:val="0"/>
        <w:spacing w:after="0" w:line="240" w:lineRule="auto"/>
        <w:rPr>
          <w:rFonts w:ascii="Helvetica" w:eastAsiaTheme="minorEastAsia" w:hAnsi="Helvetica" w:cs="Helvetica"/>
          <w:color w:val="000000"/>
          <w:sz w:val="20"/>
          <w:szCs w:val="20"/>
          <w:lang w:val="en-US" w:eastAsia="zh-CN"/>
        </w:rPr>
      </w:pPr>
    </w:p>
    <w:p w14:paraId="66E69838" w14:textId="77777777" w:rsidR="00003CE1" w:rsidRPr="00CE5D0E" w:rsidRDefault="00003CE1" w:rsidP="00003CE1">
      <w:pPr>
        <w:pStyle w:val="ListParagraph"/>
        <w:numPr>
          <w:ilvl w:val="0"/>
          <w:numId w:val="8"/>
        </w:numPr>
        <w:autoSpaceDE w:val="0"/>
        <w:autoSpaceDN w:val="0"/>
        <w:adjustRightInd w:val="0"/>
        <w:spacing w:after="0" w:line="240" w:lineRule="auto"/>
        <w:rPr>
          <w:rFonts w:ascii="Helvetica" w:eastAsiaTheme="minorEastAsia" w:hAnsi="Helvetica" w:cs="Helvetica"/>
          <w:color w:val="000000"/>
          <w:sz w:val="20"/>
          <w:szCs w:val="20"/>
          <w:lang w:val="en-US" w:eastAsia="zh-CN"/>
        </w:rPr>
      </w:pPr>
      <w:r w:rsidRPr="00CE5D0E">
        <w:rPr>
          <w:rFonts w:ascii="Helvetica" w:eastAsiaTheme="minorEastAsia" w:hAnsi="Helvetica" w:cs="Helvetica"/>
          <w:sz w:val="20"/>
          <w:szCs w:val="20"/>
          <w:lang w:val="en-US" w:eastAsia="zh-CN"/>
        </w:rPr>
        <w:t xml:space="preserve">Some 59 per cent of countries </w:t>
      </w:r>
      <w:r w:rsidR="00C16895" w:rsidRPr="00CE5D0E">
        <w:rPr>
          <w:rFonts w:ascii="Helvetica" w:eastAsiaTheme="minorEastAsia" w:hAnsi="Helvetica" w:cs="Helvetica"/>
          <w:sz w:val="20"/>
          <w:szCs w:val="20"/>
          <w:lang w:val="en-US" w:eastAsia="zh-CN"/>
        </w:rPr>
        <w:t xml:space="preserve">publish </w:t>
      </w:r>
      <w:r w:rsidRPr="00CE5D0E">
        <w:rPr>
          <w:rFonts w:ascii="Helvetica" w:eastAsiaTheme="minorEastAsia" w:hAnsi="Helvetica" w:cs="Helvetica"/>
          <w:sz w:val="20"/>
          <w:szCs w:val="20"/>
          <w:lang w:val="en-US" w:eastAsia="zh-CN"/>
        </w:rPr>
        <w:t xml:space="preserve">data on actual spending against the budget during implementation, but only 45 per cent make available data on final spending against the budget. Further, 74 per cent of </w:t>
      </w:r>
      <w:r w:rsidR="00095A47" w:rsidRPr="00CE5D0E">
        <w:rPr>
          <w:rFonts w:ascii="Helvetica" w:eastAsiaTheme="minorEastAsia" w:hAnsi="Helvetica" w:cs="Helvetica"/>
          <w:sz w:val="20"/>
          <w:szCs w:val="20"/>
          <w:lang w:val="en-US" w:eastAsia="zh-CN"/>
        </w:rPr>
        <w:t>countries</w:t>
      </w:r>
      <w:r w:rsidRPr="00CE5D0E">
        <w:rPr>
          <w:rFonts w:ascii="Helvetica" w:eastAsiaTheme="minorEastAsia" w:hAnsi="Helvetica" w:cs="Helvetica"/>
          <w:sz w:val="20"/>
          <w:szCs w:val="20"/>
          <w:lang w:val="en-US" w:eastAsia="zh-CN"/>
        </w:rPr>
        <w:t xml:space="preserve"> do not yet provide expenditures disaggregated by sex, age, income, or region.</w:t>
      </w:r>
      <w:r w:rsidR="00095A47" w:rsidRPr="00CE5D0E">
        <w:rPr>
          <w:rFonts w:ascii="Helvetica" w:eastAsiaTheme="minorEastAsia" w:hAnsi="Helvetica" w:cs="Helvetica"/>
          <w:sz w:val="20"/>
          <w:szCs w:val="20"/>
          <w:lang w:val="en-US" w:eastAsia="zh-CN"/>
        </w:rPr>
        <w:t xml:space="preserve"> (</w:t>
      </w:r>
      <w:r w:rsidR="005270D9" w:rsidRPr="00CE5D0E">
        <w:rPr>
          <w:rFonts w:ascii="Helvetica" w:eastAsiaTheme="minorEastAsia" w:hAnsi="Helvetica" w:cs="Helvetica"/>
          <w:sz w:val="20"/>
          <w:szCs w:val="20"/>
          <w:lang w:val="en-US" w:eastAsia="zh-CN"/>
        </w:rPr>
        <w:t>p</w:t>
      </w:r>
      <w:r w:rsidR="00095A47" w:rsidRPr="00CE5D0E">
        <w:rPr>
          <w:rFonts w:ascii="Helvetica" w:eastAsiaTheme="minorEastAsia" w:hAnsi="Helvetica" w:cs="Helvetica"/>
          <w:sz w:val="20"/>
          <w:szCs w:val="20"/>
          <w:lang w:val="en-US" w:eastAsia="zh-CN"/>
        </w:rPr>
        <w:t>. 56)</w:t>
      </w:r>
    </w:p>
    <w:p w14:paraId="376A9BCC" w14:textId="77777777" w:rsidR="00003CE1" w:rsidRPr="00CE5D0E" w:rsidRDefault="00003CE1" w:rsidP="00003CE1">
      <w:pPr>
        <w:pStyle w:val="ListParagraph"/>
        <w:rPr>
          <w:rFonts w:ascii="Helvetica" w:eastAsiaTheme="minorEastAsia" w:hAnsi="Helvetica" w:cs="Helvetica"/>
          <w:color w:val="000000"/>
          <w:sz w:val="20"/>
          <w:szCs w:val="20"/>
          <w:lang w:val="en-US" w:eastAsia="zh-CN"/>
        </w:rPr>
      </w:pPr>
    </w:p>
    <w:p w14:paraId="0FE7B9D4" w14:textId="77777777" w:rsidR="00003CE1" w:rsidRPr="00CE5D0E" w:rsidRDefault="00003CE1" w:rsidP="00003CE1">
      <w:pPr>
        <w:pStyle w:val="ListParagraph"/>
        <w:autoSpaceDE w:val="0"/>
        <w:autoSpaceDN w:val="0"/>
        <w:adjustRightInd w:val="0"/>
        <w:spacing w:after="0" w:line="240" w:lineRule="auto"/>
        <w:rPr>
          <w:rFonts w:ascii="Helvetica" w:eastAsiaTheme="minorEastAsia" w:hAnsi="Helvetica" w:cs="Helvetica"/>
          <w:b/>
          <w:bCs/>
          <w:color w:val="000000"/>
          <w:sz w:val="20"/>
          <w:szCs w:val="20"/>
          <w:u w:val="single"/>
          <w:lang w:val="en-US" w:eastAsia="zh-CN"/>
        </w:rPr>
      </w:pPr>
    </w:p>
    <w:p w14:paraId="47D0AFE4" w14:textId="77777777" w:rsidR="00003CE1" w:rsidRPr="00CE5D0E" w:rsidRDefault="00003CE1" w:rsidP="00003CE1">
      <w:pPr>
        <w:pStyle w:val="ListParagraph"/>
        <w:autoSpaceDE w:val="0"/>
        <w:autoSpaceDN w:val="0"/>
        <w:adjustRightInd w:val="0"/>
        <w:spacing w:after="0" w:line="240" w:lineRule="auto"/>
        <w:ind w:left="0"/>
        <w:rPr>
          <w:rFonts w:ascii="Helvetica" w:eastAsiaTheme="minorEastAsia" w:hAnsi="Helvetica" w:cs="Helvetica"/>
          <w:b/>
          <w:bCs/>
          <w:color w:val="000000"/>
          <w:sz w:val="20"/>
          <w:szCs w:val="20"/>
          <w:u w:val="single"/>
          <w:lang w:val="en-US" w:eastAsia="zh-CN"/>
        </w:rPr>
      </w:pPr>
      <w:r w:rsidRPr="00CE5D0E">
        <w:rPr>
          <w:rFonts w:ascii="Helvetica" w:eastAsiaTheme="minorEastAsia" w:hAnsi="Helvetica" w:cs="Helvetica"/>
          <w:b/>
          <w:bCs/>
          <w:color w:val="000000"/>
          <w:sz w:val="20"/>
          <w:szCs w:val="20"/>
          <w:u w:val="single"/>
          <w:lang w:val="en-US" w:eastAsia="zh-CN"/>
        </w:rPr>
        <w:t>Private business and finance</w:t>
      </w:r>
    </w:p>
    <w:p w14:paraId="2BF8884F" w14:textId="77777777" w:rsidR="00003CE1" w:rsidRPr="00CE5D0E" w:rsidRDefault="00003CE1" w:rsidP="00003CE1">
      <w:pPr>
        <w:pStyle w:val="ListParagraph"/>
        <w:autoSpaceDE w:val="0"/>
        <w:autoSpaceDN w:val="0"/>
        <w:adjustRightInd w:val="0"/>
        <w:spacing w:after="0" w:line="240" w:lineRule="auto"/>
        <w:ind w:left="360"/>
        <w:rPr>
          <w:rFonts w:ascii="Helvetica" w:eastAsiaTheme="minorEastAsia" w:hAnsi="Helvetica" w:cs="Helvetica"/>
          <w:b/>
          <w:bCs/>
          <w:color w:val="000000"/>
          <w:sz w:val="20"/>
          <w:szCs w:val="20"/>
          <w:u w:val="single"/>
          <w:lang w:val="en-US" w:eastAsia="zh-CN"/>
        </w:rPr>
      </w:pPr>
    </w:p>
    <w:p w14:paraId="7892074D" w14:textId="77777777" w:rsidR="00003CE1" w:rsidRPr="00CE5D0E" w:rsidRDefault="00095A47" w:rsidP="00003CE1">
      <w:pPr>
        <w:pStyle w:val="ListParagraph"/>
        <w:numPr>
          <w:ilvl w:val="0"/>
          <w:numId w:val="11"/>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sz w:val="20"/>
          <w:szCs w:val="20"/>
          <w:lang w:val="en-US" w:eastAsia="zh-CN"/>
        </w:rPr>
        <w:t>T</w:t>
      </w:r>
      <w:r w:rsidR="00003CE1" w:rsidRPr="00CE5D0E">
        <w:rPr>
          <w:rFonts w:ascii="Helvetica" w:eastAsiaTheme="minorEastAsia" w:hAnsi="Helvetica" w:cs="Helvetica"/>
          <w:sz w:val="20"/>
          <w:szCs w:val="20"/>
          <w:lang w:val="en-US" w:eastAsia="zh-CN"/>
        </w:rPr>
        <w:t xml:space="preserve">otal </w:t>
      </w:r>
      <w:r w:rsidRPr="00CE5D0E">
        <w:rPr>
          <w:rFonts w:ascii="Helvetica" w:eastAsiaTheme="minorEastAsia" w:hAnsi="Helvetica" w:cs="Helvetica"/>
          <w:sz w:val="20"/>
          <w:szCs w:val="20"/>
          <w:lang w:val="en-US" w:eastAsia="zh-CN"/>
        </w:rPr>
        <w:t xml:space="preserve">foreign direct investment </w:t>
      </w:r>
      <w:r w:rsidR="00003CE1" w:rsidRPr="00CE5D0E">
        <w:rPr>
          <w:rFonts w:ascii="Helvetica" w:eastAsiaTheme="minorEastAsia" w:hAnsi="Helvetica" w:cs="Helvetica"/>
          <w:sz w:val="20"/>
          <w:szCs w:val="20"/>
          <w:lang w:val="en-US" w:eastAsia="zh-CN"/>
        </w:rPr>
        <w:t>(FDI) to developing countries, amounted to approximately $653 billion in gross terms in 2017, with FDI to LDCs estimated to be around $32.6 billion (or around 2 per cent of total global FDI flows). (p.63)</w:t>
      </w:r>
    </w:p>
    <w:p w14:paraId="152F158D" w14:textId="77777777" w:rsidR="00003CE1" w:rsidRPr="00CE5D0E" w:rsidRDefault="00003CE1" w:rsidP="00003CE1">
      <w:pPr>
        <w:pStyle w:val="ListParagraph"/>
        <w:autoSpaceDE w:val="0"/>
        <w:autoSpaceDN w:val="0"/>
        <w:adjustRightInd w:val="0"/>
        <w:spacing w:after="0" w:line="240" w:lineRule="auto"/>
        <w:rPr>
          <w:rFonts w:ascii="Helvetica" w:eastAsiaTheme="minorEastAsia" w:hAnsi="Helvetica" w:cs="Helvetica"/>
          <w:sz w:val="20"/>
          <w:szCs w:val="20"/>
          <w:lang w:val="en-US" w:eastAsia="zh-CN"/>
        </w:rPr>
      </w:pPr>
    </w:p>
    <w:p w14:paraId="4A5A905F" w14:textId="77777777" w:rsidR="00003CE1" w:rsidRPr="00CE5D0E" w:rsidRDefault="00003CE1" w:rsidP="005270D9">
      <w:pPr>
        <w:pStyle w:val="ListParagraph"/>
        <w:numPr>
          <w:ilvl w:val="0"/>
          <w:numId w:val="11"/>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color w:val="000000"/>
          <w:sz w:val="20"/>
          <w:szCs w:val="20"/>
          <w:lang w:val="en-US" w:eastAsia="zh-CN"/>
        </w:rPr>
        <w:t>Long-term institutional investors are estimated to hold around $80 trillion in assets. (p. 67)</w:t>
      </w:r>
      <w:r w:rsidR="005270D9" w:rsidRPr="00CE5D0E">
        <w:rPr>
          <w:rFonts w:ascii="Helvetica" w:eastAsiaTheme="minorEastAsia" w:hAnsi="Helvetica" w:cs="Helvetica"/>
          <w:color w:val="000000"/>
          <w:sz w:val="20"/>
          <w:szCs w:val="20"/>
          <w:lang w:val="en-US" w:eastAsia="zh-CN"/>
        </w:rPr>
        <w:t xml:space="preserve"> So-called “impact investors”, who include positive social and environmental impacts alongside financial returns in their decision-making process, hold assets under management of around $22 billion. (p. 71)</w:t>
      </w:r>
    </w:p>
    <w:p w14:paraId="0F6177AA" w14:textId="77777777" w:rsidR="005270D9" w:rsidRPr="00CE5D0E" w:rsidRDefault="005270D9" w:rsidP="005270D9">
      <w:pPr>
        <w:pStyle w:val="ListParagraph"/>
        <w:rPr>
          <w:rFonts w:ascii="Helvetica" w:eastAsiaTheme="minorEastAsia" w:hAnsi="Helvetica" w:cs="Helvetica"/>
          <w:sz w:val="20"/>
          <w:szCs w:val="20"/>
          <w:lang w:val="en-US" w:eastAsia="zh-CN"/>
        </w:rPr>
      </w:pPr>
    </w:p>
    <w:p w14:paraId="29385E7F" w14:textId="77777777" w:rsidR="005270D9" w:rsidRPr="00CE5D0E" w:rsidRDefault="005270D9" w:rsidP="005270D9">
      <w:pPr>
        <w:pStyle w:val="ListParagraph"/>
        <w:numPr>
          <w:ilvl w:val="0"/>
          <w:numId w:val="11"/>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sz w:val="20"/>
          <w:szCs w:val="20"/>
          <w:lang w:val="en-US" w:eastAsia="zh-CN"/>
        </w:rPr>
        <w:t>Only 7 per cent of financial professionals report themselves as being ‘highly interested’ in investing with environmental and social factors in mind. (p. 72)</w:t>
      </w:r>
    </w:p>
    <w:p w14:paraId="728DE847" w14:textId="77777777" w:rsidR="005270D9" w:rsidRPr="00CE5D0E" w:rsidRDefault="005270D9" w:rsidP="005270D9">
      <w:pPr>
        <w:pStyle w:val="ListParagraph"/>
        <w:rPr>
          <w:rFonts w:ascii="Helvetica" w:eastAsiaTheme="minorEastAsia" w:hAnsi="Helvetica" w:cs="Helvetica"/>
          <w:sz w:val="20"/>
          <w:szCs w:val="20"/>
          <w:lang w:val="en-US" w:eastAsia="zh-CN"/>
        </w:rPr>
      </w:pPr>
    </w:p>
    <w:p w14:paraId="4914EA32" w14:textId="77777777" w:rsidR="005270D9" w:rsidRPr="00CE5D0E" w:rsidRDefault="005270D9" w:rsidP="005270D9">
      <w:pPr>
        <w:pStyle w:val="ListParagraph"/>
        <w:numPr>
          <w:ilvl w:val="0"/>
          <w:numId w:val="11"/>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sz w:val="20"/>
          <w:szCs w:val="20"/>
          <w:lang w:val="en-US" w:eastAsia="zh-CN"/>
        </w:rPr>
        <w:t>In 2016 S&amp;P 500 companies spent over 100 per cent of their earnings on dividends and share buybacks, which boost stock prices in the short run, rather than raising long-run company value through investments. (p. 74)</w:t>
      </w:r>
    </w:p>
    <w:p w14:paraId="42696A7D" w14:textId="77777777" w:rsidR="005270D9" w:rsidRPr="00CE5D0E" w:rsidRDefault="005270D9" w:rsidP="005270D9">
      <w:pPr>
        <w:pStyle w:val="ListParagraph"/>
        <w:rPr>
          <w:rFonts w:ascii="Helvetica" w:eastAsiaTheme="minorEastAsia" w:hAnsi="Helvetica" w:cs="Helvetica"/>
          <w:sz w:val="20"/>
          <w:szCs w:val="20"/>
          <w:lang w:val="en-US" w:eastAsia="zh-CN"/>
        </w:rPr>
      </w:pPr>
    </w:p>
    <w:p w14:paraId="61270D95" w14:textId="77777777" w:rsidR="005270D9" w:rsidRPr="00CE5D0E" w:rsidRDefault="005270D9" w:rsidP="005270D9">
      <w:pPr>
        <w:pStyle w:val="ListParagraph"/>
        <w:numPr>
          <w:ilvl w:val="0"/>
          <w:numId w:val="11"/>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sz w:val="20"/>
          <w:szCs w:val="20"/>
          <w:lang w:val="en-US" w:eastAsia="zh-CN"/>
        </w:rPr>
        <w:t>55 per cent of corporate executives and directors said they would delay investments in projects with positive returns to hit quarterly earnings targets. (p. 74)</w:t>
      </w:r>
    </w:p>
    <w:p w14:paraId="3240F49B" w14:textId="77777777" w:rsidR="00095A47" w:rsidRPr="00CE5D0E" w:rsidRDefault="00095A47" w:rsidP="00095A47">
      <w:pPr>
        <w:autoSpaceDE w:val="0"/>
        <w:autoSpaceDN w:val="0"/>
        <w:adjustRightInd w:val="0"/>
        <w:spacing w:after="0" w:line="240" w:lineRule="auto"/>
        <w:rPr>
          <w:rFonts w:ascii="Helvetica" w:eastAsiaTheme="minorEastAsia" w:hAnsi="Helvetica" w:cs="Helvetica"/>
          <w:sz w:val="20"/>
          <w:szCs w:val="20"/>
          <w:lang w:val="en-US" w:eastAsia="zh-CN"/>
        </w:rPr>
      </w:pPr>
    </w:p>
    <w:p w14:paraId="00F4B23C" w14:textId="77777777" w:rsidR="00BB494D" w:rsidRPr="00CE5D0E" w:rsidRDefault="00BB494D" w:rsidP="00BB494D">
      <w:pPr>
        <w:pStyle w:val="NoSpacing"/>
        <w:rPr>
          <w:rFonts w:ascii="Helvetica" w:hAnsi="Helvetica" w:cs="Helvetica"/>
          <w:sz w:val="20"/>
          <w:szCs w:val="20"/>
          <w:shd w:val="clear" w:color="auto" w:fill="FFFFFF"/>
        </w:rPr>
      </w:pPr>
      <w:r w:rsidRPr="00CE5D0E">
        <w:rPr>
          <w:rFonts w:ascii="Helvetica" w:hAnsi="Helvetica" w:cs="Helvetica"/>
          <w:b/>
          <w:bCs/>
          <w:sz w:val="20"/>
          <w:szCs w:val="20"/>
          <w:u w:val="single"/>
          <w:shd w:val="clear" w:color="auto" w:fill="FFFFFF"/>
        </w:rPr>
        <w:t>International development cooperation:</w:t>
      </w:r>
      <w:r w:rsidRPr="00CE5D0E">
        <w:rPr>
          <w:rStyle w:val="apple-converted-space"/>
          <w:rFonts w:ascii="Helvetica" w:hAnsi="Helvetica" w:cs="Helvetica"/>
          <w:color w:val="222222"/>
          <w:sz w:val="20"/>
          <w:szCs w:val="20"/>
          <w:shd w:val="clear" w:color="auto" w:fill="FFFFFF"/>
        </w:rPr>
        <w:t> </w:t>
      </w:r>
    </w:p>
    <w:p w14:paraId="466645B1" w14:textId="77777777" w:rsidR="00BB494D" w:rsidRPr="00CE5D0E" w:rsidRDefault="00BB494D" w:rsidP="00BB494D">
      <w:pPr>
        <w:pStyle w:val="NoSpacing"/>
        <w:ind w:left="720"/>
        <w:rPr>
          <w:rFonts w:ascii="Helvetica" w:hAnsi="Helvetica" w:cs="Helvetica"/>
          <w:color w:val="222222"/>
          <w:sz w:val="20"/>
          <w:szCs w:val="20"/>
        </w:rPr>
      </w:pPr>
    </w:p>
    <w:p w14:paraId="5C8C8359" w14:textId="77777777" w:rsidR="00BB494D" w:rsidRPr="00CE5D0E" w:rsidRDefault="00BB494D" w:rsidP="00BB494D">
      <w:pPr>
        <w:pStyle w:val="NoSpacing"/>
        <w:numPr>
          <w:ilvl w:val="0"/>
          <w:numId w:val="1"/>
        </w:numPr>
        <w:rPr>
          <w:rFonts w:ascii="Helvetica" w:hAnsi="Helvetica" w:cs="Helvetica"/>
          <w:color w:val="222222"/>
          <w:sz w:val="20"/>
          <w:szCs w:val="20"/>
        </w:rPr>
      </w:pPr>
      <w:r w:rsidRPr="00CE5D0E">
        <w:rPr>
          <w:rFonts w:ascii="Helvetica" w:hAnsi="Helvetica" w:cs="Helvetica"/>
          <w:sz w:val="20"/>
          <w:szCs w:val="20"/>
          <w:shd w:val="clear" w:color="auto" w:fill="FFFFFF"/>
        </w:rPr>
        <w:t xml:space="preserve">Aid increased by 10.7 per cent </w:t>
      </w:r>
      <w:r w:rsidR="000976FD" w:rsidRPr="00CE5D0E">
        <w:rPr>
          <w:rFonts w:ascii="Helvetica" w:hAnsi="Helvetica" w:cs="Helvetica"/>
          <w:sz w:val="20"/>
          <w:szCs w:val="20"/>
          <w:shd w:val="clear" w:color="auto" w:fill="FFFFFF"/>
        </w:rPr>
        <w:t xml:space="preserve">in real terms </w:t>
      </w:r>
      <w:r w:rsidRPr="00CE5D0E">
        <w:rPr>
          <w:rFonts w:ascii="Helvetica" w:hAnsi="Helvetica" w:cs="Helvetica"/>
          <w:sz w:val="20"/>
          <w:szCs w:val="20"/>
          <w:shd w:val="clear" w:color="auto" w:fill="FFFFFF"/>
        </w:rPr>
        <w:t>from 2015 to 2016, continuing a long-term rising trend</w:t>
      </w:r>
      <w:r w:rsidR="000976FD" w:rsidRPr="00CE5D0E">
        <w:rPr>
          <w:rFonts w:ascii="Helvetica" w:hAnsi="Helvetica" w:cs="Helvetica"/>
          <w:sz w:val="20"/>
          <w:szCs w:val="20"/>
          <w:shd w:val="clear" w:color="auto" w:fill="FFFFFF"/>
        </w:rPr>
        <w:t>. (p. 87)</w:t>
      </w:r>
    </w:p>
    <w:p w14:paraId="1597CFCA" w14:textId="77777777" w:rsidR="005270D9" w:rsidRPr="00CE5D0E" w:rsidRDefault="005270D9" w:rsidP="005270D9">
      <w:pPr>
        <w:pStyle w:val="NoSpacing"/>
        <w:ind w:left="720"/>
        <w:rPr>
          <w:rFonts w:ascii="Helvetica" w:hAnsi="Helvetica" w:cs="Helvetica"/>
          <w:color w:val="222222"/>
          <w:sz w:val="20"/>
          <w:szCs w:val="20"/>
        </w:rPr>
      </w:pPr>
    </w:p>
    <w:p w14:paraId="7C0B45C8" w14:textId="77777777" w:rsidR="00BB494D" w:rsidRPr="00CE5D0E" w:rsidRDefault="00BB494D" w:rsidP="00BB494D">
      <w:pPr>
        <w:pStyle w:val="NoSpacing"/>
        <w:numPr>
          <w:ilvl w:val="0"/>
          <w:numId w:val="1"/>
        </w:numPr>
        <w:rPr>
          <w:rStyle w:val="apple-converted-space"/>
          <w:rFonts w:ascii="Helvetica" w:hAnsi="Helvetica" w:cs="Helvetica"/>
          <w:color w:val="222222"/>
          <w:sz w:val="20"/>
          <w:szCs w:val="20"/>
        </w:rPr>
      </w:pPr>
      <w:r w:rsidRPr="00CE5D0E">
        <w:rPr>
          <w:rFonts w:ascii="Helvetica" w:hAnsi="Helvetica" w:cs="Helvetica"/>
          <w:sz w:val="20"/>
          <w:szCs w:val="20"/>
          <w:shd w:val="clear" w:color="auto" w:fill="FFFFFF"/>
        </w:rPr>
        <w:t>Since 2010, the increases in aid have</w:t>
      </w:r>
      <w:r w:rsidR="00FD4054" w:rsidRPr="00CE5D0E">
        <w:rPr>
          <w:rFonts w:ascii="Helvetica" w:hAnsi="Helvetica" w:cs="Helvetica"/>
          <w:sz w:val="20"/>
          <w:szCs w:val="20"/>
          <w:shd w:val="clear" w:color="auto" w:fill="FFFFFF"/>
        </w:rPr>
        <w:t>,</w:t>
      </w:r>
      <w:r w:rsidRPr="00CE5D0E">
        <w:rPr>
          <w:rFonts w:ascii="Helvetica" w:hAnsi="Helvetica" w:cs="Helvetica"/>
          <w:sz w:val="20"/>
          <w:szCs w:val="20"/>
          <w:shd w:val="clear" w:color="auto" w:fill="FFFFFF"/>
        </w:rPr>
        <w:t xml:space="preserve"> to a large extent</w:t>
      </w:r>
      <w:r w:rsidR="00FD4054" w:rsidRPr="00CE5D0E">
        <w:rPr>
          <w:rFonts w:ascii="Helvetica" w:hAnsi="Helvetica" w:cs="Helvetica"/>
          <w:sz w:val="20"/>
          <w:szCs w:val="20"/>
          <w:shd w:val="clear" w:color="auto" w:fill="FFFFFF"/>
        </w:rPr>
        <w:t>,</w:t>
      </w:r>
      <w:r w:rsidRPr="00CE5D0E">
        <w:rPr>
          <w:rFonts w:ascii="Helvetica" w:hAnsi="Helvetica" w:cs="Helvetica"/>
          <w:sz w:val="20"/>
          <w:szCs w:val="20"/>
          <w:shd w:val="clear" w:color="auto" w:fill="FFFFFF"/>
        </w:rPr>
        <w:t xml:space="preserve"> been due to humanitarian aid and in-donor refugee costs</w:t>
      </w:r>
      <w:r w:rsidR="000976FD" w:rsidRPr="00CE5D0E">
        <w:rPr>
          <w:rFonts w:ascii="Helvetica" w:hAnsi="Helvetica" w:cs="Helvetica"/>
          <w:sz w:val="20"/>
          <w:szCs w:val="20"/>
          <w:shd w:val="clear" w:color="auto" w:fill="FFFFFF"/>
        </w:rPr>
        <w:t>.</w:t>
      </w:r>
      <w:r w:rsidR="000976FD" w:rsidRPr="00CE5D0E">
        <w:rPr>
          <w:rStyle w:val="apple-converted-space"/>
          <w:rFonts w:ascii="Helvetica" w:hAnsi="Helvetica" w:cs="Helvetica"/>
          <w:color w:val="222222"/>
          <w:sz w:val="20"/>
          <w:szCs w:val="20"/>
          <w:shd w:val="clear" w:color="auto" w:fill="FFFFFF"/>
        </w:rPr>
        <w:t xml:space="preserve"> (p. 89)</w:t>
      </w:r>
    </w:p>
    <w:p w14:paraId="5780FBD9" w14:textId="77777777" w:rsidR="005270D9" w:rsidRPr="00CE5D0E" w:rsidRDefault="005270D9" w:rsidP="005270D9">
      <w:pPr>
        <w:pStyle w:val="NoSpacing"/>
        <w:rPr>
          <w:rStyle w:val="apple-converted-space"/>
          <w:rFonts w:ascii="Helvetica" w:hAnsi="Helvetica" w:cs="Helvetica"/>
          <w:color w:val="222222"/>
          <w:sz w:val="20"/>
          <w:szCs w:val="20"/>
        </w:rPr>
      </w:pPr>
    </w:p>
    <w:p w14:paraId="0A4A86C8" w14:textId="5DA24212" w:rsidR="00BB494D" w:rsidRPr="00CE5D0E" w:rsidRDefault="00BB494D" w:rsidP="00BB494D">
      <w:pPr>
        <w:pStyle w:val="NoSpacing"/>
        <w:numPr>
          <w:ilvl w:val="0"/>
          <w:numId w:val="1"/>
        </w:numPr>
        <w:rPr>
          <w:rFonts w:ascii="Helvetica" w:hAnsi="Helvetica" w:cs="Helvetica"/>
          <w:color w:val="222222"/>
          <w:sz w:val="20"/>
          <w:szCs w:val="20"/>
        </w:rPr>
      </w:pPr>
      <w:r w:rsidRPr="00CE5D0E">
        <w:rPr>
          <w:rFonts w:ascii="Helvetica" w:hAnsi="Helvetica" w:cs="Helvetica"/>
          <w:sz w:val="20"/>
          <w:szCs w:val="20"/>
          <w:shd w:val="clear" w:color="auto" w:fill="FFFFFF"/>
        </w:rPr>
        <w:t>Aid to the least developed countries has stagnated in recent years</w:t>
      </w:r>
      <w:r w:rsidR="000976FD" w:rsidRPr="00CE5D0E">
        <w:rPr>
          <w:rFonts w:ascii="Helvetica" w:hAnsi="Helvetica" w:cs="Helvetica"/>
          <w:sz w:val="20"/>
          <w:szCs w:val="20"/>
          <w:shd w:val="clear" w:color="auto" w:fill="FFFFFF"/>
        </w:rPr>
        <w:t>, growing just 1 per cent in real terms in 2016. (p. 87)</w:t>
      </w:r>
    </w:p>
    <w:p w14:paraId="68215D0D" w14:textId="77777777" w:rsidR="005270D9" w:rsidRPr="00CE5D0E" w:rsidRDefault="005270D9" w:rsidP="005270D9">
      <w:pPr>
        <w:pStyle w:val="NoSpacing"/>
        <w:rPr>
          <w:rFonts w:ascii="Helvetica" w:hAnsi="Helvetica" w:cs="Helvetica"/>
          <w:color w:val="222222"/>
          <w:sz w:val="20"/>
          <w:szCs w:val="20"/>
        </w:rPr>
      </w:pPr>
    </w:p>
    <w:p w14:paraId="62FBB6FA" w14:textId="3733BB5E" w:rsidR="009A5742" w:rsidRPr="00CE5D0E" w:rsidRDefault="009A5742" w:rsidP="009A5742">
      <w:pPr>
        <w:pStyle w:val="ListParagraph"/>
        <w:numPr>
          <w:ilvl w:val="0"/>
          <w:numId w:val="1"/>
        </w:numPr>
        <w:autoSpaceDE w:val="0"/>
        <w:autoSpaceDN w:val="0"/>
        <w:adjustRightInd w:val="0"/>
        <w:spacing w:after="0" w:line="240" w:lineRule="auto"/>
        <w:rPr>
          <w:rFonts w:ascii="Helvetica" w:eastAsiaTheme="minorEastAsia" w:hAnsi="Helvetica" w:cs="Helvetica"/>
          <w:sz w:val="20"/>
          <w:szCs w:val="20"/>
          <w:lang w:val="en-US" w:eastAsia="zh-CN"/>
        </w:rPr>
      </w:pPr>
      <w:r w:rsidRPr="00CE5D0E">
        <w:rPr>
          <w:rFonts w:ascii="Helvetica" w:eastAsiaTheme="minorEastAsia" w:hAnsi="Helvetica" w:cs="Helvetica"/>
          <w:sz w:val="20"/>
          <w:szCs w:val="20"/>
          <w:lang w:val="en-US" w:eastAsia="zh-CN"/>
        </w:rPr>
        <w:t>Between 2000 and 2016, 167 new blended finance facilities, with approximately $31 billion in combined commitments, and 189 blended finance funds</w:t>
      </w:r>
      <w:r w:rsidR="0015070D">
        <w:rPr>
          <w:rFonts w:ascii="Helvetica" w:eastAsiaTheme="minorEastAsia" w:hAnsi="Helvetica" w:cs="Helvetica"/>
          <w:sz w:val="20"/>
          <w:szCs w:val="20"/>
          <w:lang w:val="en-US" w:eastAsia="zh-CN"/>
        </w:rPr>
        <w:t>,</w:t>
      </w:r>
      <w:r w:rsidRPr="00CE5D0E">
        <w:rPr>
          <w:rFonts w:ascii="Helvetica" w:eastAsiaTheme="minorEastAsia" w:hAnsi="Helvetica" w:cs="Helvetica"/>
          <w:sz w:val="20"/>
          <w:szCs w:val="20"/>
          <w:lang w:val="en-US" w:eastAsia="zh-CN"/>
        </w:rPr>
        <w:t xml:space="preserve"> were launched. (p.103)</w:t>
      </w:r>
    </w:p>
    <w:p w14:paraId="6DA78D4D" w14:textId="77777777" w:rsidR="005270D9" w:rsidRPr="00CE5D0E" w:rsidRDefault="005270D9" w:rsidP="005270D9">
      <w:pPr>
        <w:autoSpaceDE w:val="0"/>
        <w:autoSpaceDN w:val="0"/>
        <w:adjustRightInd w:val="0"/>
        <w:spacing w:after="0" w:line="240" w:lineRule="auto"/>
        <w:rPr>
          <w:rFonts w:ascii="Helvetica" w:eastAsiaTheme="minorEastAsia" w:hAnsi="Helvetica" w:cs="Helvetica"/>
          <w:sz w:val="20"/>
          <w:szCs w:val="20"/>
          <w:lang w:val="en-US" w:eastAsia="zh-CN"/>
        </w:rPr>
      </w:pPr>
    </w:p>
    <w:p w14:paraId="4FE4C62C" w14:textId="77777777" w:rsidR="00BB494D" w:rsidRPr="00CE5D0E" w:rsidRDefault="009A5742" w:rsidP="00BB494D">
      <w:pPr>
        <w:pStyle w:val="NoSpacing"/>
        <w:numPr>
          <w:ilvl w:val="0"/>
          <w:numId w:val="1"/>
        </w:numPr>
        <w:rPr>
          <w:rStyle w:val="apple-converted-space"/>
          <w:rFonts w:ascii="Helvetica" w:hAnsi="Helvetica" w:cs="Helvetica"/>
          <w:color w:val="222222"/>
          <w:sz w:val="20"/>
          <w:szCs w:val="20"/>
        </w:rPr>
      </w:pPr>
      <w:r w:rsidRPr="00CE5D0E">
        <w:rPr>
          <w:rFonts w:ascii="Helvetica" w:hAnsi="Helvetica" w:cs="Helvetica"/>
          <w:sz w:val="20"/>
          <w:szCs w:val="20"/>
          <w:shd w:val="clear" w:color="auto" w:fill="FFFFFF"/>
        </w:rPr>
        <w:t>However, b</w:t>
      </w:r>
      <w:r w:rsidR="00BB494D" w:rsidRPr="00CE5D0E">
        <w:rPr>
          <w:rFonts w:ascii="Helvetica" w:hAnsi="Helvetica" w:cs="Helvetica"/>
          <w:sz w:val="20"/>
          <w:szCs w:val="20"/>
          <w:shd w:val="clear" w:color="auto" w:fill="FFFFFF"/>
        </w:rPr>
        <w:t>lended finance</w:t>
      </w:r>
      <w:r w:rsidR="00E3304A" w:rsidRPr="00CE5D0E">
        <w:rPr>
          <w:rFonts w:ascii="Helvetica" w:hAnsi="Helvetica" w:cs="Helvetica"/>
          <w:sz w:val="20"/>
          <w:szCs w:val="20"/>
          <w:shd w:val="clear" w:color="auto" w:fill="FFFFFF"/>
        </w:rPr>
        <w:t xml:space="preserve"> instruments are not being extended to</w:t>
      </w:r>
      <w:r w:rsidR="00BB494D" w:rsidRPr="00CE5D0E">
        <w:rPr>
          <w:rFonts w:ascii="Helvetica" w:hAnsi="Helvetica" w:cs="Helvetica"/>
          <w:sz w:val="20"/>
          <w:szCs w:val="20"/>
          <w:shd w:val="clear" w:color="auto" w:fill="FFFFFF"/>
        </w:rPr>
        <w:t xml:space="preserve"> the poorest countries – only 7 per cent of private finance mobilized by blending instruments targets the least developed countries</w:t>
      </w:r>
      <w:r w:rsidR="000976FD" w:rsidRPr="00CE5D0E">
        <w:rPr>
          <w:rFonts w:ascii="Helvetica" w:hAnsi="Helvetica" w:cs="Helvetica"/>
          <w:sz w:val="20"/>
          <w:szCs w:val="20"/>
          <w:shd w:val="clear" w:color="auto" w:fill="FFFFFF"/>
        </w:rPr>
        <w:t>.</w:t>
      </w:r>
      <w:r w:rsidR="000976FD" w:rsidRPr="00CE5D0E">
        <w:rPr>
          <w:rStyle w:val="apple-converted-space"/>
          <w:rFonts w:ascii="Helvetica" w:hAnsi="Helvetica" w:cs="Helvetica"/>
          <w:color w:val="222222"/>
          <w:sz w:val="20"/>
          <w:szCs w:val="20"/>
          <w:shd w:val="clear" w:color="auto" w:fill="FFFFFF"/>
        </w:rPr>
        <w:t> (p.103)</w:t>
      </w:r>
    </w:p>
    <w:p w14:paraId="169361ED" w14:textId="77777777" w:rsidR="00BB494D" w:rsidRPr="00CE5D0E" w:rsidRDefault="00BB494D" w:rsidP="00BB494D">
      <w:pPr>
        <w:spacing w:after="0"/>
        <w:rPr>
          <w:rFonts w:ascii="Helvetica" w:hAnsi="Helvetica" w:cs="Helvetica"/>
          <w:b/>
          <w:sz w:val="20"/>
          <w:szCs w:val="20"/>
          <w:u w:val="single"/>
          <w:lang w:val="en-US"/>
        </w:rPr>
      </w:pPr>
    </w:p>
    <w:p w14:paraId="2F206FB4" w14:textId="77777777" w:rsidR="00FD4054" w:rsidRPr="00CE5D0E" w:rsidRDefault="00FD4054" w:rsidP="00FD4054">
      <w:pPr>
        <w:pStyle w:val="NoSpacing"/>
        <w:ind w:left="720"/>
        <w:rPr>
          <w:rStyle w:val="apple-converted-space"/>
          <w:rFonts w:ascii="Helvetica" w:hAnsi="Helvetica" w:cs="Helvetica"/>
          <w:b/>
          <w:sz w:val="20"/>
          <w:szCs w:val="20"/>
          <w:u w:val="single"/>
          <w:lang w:val="en-US"/>
        </w:rPr>
      </w:pPr>
    </w:p>
    <w:p w14:paraId="0A6A257C" w14:textId="77777777" w:rsidR="00FD4054" w:rsidRPr="00CE5D0E" w:rsidRDefault="00FD4054" w:rsidP="00FD4054">
      <w:pPr>
        <w:rPr>
          <w:rFonts w:ascii="Helvetica" w:hAnsi="Helvetica" w:cs="Helvetica"/>
          <w:b/>
          <w:bCs/>
          <w:sz w:val="20"/>
          <w:szCs w:val="20"/>
          <w:u w:val="single"/>
        </w:rPr>
      </w:pPr>
      <w:r w:rsidRPr="00CE5D0E">
        <w:rPr>
          <w:rFonts w:ascii="Helvetica" w:hAnsi="Helvetica" w:cs="Helvetica"/>
          <w:b/>
          <w:bCs/>
          <w:sz w:val="20"/>
          <w:szCs w:val="20"/>
          <w:u w:val="single"/>
        </w:rPr>
        <w:t>International Trade as an engine for development</w:t>
      </w:r>
    </w:p>
    <w:p w14:paraId="252CB867" w14:textId="77777777" w:rsidR="00FD4054" w:rsidRPr="00CE5D0E" w:rsidRDefault="002F6E15" w:rsidP="00452470">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E</w:t>
      </w:r>
      <w:r w:rsidR="00FD4054" w:rsidRPr="00CE5D0E">
        <w:rPr>
          <w:rFonts w:ascii="Helvetica" w:hAnsi="Helvetica" w:cs="Helvetica"/>
          <w:sz w:val="20"/>
          <w:szCs w:val="20"/>
        </w:rPr>
        <w:t>ach additional dollar invested in a national trade promotion</w:t>
      </w:r>
      <w:r w:rsidR="00452470" w:rsidRPr="00CE5D0E">
        <w:rPr>
          <w:rFonts w:ascii="Helvetica" w:hAnsi="Helvetica" w:cs="Helvetica"/>
          <w:sz w:val="20"/>
          <w:szCs w:val="20"/>
        </w:rPr>
        <w:t xml:space="preserve"> </w:t>
      </w:r>
      <w:r w:rsidR="00FD4054" w:rsidRPr="00CE5D0E">
        <w:rPr>
          <w:rFonts w:ascii="Helvetica" w:hAnsi="Helvetica" w:cs="Helvetica"/>
          <w:sz w:val="20"/>
          <w:szCs w:val="20"/>
        </w:rPr>
        <w:t>organization would generate $87 worth of exports and $384 of additional GDP per capita (p.125)</w:t>
      </w:r>
    </w:p>
    <w:p w14:paraId="3FAAFD4B" w14:textId="77777777" w:rsidR="002F6E15" w:rsidRPr="00CE5D0E" w:rsidRDefault="002F6E15" w:rsidP="002F6E15">
      <w:pPr>
        <w:pStyle w:val="ListParagraph"/>
        <w:autoSpaceDE w:val="0"/>
        <w:autoSpaceDN w:val="0"/>
        <w:adjustRightInd w:val="0"/>
        <w:spacing w:after="0" w:line="240" w:lineRule="auto"/>
        <w:rPr>
          <w:rFonts w:ascii="Helvetica" w:hAnsi="Helvetica" w:cs="Helvetica"/>
          <w:sz w:val="20"/>
          <w:szCs w:val="20"/>
        </w:rPr>
      </w:pPr>
    </w:p>
    <w:p w14:paraId="1DC3F0BA" w14:textId="77777777" w:rsidR="00FD4054" w:rsidRPr="00CE5D0E" w:rsidRDefault="00FD4054" w:rsidP="00FD4054">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The volume of world trade grew by 3.7 per cent in 2017 and appears set to continue at a similar pace through 2019</w:t>
      </w:r>
      <w:r w:rsidR="002F6E15" w:rsidRPr="00CE5D0E">
        <w:rPr>
          <w:rFonts w:ascii="Helvetica" w:hAnsi="Helvetica" w:cs="Helvetica"/>
          <w:sz w:val="20"/>
          <w:szCs w:val="20"/>
        </w:rPr>
        <w:t>.</w:t>
      </w:r>
      <w:r w:rsidRPr="00CE5D0E">
        <w:rPr>
          <w:rFonts w:ascii="Helvetica" w:hAnsi="Helvetica" w:cs="Helvetica"/>
          <w:sz w:val="20"/>
          <w:szCs w:val="20"/>
        </w:rPr>
        <w:t xml:space="preserve"> (p.112)</w:t>
      </w:r>
      <w:r w:rsidR="002F6E15" w:rsidRPr="00CE5D0E">
        <w:rPr>
          <w:rFonts w:ascii="Helvetica" w:hAnsi="Helvetica" w:cs="Helvetica"/>
          <w:sz w:val="20"/>
          <w:szCs w:val="20"/>
        </w:rPr>
        <w:t xml:space="preserve"> Yet, the share of least developed countries in global exports has declined every year since 2011, and now stands at </w:t>
      </w:r>
      <w:r w:rsidR="00C908C3" w:rsidRPr="00CE5D0E">
        <w:rPr>
          <w:rFonts w:ascii="Helvetica" w:hAnsi="Helvetica" w:cs="Helvetica"/>
          <w:sz w:val="20"/>
          <w:szCs w:val="20"/>
        </w:rPr>
        <w:t>0.91 percent of trade (p. 113)</w:t>
      </w:r>
    </w:p>
    <w:p w14:paraId="00F6D82E" w14:textId="77777777" w:rsidR="002F6E15" w:rsidRPr="00CE5D0E" w:rsidRDefault="002F6E15" w:rsidP="002F6E15">
      <w:pPr>
        <w:pStyle w:val="ListParagraph"/>
        <w:autoSpaceDE w:val="0"/>
        <w:autoSpaceDN w:val="0"/>
        <w:adjustRightInd w:val="0"/>
        <w:spacing w:after="0" w:line="240" w:lineRule="auto"/>
        <w:rPr>
          <w:rFonts w:ascii="Helvetica" w:hAnsi="Helvetica" w:cs="Helvetica"/>
          <w:sz w:val="20"/>
          <w:szCs w:val="20"/>
        </w:rPr>
      </w:pPr>
    </w:p>
    <w:p w14:paraId="18D01090" w14:textId="77777777" w:rsidR="00FD4054" w:rsidRPr="00CE5D0E" w:rsidRDefault="00FD4054" w:rsidP="00FD4054">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The gap in trade finance remains large, particularly in developing countries, with global unmet demand estimated at about $1.5 trillion (p.120)</w:t>
      </w:r>
    </w:p>
    <w:p w14:paraId="01183278" w14:textId="77777777" w:rsidR="002F6E15" w:rsidRPr="00CE5D0E" w:rsidRDefault="002F6E15" w:rsidP="002F6E15">
      <w:pPr>
        <w:pStyle w:val="ListParagraph"/>
        <w:autoSpaceDE w:val="0"/>
        <w:autoSpaceDN w:val="0"/>
        <w:adjustRightInd w:val="0"/>
        <w:spacing w:after="0" w:line="240" w:lineRule="auto"/>
        <w:rPr>
          <w:rFonts w:ascii="Helvetica" w:hAnsi="Helvetica" w:cs="Helvetica"/>
          <w:sz w:val="20"/>
          <w:szCs w:val="20"/>
        </w:rPr>
      </w:pPr>
    </w:p>
    <w:p w14:paraId="1854CF85" w14:textId="77777777" w:rsidR="00FD4054" w:rsidRPr="00CE5D0E" w:rsidRDefault="00FD4054" w:rsidP="00FD4054">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Labour provisions figure in about 30 per cent of all trade agreements made in 2017, compared to only 7 per cent two decades ago (p.123)</w:t>
      </w:r>
    </w:p>
    <w:p w14:paraId="08A9D9B4" w14:textId="77777777" w:rsidR="00BB494D" w:rsidRPr="00CE5D0E" w:rsidRDefault="00BB494D" w:rsidP="00BB494D">
      <w:pPr>
        <w:spacing w:after="0"/>
        <w:rPr>
          <w:rFonts w:ascii="Helvetica" w:hAnsi="Helvetica" w:cs="Helvetica"/>
          <w:b/>
          <w:sz w:val="20"/>
          <w:szCs w:val="20"/>
          <w:u w:val="single"/>
          <w:lang w:val="en-US"/>
        </w:rPr>
      </w:pPr>
    </w:p>
    <w:p w14:paraId="77119472" w14:textId="77777777" w:rsidR="002F6E15" w:rsidRPr="00CE5D0E" w:rsidRDefault="002F6E15" w:rsidP="002F6E15">
      <w:pPr>
        <w:spacing w:after="0"/>
        <w:rPr>
          <w:rFonts w:ascii="Helvetica" w:hAnsi="Helvetica" w:cs="Helvetica"/>
          <w:b/>
          <w:sz w:val="20"/>
          <w:szCs w:val="20"/>
          <w:u w:val="single"/>
          <w:lang w:val="en-US"/>
        </w:rPr>
      </w:pPr>
      <w:r w:rsidRPr="00CE5D0E">
        <w:rPr>
          <w:rFonts w:ascii="Helvetica" w:hAnsi="Helvetica" w:cs="Helvetica"/>
          <w:b/>
          <w:sz w:val="20"/>
          <w:szCs w:val="20"/>
          <w:u w:val="single"/>
          <w:lang w:val="en-US"/>
        </w:rPr>
        <w:t>Debt and debt sustainability:</w:t>
      </w:r>
    </w:p>
    <w:p w14:paraId="7878D33F" w14:textId="77777777" w:rsidR="002F6E15" w:rsidRPr="00CE5D0E" w:rsidRDefault="002F6E15" w:rsidP="002F6E15">
      <w:pPr>
        <w:pStyle w:val="NoSpacing"/>
        <w:numPr>
          <w:ilvl w:val="0"/>
          <w:numId w:val="2"/>
        </w:numPr>
        <w:rPr>
          <w:rFonts w:ascii="Helvetica" w:hAnsi="Helvetica" w:cs="Helvetica"/>
          <w:b/>
          <w:sz w:val="20"/>
          <w:szCs w:val="20"/>
          <w:u w:val="single"/>
          <w:lang w:val="en-US"/>
        </w:rPr>
      </w:pPr>
      <w:r w:rsidRPr="00CE5D0E">
        <w:rPr>
          <w:rFonts w:ascii="Helvetica" w:hAnsi="Helvetica" w:cs="Helvetica"/>
          <w:sz w:val="20"/>
          <w:szCs w:val="20"/>
          <w:shd w:val="clear" w:color="auto" w:fill="FFFFFF"/>
        </w:rPr>
        <w:t>18 developing countries are either at high risk of or in debt distress. (p.139)</w:t>
      </w:r>
    </w:p>
    <w:p w14:paraId="4E4CFF36" w14:textId="77777777" w:rsidR="00744469" w:rsidRPr="00CE5D0E" w:rsidRDefault="00744469" w:rsidP="00744469">
      <w:pPr>
        <w:pStyle w:val="NoSpacing"/>
        <w:ind w:left="720"/>
        <w:rPr>
          <w:rFonts w:ascii="Helvetica" w:hAnsi="Helvetica" w:cs="Helvetica"/>
          <w:b/>
          <w:sz w:val="20"/>
          <w:szCs w:val="20"/>
          <w:u w:val="single"/>
          <w:lang w:val="en-US"/>
        </w:rPr>
      </w:pPr>
    </w:p>
    <w:p w14:paraId="7AE7A709" w14:textId="77777777" w:rsidR="00744469" w:rsidRPr="00CE5D0E" w:rsidRDefault="00744469" w:rsidP="002F6E15">
      <w:pPr>
        <w:pStyle w:val="NoSpacing"/>
        <w:numPr>
          <w:ilvl w:val="0"/>
          <w:numId w:val="2"/>
        </w:numPr>
        <w:rPr>
          <w:rStyle w:val="apple-converted-space"/>
          <w:rFonts w:ascii="Helvetica" w:hAnsi="Helvetica" w:cs="Helvetica"/>
          <w:b/>
          <w:sz w:val="20"/>
          <w:szCs w:val="20"/>
          <w:u w:val="single"/>
          <w:lang w:val="en-US"/>
        </w:rPr>
      </w:pPr>
      <w:r w:rsidRPr="00CE5D0E">
        <w:rPr>
          <w:rFonts w:ascii="Helvetica" w:hAnsi="Helvetica" w:cs="Helvetica"/>
          <w:sz w:val="20"/>
          <w:szCs w:val="20"/>
          <w:shd w:val="clear" w:color="auto" w:fill="FFFFFF"/>
        </w:rPr>
        <w:t>The median external debt of low- and middle-income countries is now at 40.1 per cent of GDP, the highest it has been since 2005. (p. 129)</w:t>
      </w:r>
    </w:p>
    <w:p w14:paraId="23FFFE1B" w14:textId="77777777" w:rsidR="002F6E15" w:rsidRPr="00CE5D0E" w:rsidRDefault="002F6E15" w:rsidP="002F6E15">
      <w:pPr>
        <w:pStyle w:val="NoSpacing"/>
        <w:ind w:left="720"/>
        <w:rPr>
          <w:rFonts w:ascii="Helvetica" w:hAnsi="Helvetica" w:cs="Helvetica"/>
          <w:b/>
          <w:sz w:val="20"/>
          <w:szCs w:val="20"/>
          <w:u w:val="single"/>
          <w:lang w:val="en-US"/>
        </w:rPr>
      </w:pPr>
    </w:p>
    <w:p w14:paraId="2EC412C6" w14:textId="77777777" w:rsidR="002F6E15" w:rsidRPr="00CE5D0E" w:rsidRDefault="002F6E15" w:rsidP="00CF3FE0">
      <w:pPr>
        <w:pStyle w:val="NoSpacing"/>
        <w:numPr>
          <w:ilvl w:val="0"/>
          <w:numId w:val="2"/>
        </w:numPr>
        <w:rPr>
          <w:rFonts w:ascii="Helvetica" w:hAnsi="Helvetica" w:cs="Helvetica"/>
          <w:b/>
          <w:sz w:val="20"/>
          <w:szCs w:val="20"/>
          <w:u w:val="single"/>
          <w:lang w:val="en-US"/>
        </w:rPr>
      </w:pPr>
      <w:r w:rsidRPr="00CE5D0E">
        <w:rPr>
          <w:rFonts w:ascii="Helvetica" w:hAnsi="Helvetica" w:cs="Helvetica"/>
          <w:sz w:val="20"/>
          <w:szCs w:val="20"/>
          <w:shd w:val="clear" w:color="auto" w:fill="FFFFFF"/>
        </w:rPr>
        <w:t>The share of private creditors in LDC public debt doubled from 8 per cent to 16 per cent since 2000, exposing them to significant rollover and refinancing risks. (p.129)</w:t>
      </w:r>
    </w:p>
    <w:p w14:paraId="3310FBEA" w14:textId="77777777" w:rsidR="00CF3FE0" w:rsidRPr="00CE5D0E" w:rsidRDefault="00CF3FE0" w:rsidP="002F6E15">
      <w:pPr>
        <w:spacing w:after="0"/>
        <w:rPr>
          <w:rFonts w:ascii="Helvetica" w:hAnsi="Helvetica" w:cs="Helvetica"/>
          <w:b/>
          <w:sz w:val="20"/>
          <w:szCs w:val="20"/>
          <w:u w:val="single"/>
          <w:lang w:val="en-US"/>
        </w:rPr>
      </w:pPr>
    </w:p>
    <w:p w14:paraId="2D9D0C83" w14:textId="77777777" w:rsidR="002F6E15" w:rsidRPr="00CE5D0E" w:rsidRDefault="002F6E15" w:rsidP="002F6E15">
      <w:pPr>
        <w:spacing w:after="0"/>
        <w:rPr>
          <w:rFonts w:ascii="Helvetica" w:hAnsi="Helvetica" w:cs="Helvetica"/>
          <w:b/>
          <w:sz w:val="20"/>
          <w:szCs w:val="20"/>
          <w:u w:val="single"/>
          <w:lang w:val="en-US"/>
        </w:rPr>
      </w:pPr>
      <w:r w:rsidRPr="00CE5D0E">
        <w:rPr>
          <w:rFonts w:ascii="Helvetica" w:hAnsi="Helvetica" w:cs="Helvetica"/>
          <w:b/>
          <w:sz w:val="20"/>
          <w:szCs w:val="20"/>
          <w:u w:val="single"/>
          <w:lang w:val="en-US"/>
        </w:rPr>
        <w:t>Systemic issues:</w:t>
      </w:r>
    </w:p>
    <w:p w14:paraId="7CF5C285" w14:textId="24B229A2" w:rsidR="002F6E15" w:rsidRPr="00CE5D0E" w:rsidRDefault="00CF3FE0"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The share of cross-border bank lending which is long-term in </w:t>
      </w:r>
      <w:r w:rsidR="008B6202" w:rsidRPr="00CE5D0E">
        <w:rPr>
          <w:rFonts w:ascii="Helvetica" w:hAnsi="Helvetica" w:cs="Helvetica"/>
          <w:sz w:val="20"/>
          <w:szCs w:val="20"/>
        </w:rPr>
        <w:t>maturity</w:t>
      </w:r>
      <w:r w:rsidRPr="00CE5D0E">
        <w:rPr>
          <w:rFonts w:ascii="Helvetica" w:hAnsi="Helvetica" w:cs="Helvetica"/>
          <w:sz w:val="20"/>
          <w:szCs w:val="20"/>
        </w:rPr>
        <w:t xml:space="preserve"> has declined in the last two years. For global lending</w:t>
      </w:r>
      <w:r w:rsidR="00EC44C2">
        <w:rPr>
          <w:rFonts w:ascii="Helvetica" w:hAnsi="Helvetica" w:cs="Helvetica"/>
          <w:sz w:val="20"/>
          <w:szCs w:val="20"/>
        </w:rPr>
        <w:t xml:space="preserve">, it fell below 53 per </w:t>
      </w:r>
      <w:proofErr w:type="gramStart"/>
      <w:r w:rsidR="00EC44C2">
        <w:rPr>
          <w:rFonts w:ascii="Helvetica" w:hAnsi="Helvetica" w:cs="Helvetica"/>
          <w:sz w:val="20"/>
          <w:szCs w:val="20"/>
        </w:rPr>
        <w:t xml:space="preserve">cent </w:t>
      </w:r>
      <w:r w:rsidRPr="00CE5D0E">
        <w:rPr>
          <w:rFonts w:ascii="Helvetica" w:hAnsi="Helvetica" w:cs="Helvetica"/>
          <w:sz w:val="20"/>
          <w:szCs w:val="20"/>
        </w:rPr>
        <w:t xml:space="preserve"> at</w:t>
      </w:r>
      <w:proofErr w:type="gramEnd"/>
      <w:r w:rsidRPr="00CE5D0E">
        <w:rPr>
          <w:rFonts w:ascii="Helvetica" w:hAnsi="Helvetica" w:cs="Helvetica"/>
          <w:sz w:val="20"/>
          <w:szCs w:val="20"/>
        </w:rPr>
        <w:t xml:space="preserve"> the end of the third quarter of 2017. For lending to developing countries it fell to 45.6 per cent. (p.143, 144</w:t>
      </w:r>
      <w:r w:rsidR="002F6E15" w:rsidRPr="00CE5D0E">
        <w:rPr>
          <w:rFonts w:ascii="Helvetica" w:hAnsi="Helvetica" w:cs="Helvetica"/>
          <w:sz w:val="20"/>
          <w:szCs w:val="20"/>
        </w:rPr>
        <w:t>)</w:t>
      </w:r>
    </w:p>
    <w:p w14:paraId="7B346CB6" w14:textId="77777777" w:rsidR="00563A84" w:rsidRPr="00CE5D0E" w:rsidRDefault="00563A84" w:rsidP="00563A84">
      <w:pPr>
        <w:pStyle w:val="ListParagraph"/>
        <w:autoSpaceDE w:val="0"/>
        <w:autoSpaceDN w:val="0"/>
        <w:adjustRightInd w:val="0"/>
        <w:spacing w:after="0" w:line="240" w:lineRule="auto"/>
        <w:rPr>
          <w:rFonts w:ascii="Helvetica" w:hAnsi="Helvetica" w:cs="Helvetica"/>
          <w:sz w:val="20"/>
          <w:szCs w:val="20"/>
        </w:rPr>
      </w:pPr>
    </w:p>
    <w:p w14:paraId="253B80D3" w14:textId="494C0FE9" w:rsidR="00CF3FE0" w:rsidRDefault="00563A84"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The risk-based capital ratio of the biggest internationally active banks reached 12.</w:t>
      </w:r>
      <w:r w:rsidR="00EC44C2">
        <w:rPr>
          <w:rFonts w:ascii="Helvetica" w:hAnsi="Helvetica" w:cs="Helvetica"/>
          <w:sz w:val="20"/>
          <w:szCs w:val="20"/>
        </w:rPr>
        <w:t xml:space="preserve">3 per cent at the end of </w:t>
      </w:r>
      <w:proofErr w:type="gramStart"/>
      <w:r w:rsidR="00EC44C2">
        <w:rPr>
          <w:rFonts w:ascii="Helvetica" w:hAnsi="Helvetica" w:cs="Helvetica"/>
          <w:sz w:val="20"/>
          <w:szCs w:val="20"/>
        </w:rPr>
        <w:t>2016.</w:t>
      </w:r>
      <w:r w:rsidRPr="00CE5D0E">
        <w:rPr>
          <w:rFonts w:ascii="Helvetica" w:hAnsi="Helvetica" w:cs="Helvetica"/>
          <w:sz w:val="20"/>
          <w:szCs w:val="20"/>
        </w:rPr>
        <w:t>(</w:t>
      </w:r>
      <w:proofErr w:type="gramEnd"/>
      <w:r w:rsidRPr="00CE5D0E">
        <w:rPr>
          <w:rFonts w:ascii="Helvetica" w:hAnsi="Helvetica" w:cs="Helvetica"/>
          <w:sz w:val="20"/>
          <w:szCs w:val="20"/>
        </w:rPr>
        <w:t>p. 145)</w:t>
      </w:r>
    </w:p>
    <w:p w14:paraId="75F23203" w14:textId="77777777" w:rsidR="00EC44C2" w:rsidRPr="00EC44C2" w:rsidRDefault="00EC44C2" w:rsidP="00EC44C2">
      <w:pPr>
        <w:pStyle w:val="ListParagraph"/>
        <w:rPr>
          <w:rFonts w:ascii="Helvetica" w:hAnsi="Helvetica" w:cs="Helvetica"/>
          <w:sz w:val="20"/>
          <w:szCs w:val="20"/>
        </w:rPr>
      </w:pPr>
    </w:p>
    <w:p w14:paraId="060B2E0C" w14:textId="7CD6E1EC" w:rsidR="00EC44C2" w:rsidRPr="00CE5D0E" w:rsidRDefault="00F2268B"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While IMF res</w:t>
      </w:r>
      <w:bookmarkStart w:id="0" w:name="_GoBack"/>
      <w:bookmarkEnd w:id="0"/>
      <w:r w:rsidR="00EC44C2">
        <w:rPr>
          <w:rFonts w:ascii="Helvetica" w:hAnsi="Helvetica" w:cs="Helvetica"/>
          <w:sz w:val="20"/>
          <w:szCs w:val="20"/>
        </w:rPr>
        <w:t>ources have increased significantly since the 2009 crisis, they are lower today than they were before the mid-1990s, both as a share of world gross product and as a share of gross global capital flows</w:t>
      </w:r>
      <w:r w:rsidR="0015070D">
        <w:rPr>
          <w:rFonts w:ascii="Helvetica" w:hAnsi="Helvetica" w:cs="Helvetica"/>
          <w:sz w:val="20"/>
          <w:szCs w:val="20"/>
        </w:rPr>
        <w:t>. (p. 149)</w:t>
      </w:r>
    </w:p>
    <w:p w14:paraId="76C9D81F" w14:textId="77777777" w:rsidR="00563A84" w:rsidRPr="00CE5D0E" w:rsidRDefault="00563A84" w:rsidP="00563A84">
      <w:pPr>
        <w:pStyle w:val="ListParagraph"/>
        <w:rPr>
          <w:rFonts w:ascii="Helvetica" w:hAnsi="Helvetica" w:cs="Helvetica"/>
          <w:sz w:val="20"/>
          <w:szCs w:val="20"/>
        </w:rPr>
      </w:pPr>
    </w:p>
    <w:p w14:paraId="38750351" w14:textId="2F00C342" w:rsidR="00563A84" w:rsidRPr="005C2147" w:rsidRDefault="00563A84"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sidRPr="005C2147">
        <w:rPr>
          <w:rFonts w:ascii="Helvetica" w:hAnsi="Helvetica" w:cs="Helvetica"/>
          <w:sz w:val="20"/>
          <w:szCs w:val="20"/>
        </w:rPr>
        <w:t>Resource</w:t>
      </w:r>
      <w:r w:rsidR="00EC44C2" w:rsidRPr="005C2147">
        <w:rPr>
          <w:rFonts w:ascii="Helvetica" w:hAnsi="Helvetica" w:cs="Helvetica"/>
          <w:sz w:val="20"/>
          <w:szCs w:val="20"/>
        </w:rPr>
        <w:t>s</w:t>
      </w:r>
      <w:r w:rsidRPr="005C2147">
        <w:rPr>
          <w:rFonts w:ascii="Helvetica" w:hAnsi="Helvetica" w:cs="Helvetica"/>
          <w:sz w:val="20"/>
          <w:szCs w:val="20"/>
        </w:rPr>
        <w:t xml:space="preserve"> </w:t>
      </w:r>
      <w:r w:rsidR="00EC44C2" w:rsidRPr="005C2147">
        <w:rPr>
          <w:rFonts w:ascii="Helvetica" w:hAnsi="Helvetica" w:cs="Helvetica"/>
          <w:sz w:val="20"/>
          <w:szCs w:val="20"/>
        </w:rPr>
        <w:t>available in the g</w:t>
      </w:r>
      <w:r w:rsidRPr="005C2147">
        <w:rPr>
          <w:rFonts w:ascii="Helvetica" w:hAnsi="Helvetica" w:cs="Helvetica"/>
          <w:sz w:val="20"/>
          <w:szCs w:val="20"/>
        </w:rPr>
        <w:t>lobal financial safety</w:t>
      </w:r>
      <w:r w:rsidR="00EC44C2" w:rsidRPr="005C2147">
        <w:rPr>
          <w:rFonts w:ascii="Helvetica" w:hAnsi="Helvetica" w:cs="Helvetica"/>
          <w:sz w:val="20"/>
          <w:szCs w:val="20"/>
        </w:rPr>
        <w:t xml:space="preserve"> net</w:t>
      </w:r>
      <w:r w:rsidRPr="005C2147">
        <w:rPr>
          <w:rFonts w:ascii="Helvetica" w:hAnsi="Helvetica" w:cs="Helvetica"/>
          <w:sz w:val="20"/>
          <w:szCs w:val="20"/>
        </w:rPr>
        <w:t>, including IMF resources, are estimated at $3.8 trillion in 2016. This is about one-third the size of foreign exchange reserves held in the world. (p. 150)</w:t>
      </w:r>
    </w:p>
    <w:p w14:paraId="3C6A1A58" w14:textId="77777777" w:rsidR="00EC44C2" w:rsidRPr="0015070D" w:rsidRDefault="00EC44C2" w:rsidP="00EC44C2">
      <w:pPr>
        <w:pStyle w:val="ListParagraph"/>
        <w:rPr>
          <w:rFonts w:ascii="Helvetica" w:hAnsi="Helvetica" w:cs="Helvetica"/>
          <w:i/>
          <w:iCs/>
          <w:sz w:val="20"/>
          <w:szCs w:val="20"/>
          <w:u w:val="single"/>
        </w:rPr>
      </w:pPr>
    </w:p>
    <w:p w14:paraId="7A5C27A7" w14:textId="77777777" w:rsidR="00EC44C2" w:rsidRPr="005C2147" w:rsidRDefault="00EC44C2" w:rsidP="005C2147">
      <w:pPr>
        <w:autoSpaceDE w:val="0"/>
        <w:autoSpaceDN w:val="0"/>
        <w:adjustRightInd w:val="0"/>
        <w:spacing w:after="0" w:line="240" w:lineRule="auto"/>
        <w:rPr>
          <w:rFonts w:ascii="Helvetica" w:hAnsi="Helvetica" w:cs="Helvetica"/>
          <w:sz w:val="20"/>
          <w:szCs w:val="20"/>
        </w:rPr>
      </w:pPr>
    </w:p>
    <w:p w14:paraId="7C0CFD2F" w14:textId="77777777" w:rsidR="00CF3FE0" w:rsidRPr="00CE5D0E" w:rsidRDefault="00CF3FE0" w:rsidP="00CF3FE0">
      <w:pPr>
        <w:pStyle w:val="ListParagraph"/>
        <w:autoSpaceDE w:val="0"/>
        <w:autoSpaceDN w:val="0"/>
        <w:adjustRightInd w:val="0"/>
        <w:spacing w:after="0" w:line="240" w:lineRule="auto"/>
        <w:rPr>
          <w:rFonts w:ascii="Helvetica" w:hAnsi="Helvetica" w:cs="Helvetica"/>
          <w:sz w:val="20"/>
          <w:szCs w:val="20"/>
        </w:rPr>
      </w:pPr>
    </w:p>
    <w:p w14:paraId="1959EE36" w14:textId="77777777" w:rsidR="002F6E15" w:rsidRPr="00CE5D0E" w:rsidRDefault="002F6E15" w:rsidP="00CF3FE0">
      <w:pPr>
        <w:pStyle w:val="ListParagraph"/>
        <w:autoSpaceDE w:val="0"/>
        <w:autoSpaceDN w:val="0"/>
        <w:adjustRightInd w:val="0"/>
        <w:spacing w:after="0" w:line="240" w:lineRule="auto"/>
        <w:rPr>
          <w:rFonts w:ascii="Helvetica" w:hAnsi="Helvetica" w:cs="Helvetica"/>
          <w:sz w:val="20"/>
          <w:szCs w:val="20"/>
        </w:rPr>
      </w:pPr>
    </w:p>
    <w:p w14:paraId="2A144417" w14:textId="77777777" w:rsidR="00BB494D" w:rsidRPr="00CE5D0E" w:rsidRDefault="00BB494D" w:rsidP="00BB494D">
      <w:pPr>
        <w:spacing w:after="0"/>
        <w:rPr>
          <w:rFonts w:ascii="Helvetica" w:hAnsi="Helvetica" w:cs="Helvetica"/>
          <w:b/>
          <w:sz w:val="20"/>
          <w:szCs w:val="20"/>
          <w:u w:val="single"/>
          <w:lang w:val="en-US"/>
        </w:rPr>
      </w:pPr>
      <w:r w:rsidRPr="00CE5D0E">
        <w:rPr>
          <w:rFonts w:ascii="Helvetica" w:hAnsi="Helvetica" w:cs="Helvetica"/>
          <w:b/>
          <w:sz w:val="20"/>
          <w:szCs w:val="20"/>
          <w:u w:val="single"/>
          <w:lang w:val="en-US"/>
        </w:rPr>
        <w:t>Science, technology, innovation and capacity-building:</w:t>
      </w:r>
    </w:p>
    <w:p w14:paraId="66850237" w14:textId="77777777" w:rsidR="00BB494D" w:rsidRPr="00CE5D0E" w:rsidRDefault="00BB494D"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Half of all households glo</w:t>
      </w:r>
      <w:r w:rsidR="00E3304A" w:rsidRPr="00CE5D0E">
        <w:rPr>
          <w:rFonts w:ascii="Helvetica" w:hAnsi="Helvetica" w:cs="Helvetica"/>
          <w:sz w:val="20"/>
          <w:szCs w:val="20"/>
        </w:rPr>
        <w:t>bally still lack access to the I</w:t>
      </w:r>
      <w:r w:rsidRPr="00CE5D0E">
        <w:rPr>
          <w:rFonts w:ascii="Helvetica" w:hAnsi="Helvetica" w:cs="Helvetica"/>
          <w:sz w:val="20"/>
          <w:szCs w:val="20"/>
        </w:rPr>
        <w:t xml:space="preserve">nternet. In </w:t>
      </w:r>
      <w:r w:rsidR="00CF3FE0" w:rsidRPr="00CE5D0E">
        <w:rPr>
          <w:rFonts w:ascii="Helvetica" w:hAnsi="Helvetica" w:cs="Helvetica"/>
          <w:sz w:val="20"/>
          <w:szCs w:val="20"/>
        </w:rPr>
        <w:t>least developed countries</w:t>
      </w:r>
      <w:r w:rsidRPr="00CE5D0E">
        <w:rPr>
          <w:rFonts w:ascii="Helvetica" w:hAnsi="Helvetica" w:cs="Helvetica"/>
          <w:sz w:val="20"/>
          <w:szCs w:val="20"/>
        </w:rPr>
        <w:t>, 85 per cent of households are not connected</w:t>
      </w:r>
      <w:r w:rsidR="00CF3FE0" w:rsidRPr="00CE5D0E">
        <w:rPr>
          <w:rFonts w:ascii="Helvetica" w:hAnsi="Helvetica" w:cs="Helvetica"/>
          <w:sz w:val="20"/>
          <w:szCs w:val="20"/>
        </w:rPr>
        <w:t>.</w:t>
      </w:r>
      <w:r w:rsidRPr="00CE5D0E">
        <w:rPr>
          <w:rFonts w:ascii="Helvetica" w:hAnsi="Helvetica" w:cs="Helvetica"/>
          <w:sz w:val="20"/>
          <w:szCs w:val="20"/>
        </w:rPr>
        <w:t xml:space="preserve"> (p.162)</w:t>
      </w:r>
    </w:p>
    <w:p w14:paraId="17B2EC59" w14:textId="77777777" w:rsidR="002F6E15" w:rsidRPr="00CE5D0E" w:rsidRDefault="002F6E15" w:rsidP="00CF3FE0">
      <w:pPr>
        <w:pStyle w:val="ListParagraph"/>
        <w:autoSpaceDE w:val="0"/>
        <w:autoSpaceDN w:val="0"/>
        <w:adjustRightInd w:val="0"/>
        <w:spacing w:after="0" w:line="240" w:lineRule="auto"/>
        <w:rPr>
          <w:rFonts w:ascii="Helvetica" w:hAnsi="Helvetica" w:cs="Helvetica"/>
          <w:sz w:val="20"/>
          <w:szCs w:val="20"/>
        </w:rPr>
      </w:pPr>
    </w:p>
    <w:p w14:paraId="4621C92E" w14:textId="77777777" w:rsidR="002F6E15" w:rsidRPr="00CE5D0E" w:rsidRDefault="00BB494D"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The total investment required to build universal 3G coverage in </w:t>
      </w:r>
      <w:r w:rsidR="00391D0E" w:rsidRPr="00CE5D0E">
        <w:rPr>
          <w:rFonts w:ascii="Helvetica" w:hAnsi="Helvetica" w:cs="Helvetica"/>
          <w:sz w:val="20"/>
          <w:szCs w:val="20"/>
        </w:rPr>
        <w:t xml:space="preserve">least developed countries </w:t>
      </w:r>
      <w:r w:rsidRPr="00CE5D0E">
        <w:rPr>
          <w:rFonts w:ascii="Helvetica" w:hAnsi="Helvetica" w:cs="Helvetica"/>
          <w:sz w:val="20"/>
          <w:szCs w:val="20"/>
        </w:rPr>
        <w:t xml:space="preserve">is less than $40 billion (p.169) </w:t>
      </w:r>
    </w:p>
    <w:p w14:paraId="192FC20E" w14:textId="77777777" w:rsidR="002F6E15" w:rsidRPr="00CE5D0E" w:rsidRDefault="002F6E15" w:rsidP="00CF3FE0">
      <w:pPr>
        <w:pStyle w:val="ListParagraph"/>
        <w:autoSpaceDE w:val="0"/>
        <w:autoSpaceDN w:val="0"/>
        <w:adjustRightInd w:val="0"/>
        <w:spacing w:after="0" w:line="240" w:lineRule="auto"/>
        <w:rPr>
          <w:rFonts w:ascii="Helvetica" w:hAnsi="Helvetica" w:cs="Helvetica"/>
          <w:sz w:val="20"/>
          <w:szCs w:val="20"/>
        </w:rPr>
      </w:pPr>
    </w:p>
    <w:p w14:paraId="58344C7B" w14:textId="77777777" w:rsidR="00BB494D" w:rsidRPr="00CE5D0E" w:rsidRDefault="00BB494D" w:rsidP="00CF3FE0">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Moving government payment transactions from cash to digital could save roughly </w:t>
      </w:r>
      <w:r w:rsidR="002F6E15" w:rsidRPr="00CE5D0E">
        <w:rPr>
          <w:rFonts w:ascii="Helvetica" w:hAnsi="Helvetica" w:cs="Helvetica"/>
          <w:sz w:val="20"/>
          <w:szCs w:val="20"/>
        </w:rPr>
        <w:t>1</w:t>
      </w:r>
      <w:r w:rsidRPr="00CE5D0E">
        <w:rPr>
          <w:rFonts w:ascii="Helvetica" w:hAnsi="Helvetica" w:cs="Helvetica"/>
          <w:sz w:val="20"/>
          <w:szCs w:val="20"/>
        </w:rPr>
        <w:t xml:space="preserve"> per cent of GDP annually in developing countries. Half of these cost savings would accrue directly to Governments</w:t>
      </w:r>
      <w:r w:rsidR="002F6E15" w:rsidRPr="00CE5D0E">
        <w:rPr>
          <w:rFonts w:ascii="Helvetica" w:hAnsi="Helvetica" w:cs="Helvetica"/>
          <w:sz w:val="20"/>
          <w:szCs w:val="20"/>
        </w:rPr>
        <w:t xml:space="preserve">. </w:t>
      </w:r>
      <w:r w:rsidRPr="00CE5D0E">
        <w:rPr>
          <w:rFonts w:ascii="Helvetica" w:hAnsi="Helvetica" w:cs="Helvetica"/>
          <w:sz w:val="20"/>
          <w:szCs w:val="20"/>
        </w:rPr>
        <w:t>(p.167)</w:t>
      </w:r>
    </w:p>
    <w:p w14:paraId="6966E9C4" w14:textId="77777777" w:rsidR="00615670" w:rsidRPr="00CE5D0E" w:rsidRDefault="00615670" w:rsidP="00CF3FE0">
      <w:pPr>
        <w:pStyle w:val="ListParagraph"/>
        <w:autoSpaceDE w:val="0"/>
        <w:autoSpaceDN w:val="0"/>
        <w:adjustRightInd w:val="0"/>
        <w:spacing w:after="0" w:line="240" w:lineRule="auto"/>
        <w:rPr>
          <w:rFonts w:ascii="Helvetica" w:hAnsi="Helvetica" w:cs="Helvetica"/>
          <w:sz w:val="20"/>
          <w:szCs w:val="20"/>
        </w:rPr>
      </w:pPr>
    </w:p>
    <w:p w14:paraId="2C22F14D" w14:textId="77777777" w:rsidR="00E84E46" w:rsidRPr="00CE5D0E" w:rsidRDefault="00E84E46" w:rsidP="00E84E46">
      <w:pPr>
        <w:autoSpaceDE w:val="0"/>
        <w:autoSpaceDN w:val="0"/>
        <w:adjustRightInd w:val="0"/>
        <w:spacing w:after="0" w:line="240" w:lineRule="auto"/>
        <w:rPr>
          <w:rFonts w:ascii="Helvetica" w:eastAsiaTheme="minorEastAsia" w:hAnsi="Helvetica" w:cs="Helvetica"/>
          <w:color w:val="000000"/>
          <w:sz w:val="20"/>
          <w:szCs w:val="20"/>
          <w:lang w:val="en-US" w:eastAsia="zh-CN"/>
        </w:rPr>
      </w:pPr>
    </w:p>
    <w:p w14:paraId="538FDC6E" w14:textId="77777777" w:rsidR="00BB494D" w:rsidRPr="00CE5D0E" w:rsidRDefault="00BB494D" w:rsidP="00BB494D">
      <w:pPr>
        <w:shd w:val="clear" w:color="auto" w:fill="FFFFFF"/>
        <w:spacing w:after="0" w:line="240" w:lineRule="auto"/>
        <w:rPr>
          <w:rFonts w:ascii="Helvetica" w:eastAsia="Times New Roman" w:hAnsi="Helvetica" w:cs="Helvetica"/>
          <w:color w:val="222222"/>
          <w:sz w:val="20"/>
          <w:szCs w:val="20"/>
          <w:lang w:val="en-US" w:eastAsia="zh-CN"/>
        </w:rPr>
      </w:pPr>
      <w:r w:rsidRPr="00CE5D0E">
        <w:rPr>
          <w:rFonts w:ascii="Helvetica" w:eastAsia="Times New Roman" w:hAnsi="Helvetica" w:cs="Helvetica"/>
          <w:b/>
          <w:bCs/>
          <w:color w:val="000000"/>
          <w:sz w:val="20"/>
          <w:szCs w:val="20"/>
          <w:u w:val="single"/>
          <w:lang w:val="en-US" w:eastAsia="zh-CN"/>
        </w:rPr>
        <w:t>Financing investment in selected SDGs:</w:t>
      </w:r>
    </w:p>
    <w:p w14:paraId="51085069" w14:textId="77777777" w:rsidR="00FD4054" w:rsidRPr="00CE5D0E" w:rsidRDefault="00FD4054" w:rsidP="00391D0E">
      <w:pPr>
        <w:shd w:val="clear" w:color="auto" w:fill="FFFFFF"/>
        <w:spacing w:before="120" w:after="0" w:line="240" w:lineRule="auto"/>
        <w:rPr>
          <w:rFonts w:ascii="Helvetica" w:eastAsia="Times New Roman" w:hAnsi="Helvetica" w:cs="Helvetica"/>
          <w:color w:val="222222"/>
          <w:sz w:val="20"/>
          <w:szCs w:val="20"/>
          <w:lang w:val="en-US" w:eastAsia="zh-CN"/>
        </w:rPr>
      </w:pPr>
      <w:r w:rsidRPr="00CE5D0E">
        <w:rPr>
          <w:rFonts w:ascii="Helvetica" w:eastAsia="Times New Roman" w:hAnsi="Helvetica" w:cs="Helvetica"/>
          <w:i/>
          <w:iCs/>
          <w:color w:val="222222"/>
          <w:sz w:val="20"/>
          <w:szCs w:val="20"/>
          <w:lang w:val="en-US" w:eastAsia="zh-CN"/>
        </w:rPr>
        <w:t>SDG 6 (water and sanitation)</w:t>
      </w:r>
    </w:p>
    <w:p w14:paraId="4701ADED" w14:textId="77777777" w:rsidR="00391D0E" w:rsidRPr="00CE5D0E" w:rsidRDefault="00FD4054"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The global total capital costs of achieving universal access to safely managed water and sanitation services and hygiene is estimated at USD 114 billion annually (or three times the historical financing trend). </w:t>
      </w:r>
      <w:r w:rsidR="00391D0E" w:rsidRPr="00CE5D0E">
        <w:rPr>
          <w:rFonts w:ascii="Helvetica" w:hAnsi="Helvetica" w:cs="Helvetica"/>
          <w:sz w:val="20"/>
          <w:szCs w:val="20"/>
        </w:rPr>
        <w:t>(p.22)</w:t>
      </w:r>
    </w:p>
    <w:p w14:paraId="267A3883" w14:textId="77777777" w:rsidR="00391D0E" w:rsidRPr="00CE5D0E" w:rsidRDefault="00391D0E" w:rsidP="00391D0E">
      <w:pPr>
        <w:pStyle w:val="ListParagraph"/>
        <w:autoSpaceDE w:val="0"/>
        <w:autoSpaceDN w:val="0"/>
        <w:adjustRightInd w:val="0"/>
        <w:spacing w:after="0" w:line="240" w:lineRule="auto"/>
        <w:rPr>
          <w:rFonts w:ascii="Helvetica" w:hAnsi="Helvetica" w:cs="Helvetica"/>
          <w:sz w:val="20"/>
          <w:szCs w:val="20"/>
        </w:rPr>
      </w:pPr>
    </w:p>
    <w:p w14:paraId="39D6C425" w14:textId="77777777" w:rsidR="00391D0E" w:rsidRPr="00CE5D0E" w:rsidRDefault="00FD4054"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In more than half of all countries, household tariffs are insufficient to cover even operation and maintenance costs of water utilities. </w:t>
      </w:r>
      <w:r w:rsidR="00391D0E" w:rsidRPr="00CE5D0E">
        <w:rPr>
          <w:rFonts w:ascii="Helvetica" w:hAnsi="Helvetica" w:cs="Helvetica"/>
          <w:sz w:val="20"/>
          <w:szCs w:val="20"/>
        </w:rPr>
        <w:t>(p.22)</w:t>
      </w:r>
    </w:p>
    <w:p w14:paraId="7F2F8F03" w14:textId="77777777" w:rsidR="00391D0E" w:rsidRPr="00CE5D0E" w:rsidRDefault="00391D0E" w:rsidP="00391D0E">
      <w:pPr>
        <w:pStyle w:val="ListParagraph"/>
        <w:rPr>
          <w:rFonts w:ascii="Helvetica" w:hAnsi="Helvetica" w:cs="Helvetica"/>
          <w:sz w:val="20"/>
          <w:szCs w:val="20"/>
        </w:rPr>
      </w:pPr>
    </w:p>
    <w:p w14:paraId="5E8E628B" w14:textId="77777777" w:rsidR="00FD4054" w:rsidRPr="00CE5D0E" w:rsidRDefault="00FD4054"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It is estimated that with operational efficiency gains alone, without a tariff increase, 65 per cent of water utilities in developing countries would cover operational expenditures, up from just 15 per cent today</w:t>
      </w:r>
      <w:r w:rsidR="00391D0E" w:rsidRPr="00CE5D0E">
        <w:rPr>
          <w:rFonts w:ascii="Helvetica" w:hAnsi="Helvetica" w:cs="Helvetica"/>
          <w:sz w:val="20"/>
          <w:szCs w:val="20"/>
        </w:rPr>
        <w:t>.</w:t>
      </w:r>
      <w:r w:rsidRPr="00CE5D0E">
        <w:rPr>
          <w:rFonts w:ascii="Helvetica" w:hAnsi="Helvetica" w:cs="Helvetica"/>
          <w:sz w:val="20"/>
          <w:szCs w:val="20"/>
        </w:rPr>
        <w:t xml:space="preserve"> (p.22)</w:t>
      </w:r>
    </w:p>
    <w:p w14:paraId="17676376" w14:textId="77777777" w:rsidR="00391D0E" w:rsidRPr="00CE5D0E" w:rsidRDefault="00391D0E" w:rsidP="00391D0E">
      <w:pPr>
        <w:autoSpaceDE w:val="0"/>
        <w:autoSpaceDN w:val="0"/>
        <w:adjustRightInd w:val="0"/>
        <w:spacing w:after="0" w:line="240" w:lineRule="auto"/>
        <w:rPr>
          <w:rFonts w:ascii="Helvetica" w:hAnsi="Helvetica" w:cs="Helvetica"/>
          <w:sz w:val="20"/>
          <w:szCs w:val="20"/>
        </w:rPr>
      </w:pPr>
    </w:p>
    <w:p w14:paraId="745F6E18" w14:textId="77777777" w:rsidR="00FD4054" w:rsidRPr="00CE5D0E" w:rsidRDefault="00FD4054" w:rsidP="00391D0E">
      <w:pPr>
        <w:shd w:val="clear" w:color="auto" w:fill="FFFFFF"/>
        <w:spacing w:before="120" w:after="0" w:line="240" w:lineRule="auto"/>
        <w:rPr>
          <w:rFonts w:ascii="Helvetica" w:eastAsia="Times New Roman" w:hAnsi="Helvetica" w:cs="Helvetica"/>
          <w:color w:val="222222"/>
          <w:sz w:val="20"/>
          <w:szCs w:val="20"/>
          <w:lang w:val="en-US" w:eastAsia="zh-CN"/>
        </w:rPr>
      </w:pPr>
      <w:r w:rsidRPr="00CE5D0E">
        <w:rPr>
          <w:rFonts w:ascii="Helvetica" w:eastAsia="Times New Roman" w:hAnsi="Helvetica" w:cs="Helvetica"/>
          <w:i/>
          <w:iCs/>
          <w:color w:val="222222"/>
          <w:sz w:val="20"/>
          <w:szCs w:val="20"/>
          <w:lang w:val="en-US" w:eastAsia="zh-CN"/>
        </w:rPr>
        <w:t>SDG 7 (affordable and clean energy)</w:t>
      </w:r>
    </w:p>
    <w:p w14:paraId="0C0F92D2" w14:textId="77777777" w:rsidR="00FD4054" w:rsidRPr="00CE5D0E" w:rsidRDefault="00FD4054"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Achieving SDG 7 will require significant investment, with annual needs estimated at: $45 billion for universal access to electricity; $4.4 billion for clean cooking; between $442 and 650 billion for achieving the transition toward renewable energy compatible with climate goals; and $560 for energy efficiency. Investment needs considerably exceed current spending, for instance renewable power capacity and energy efficiency investments amounted to respectively $242 and 231 billion in 2016</w:t>
      </w:r>
      <w:r w:rsidR="00391D0E" w:rsidRPr="00CE5D0E">
        <w:rPr>
          <w:rFonts w:ascii="Helvetica" w:hAnsi="Helvetica" w:cs="Helvetica"/>
          <w:sz w:val="20"/>
          <w:szCs w:val="20"/>
        </w:rPr>
        <w:t>.</w:t>
      </w:r>
      <w:r w:rsidRPr="00CE5D0E">
        <w:rPr>
          <w:rFonts w:ascii="Helvetica" w:hAnsi="Helvetica" w:cs="Helvetica"/>
          <w:sz w:val="20"/>
          <w:szCs w:val="20"/>
        </w:rPr>
        <w:t xml:space="preserve"> (p.28)</w:t>
      </w:r>
    </w:p>
    <w:p w14:paraId="4C803EC1" w14:textId="77777777" w:rsidR="00391D0E" w:rsidRPr="00CE5D0E" w:rsidRDefault="00391D0E" w:rsidP="00391D0E">
      <w:pPr>
        <w:pStyle w:val="ListParagraph"/>
        <w:autoSpaceDE w:val="0"/>
        <w:autoSpaceDN w:val="0"/>
        <w:adjustRightInd w:val="0"/>
        <w:spacing w:after="0" w:line="240" w:lineRule="auto"/>
        <w:rPr>
          <w:rFonts w:ascii="Helvetica" w:hAnsi="Helvetica" w:cs="Helvetica"/>
          <w:sz w:val="20"/>
          <w:szCs w:val="20"/>
        </w:rPr>
      </w:pPr>
    </w:p>
    <w:p w14:paraId="6EF4625A" w14:textId="77777777" w:rsidR="00FD4054" w:rsidRPr="00CE5D0E" w:rsidRDefault="00FD4054"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The decline in prices for renewables, such as solar PV, has been associated with a surge of investments, which increased six-fold between 2005 and 2015, before falling somewhat in 2016. </w:t>
      </w:r>
      <w:r w:rsidRPr="00CE5D0E">
        <w:rPr>
          <w:rFonts w:ascii="Helvetica" w:hAnsi="Helvetica" w:cs="Helvetica"/>
          <w:sz w:val="20"/>
          <w:szCs w:val="20"/>
        </w:rPr>
        <w:br/>
        <w:t>Yet, 2016 was a record year in terms of installed renewable capacity, which represented around 60 per cent of the net power generating capacity added that year (p.30)</w:t>
      </w:r>
    </w:p>
    <w:p w14:paraId="306E1AA5" w14:textId="77777777" w:rsidR="00391D0E" w:rsidRPr="00CE5D0E" w:rsidRDefault="00391D0E" w:rsidP="00391D0E">
      <w:pPr>
        <w:autoSpaceDE w:val="0"/>
        <w:autoSpaceDN w:val="0"/>
        <w:adjustRightInd w:val="0"/>
        <w:spacing w:after="0" w:line="240" w:lineRule="auto"/>
        <w:rPr>
          <w:rFonts w:ascii="Helvetica" w:hAnsi="Helvetica" w:cs="Helvetica"/>
          <w:sz w:val="20"/>
          <w:szCs w:val="20"/>
        </w:rPr>
      </w:pPr>
    </w:p>
    <w:p w14:paraId="0B0100D7" w14:textId="77777777" w:rsidR="00BB494D" w:rsidRPr="00CE5D0E" w:rsidRDefault="00BB494D" w:rsidP="00391D0E">
      <w:pPr>
        <w:shd w:val="clear" w:color="auto" w:fill="FFFFFF"/>
        <w:spacing w:before="120" w:after="0" w:line="240" w:lineRule="auto"/>
        <w:rPr>
          <w:rFonts w:ascii="Helvetica" w:eastAsia="Times New Roman" w:hAnsi="Helvetica" w:cs="Helvetica"/>
          <w:color w:val="222222"/>
          <w:sz w:val="20"/>
          <w:szCs w:val="20"/>
          <w:lang w:val="en-US" w:eastAsia="zh-CN"/>
        </w:rPr>
      </w:pPr>
      <w:r w:rsidRPr="00CE5D0E">
        <w:rPr>
          <w:rFonts w:ascii="Helvetica" w:eastAsia="Times New Roman" w:hAnsi="Helvetica" w:cs="Helvetica"/>
          <w:i/>
          <w:iCs/>
          <w:color w:val="222222"/>
          <w:sz w:val="20"/>
          <w:szCs w:val="20"/>
          <w:lang w:val="en-US" w:eastAsia="zh-CN"/>
        </w:rPr>
        <w:t>SDG 11 (sustainable cities and communities)</w:t>
      </w:r>
    </w:p>
    <w:p w14:paraId="4089E3DD" w14:textId="77777777" w:rsidR="00391D0E" w:rsidRPr="00CE5D0E" w:rsidRDefault="00BB494D"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In 2015, close to 4 billion people — 54 per cent of the world’s population — lived in cities and that number is projected to increase to about 5 billion people by 2030. </w:t>
      </w:r>
      <w:r w:rsidR="00391D0E" w:rsidRPr="00CE5D0E">
        <w:rPr>
          <w:rFonts w:ascii="Helvetica" w:hAnsi="Helvetica" w:cs="Helvetica"/>
          <w:sz w:val="20"/>
          <w:szCs w:val="20"/>
        </w:rPr>
        <w:t>(p.18)</w:t>
      </w:r>
    </w:p>
    <w:p w14:paraId="04F77220" w14:textId="77777777" w:rsidR="00391D0E" w:rsidRPr="00CE5D0E" w:rsidRDefault="00391D0E" w:rsidP="00391D0E">
      <w:pPr>
        <w:pStyle w:val="ListParagraph"/>
        <w:autoSpaceDE w:val="0"/>
        <w:autoSpaceDN w:val="0"/>
        <w:adjustRightInd w:val="0"/>
        <w:spacing w:after="0" w:line="240" w:lineRule="auto"/>
        <w:rPr>
          <w:rFonts w:ascii="Helvetica" w:hAnsi="Helvetica" w:cs="Helvetica"/>
          <w:sz w:val="20"/>
          <w:szCs w:val="20"/>
        </w:rPr>
      </w:pPr>
    </w:p>
    <w:p w14:paraId="23E1EB20" w14:textId="77777777" w:rsidR="00391D0E" w:rsidRPr="00CE5D0E" w:rsidRDefault="00BB494D"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 xml:space="preserve">It is estimated that more than 70 per cent of infrastructure will be built in urban areas, and that by 2030 these investments could be greater than the $50 trillion value of all the infrastructure in the world today. </w:t>
      </w:r>
      <w:r w:rsidR="00391D0E" w:rsidRPr="00CE5D0E">
        <w:rPr>
          <w:rFonts w:ascii="Helvetica" w:hAnsi="Helvetica" w:cs="Helvetica"/>
          <w:sz w:val="20"/>
          <w:szCs w:val="20"/>
        </w:rPr>
        <w:t>(p.18)</w:t>
      </w:r>
    </w:p>
    <w:p w14:paraId="2D05F8A0" w14:textId="77777777" w:rsidR="00391D0E" w:rsidRPr="00CE5D0E" w:rsidRDefault="00391D0E" w:rsidP="00391D0E">
      <w:pPr>
        <w:pStyle w:val="ListParagraph"/>
        <w:rPr>
          <w:rFonts w:ascii="Helvetica" w:hAnsi="Helvetica" w:cs="Helvetica"/>
          <w:sz w:val="20"/>
          <w:szCs w:val="20"/>
        </w:rPr>
      </w:pPr>
    </w:p>
    <w:p w14:paraId="591FEF56" w14:textId="77777777" w:rsidR="00BB494D" w:rsidRPr="00CE5D0E" w:rsidRDefault="00BB494D"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In some countries, sub-national governments already contribute significantly to financing and delivering infrastructure, at nearly 40 per cent of public investment</w:t>
      </w:r>
      <w:r w:rsidR="00391D0E" w:rsidRPr="00CE5D0E">
        <w:rPr>
          <w:rFonts w:ascii="Helvetica" w:hAnsi="Helvetica" w:cs="Helvetica"/>
          <w:sz w:val="20"/>
          <w:szCs w:val="20"/>
        </w:rPr>
        <w:t>.</w:t>
      </w:r>
      <w:r w:rsidRPr="00CE5D0E">
        <w:rPr>
          <w:rFonts w:ascii="Helvetica" w:hAnsi="Helvetica" w:cs="Helvetica"/>
          <w:sz w:val="20"/>
          <w:szCs w:val="20"/>
        </w:rPr>
        <w:t xml:space="preserve"> (p.18)</w:t>
      </w:r>
    </w:p>
    <w:p w14:paraId="392D8E95" w14:textId="77777777" w:rsidR="00BB494D" w:rsidRPr="00CE5D0E" w:rsidRDefault="00BB494D" w:rsidP="00BB494D">
      <w:pPr>
        <w:shd w:val="clear" w:color="auto" w:fill="FFFFFF"/>
        <w:spacing w:after="0" w:line="240" w:lineRule="auto"/>
        <w:ind w:left="945"/>
        <w:rPr>
          <w:rFonts w:ascii="Helvetica" w:eastAsia="Times New Roman" w:hAnsi="Helvetica" w:cs="Helvetica"/>
          <w:color w:val="222222"/>
          <w:sz w:val="20"/>
          <w:szCs w:val="20"/>
          <w:lang w:val="en-US" w:eastAsia="zh-CN"/>
        </w:rPr>
      </w:pPr>
    </w:p>
    <w:p w14:paraId="23C3C9E4" w14:textId="77777777" w:rsidR="00BB494D" w:rsidRPr="00CE5D0E" w:rsidRDefault="00BB494D" w:rsidP="00391D0E">
      <w:pPr>
        <w:shd w:val="clear" w:color="auto" w:fill="FFFFFF"/>
        <w:spacing w:before="120" w:after="0" w:line="240" w:lineRule="auto"/>
        <w:rPr>
          <w:rFonts w:ascii="Helvetica" w:eastAsia="Times New Roman" w:hAnsi="Helvetica" w:cs="Helvetica"/>
          <w:color w:val="222222"/>
          <w:sz w:val="20"/>
          <w:szCs w:val="20"/>
          <w:lang w:val="en-US" w:eastAsia="zh-CN"/>
        </w:rPr>
      </w:pPr>
      <w:r w:rsidRPr="00CE5D0E">
        <w:rPr>
          <w:rFonts w:ascii="Helvetica" w:eastAsia="Times New Roman" w:hAnsi="Helvetica" w:cs="Helvetica"/>
          <w:i/>
          <w:iCs/>
          <w:color w:val="222222"/>
          <w:sz w:val="20"/>
          <w:szCs w:val="20"/>
          <w:lang w:val="en-US" w:eastAsia="zh-CN"/>
        </w:rPr>
        <w:t>SDGs 15 (terrestrial ecosystems)</w:t>
      </w:r>
    </w:p>
    <w:p w14:paraId="2924E88D" w14:textId="591212B1" w:rsidR="00BB494D" w:rsidRDefault="00BB494D" w:rsidP="00391D0E">
      <w:pPr>
        <w:pStyle w:val="ListParagraph"/>
        <w:numPr>
          <w:ilvl w:val="0"/>
          <w:numId w:val="9"/>
        </w:numPr>
        <w:autoSpaceDE w:val="0"/>
        <w:autoSpaceDN w:val="0"/>
        <w:adjustRightInd w:val="0"/>
        <w:spacing w:after="0" w:line="240" w:lineRule="auto"/>
        <w:rPr>
          <w:rFonts w:ascii="Helvetica" w:hAnsi="Helvetica" w:cs="Helvetica"/>
          <w:sz w:val="20"/>
          <w:szCs w:val="20"/>
        </w:rPr>
      </w:pPr>
      <w:r w:rsidRPr="00CE5D0E">
        <w:rPr>
          <w:rFonts w:ascii="Helvetica" w:hAnsi="Helvetica" w:cs="Helvetica"/>
          <w:sz w:val="20"/>
          <w:szCs w:val="20"/>
        </w:rPr>
        <w:t>Financing needs to preserve ecosystems range from $150 to 400 billion annually, compared to current financing, which is estimated at roughly $50 billion annually</w:t>
      </w:r>
      <w:r w:rsidR="00391D0E" w:rsidRPr="00CE5D0E">
        <w:rPr>
          <w:rFonts w:ascii="Helvetica" w:hAnsi="Helvetica" w:cs="Helvetica"/>
          <w:sz w:val="20"/>
          <w:szCs w:val="20"/>
        </w:rPr>
        <w:t>.</w:t>
      </w:r>
      <w:r w:rsidRPr="00CE5D0E">
        <w:rPr>
          <w:rFonts w:ascii="Helvetica" w:hAnsi="Helvetica" w:cs="Helvetica"/>
          <w:sz w:val="20"/>
          <w:szCs w:val="20"/>
        </w:rPr>
        <w:t xml:space="preserve"> (p.33)</w:t>
      </w:r>
    </w:p>
    <w:p w14:paraId="2563F9BA" w14:textId="77777777" w:rsidR="00CE1AF4" w:rsidRPr="00CE1AF4" w:rsidRDefault="00CE1AF4" w:rsidP="00CE1AF4">
      <w:pPr>
        <w:autoSpaceDE w:val="0"/>
        <w:autoSpaceDN w:val="0"/>
        <w:adjustRightInd w:val="0"/>
        <w:spacing w:after="0" w:line="240" w:lineRule="auto"/>
        <w:rPr>
          <w:rFonts w:ascii="Helvetica" w:hAnsi="Helvetica" w:cs="Helvetica"/>
          <w:sz w:val="20"/>
          <w:szCs w:val="20"/>
        </w:rPr>
      </w:pPr>
    </w:p>
    <w:p w14:paraId="2A22D26B" w14:textId="77777777" w:rsidR="00D35D92" w:rsidRPr="00CE5D0E" w:rsidRDefault="00D35D92" w:rsidP="00D35D92">
      <w:pPr>
        <w:pStyle w:val="ListParagraph"/>
        <w:rPr>
          <w:rFonts w:ascii="Helvetica" w:hAnsi="Helvetica" w:cs="Helvetica"/>
          <w:sz w:val="20"/>
          <w:szCs w:val="20"/>
          <w:lang w:val="en-US"/>
        </w:rPr>
      </w:pPr>
    </w:p>
    <w:p w14:paraId="14EF2765" w14:textId="77777777" w:rsidR="00D35D92" w:rsidRPr="00CE5D0E" w:rsidRDefault="00D35D92" w:rsidP="00D35D92">
      <w:pPr>
        <w:pStyle w:val="ListParagraph"/>
        <w:rPr>
          <w:rFonts w:ascii="Helvetica" w:hAnsi="Helvetica" w:cs="Helvetica"/>
          <w:b/>
          <w:bCs/>
          <w:sz w:val="20"/>
          <w:szCs w:val="20"/>
          <w:lang w:val="en-US"/>
        </w:rPr>
      </w:pPr>
      <w:r w:rsidRPr="00CE5D0E">
        <w:rPr>
          <w:rFonts w:ascii="Helvetica" w:hAnsi="Helvetica" w:cs="Helvetica"/>
          <w:b/>
          <w:bCs/>
          <w:sz w:val="20"/>
          <w:szCs w:val="20"/>
          <w:lang w:val="en-US"/>
        </w:rPr>
        <w:t>For further information, please contact:</w:t>
      </w:r>
    </w:p>
    <w:p w14:paraId="07FA2FF5" w14:textId="63804928" w:rsidR="00BB494D" w:rsidRPr="00D35D92" w:rsidRDefault="00D35D92" w:rsidP="00CE5D0E">
      <w:pPr>
        <w:pStyle w:val="ListParagraph"/>
        <w:rPr>
          <w:lang w:val="en-US"/>
        </w:rPr>
      </w:pPr>
      <w:r w:rsidRPr="00CE5D0E">
        <w:rPr>
          <w:rFonts w:ascii="Helvetica" w:hAnsi="Helvetica" w:cs="Helvetica"/>
          <w:sz w:val="20"/>
          <w:szCs w:val="20"/>
          <w:lang w:val="en-US"/>
        </w:rPr>
        <w:t xml:space="preserve">Kate Donovan, UNDESA, Tel: 1 718 362 0606    e-mail   </w:t>
      </w:r>
      <w:hyperlink r:id="rId9" w:history="1">
        <w:r w:rsidRPr="00CE5D0E">
          <w:rPr>
            <w:rStyle w:val="Hyperlink"/>
            <w:rFonts w:ascii="Helvetica" w:hAnsi="Helvetica" w:cs="Helvetica"/>
            <w:sz w:val="20"/>
            <w:szCs w:val="20"/>
            <w:lang w:val="en-US"/>
          </w:rPr>
          <w:t>kathryn.donovan@un.org</w:t>
        </w:r>
      </w:hyperlink>
      <w:r w:rsidRPr="00CE5D0E">
        <w:rPr>
          <w:rFonts w:ascii="Helvetica" w:hAnsi="Helvetica" w:cs="Helvetica"/>
          <w:sz w:val="20"/>
          <w:szCs w:val="20"/>
          <w:lang w:val="en-US"/>
        </w:rPr>
        <w:br/>
      </w:r>
      <w:r w:rsidRPr="00CE5D0E">
        <w:rPr>
          <w:rFonts w:ascii="Helvetica" w:hAnsi="Helvetica" w:cs="Helvetica"/>
          <w:sz w:val="20"/>
          <w:szCs w:val="20"/>
        </w:rPr>
        <w:t xml:space="preserve">Dan Shepard, UN Department of Public Information, Tel:  </w:t>
      </w:r>
      <w:hyperlink r:id="rId10" w:history="1">
        <w:r w:rsidRPr="00CE5D0E">
          <w:rPr>
            <w:rStyle w:val="Hyperlink"/>
            <w:rFonts w:ascii="Helvetica" w:hAnsi="Helvetica" w:cs="Helvetica"/>
            <w:sz w:val="20"/>
            <w:szCs w:val="20"/>
          </w:rPr>
          <w:t>shepard@un.org</w:t>
        </w:r>
      </w:hyperlink>
      <w:r w:rsidRPr="00CE5D0E">
        <w:rPr>
          <w:rFonts w:ascii="Helvetica" w:hAnsi="Helvetica" w:cs="Helvetica"/>
          <w:sz w:val="20"/>
          <w:szCs w:val="20"/>
        </w:rPr>
        <w:t>,  +1 212 963-9495</w:t>
      </w:r>
    </w:p>
    <w:sectPr w:rsidR="00BB494D" w:rsidRPr="00D35D92" w:rsidSect="00CE5D0E">
      <w:pgSz w:w="12240" w:h="15840"/>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C8E7" w14:textId="77777777" w:rsidR="00A408A9" w:rsidRDefault="00A408A9" w:rsidP="00E3304A">
      <w:pPr>
        <w:spacing w:after="0" w:line="240" w:lineRule="auto"/>
      </w:pPr>
      <w:r>
        <w:separator/>
      </w:r>
    </w:p>
  </w:endnote>
  <w:endnote w:type="continuationSeparator" w:id="0">
    <w:p w14:paraId="50E2E3F9" w14:textId="77777777" w:rsidR="00A408A9" w:rsidRDefault="00A408A9" w:rsidP="00E3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UniformCondensed-Medium">
    <w:altName w:val="UniformCondensed-Medium"/>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F0C8" w14:textId="77777777" w:rsidR="00A408A9" w:rsidRDefault="00A408A9" w:rsidP="00E3304A">
      <w:pPr>
        <w:spacing w:after="0" w:line="240" w:lineRule="auto"/>
      </w:pPr>
      <w:r>
        <w:separator/>
      </w:r>
    </w:p>
  </w:footnote>
  <w:footnote w:type="continuationSeparator" w:id="0">
    <w:p w14:paraId="3D17D210" w14:textId="77777777" w:rsidR="00A408A9" w:rsidRDefault="00A408A9" w:rsidP="00E3304A">
      <w:pPr>
        <w:spacing w:after="0" w:line="240" w:lineRule="auto"/>
      </w:pPr>
      <w:r>
        <w:continuationSeparator/>
      </w:r>
    </w:p>
  </w:footnote>
  <w:footnote w:id="1">
    <w:p w14:paraId="4A160B17" w14:textId="3663679B" w:rsidR="00E45FFD" w:rsidRPr="00E45FFD" w:rsidRDefault="00E45FFD">
      <w:pPr>
        <w:pStyle w:val="FootnoteText"/>
        <w:rPr>
          <w:lang w:val="en-US"/>
        </w:rPr>
      </w:pPr>
      <w:r>
        <w:rPr>
          <w:rStyle w:val="FootnoteReference"/>
        </w:rPr>
        <w:footnoteRef/>
      </w:r>
      <w:r>
        <w:t xml:space="preserve"> </w:t>
      </w:r>
      <w:r>
        <w:rPr>
          <w:lang w:val="en-US"/>
        </w:rPr>
        <w:t xml:space="preserve">Please note that these facts and figures come from </w:t>
      </w:r>
      <w:proofErr w:type="gramStart"/>
      <w:r>
        <w:rPr>
          <w:lang w:val="en-US"/>
        </w:rPr>
        <w:t>a number of</w:t>
      </w:r>
      <w:proofErr w:type="gramEnd"/>
      <w:r>
        <w:rPr>
          <w:lang w:val="en-US"/>
        </w:rPr>
        <w:t xml:space="preserve"> sources, and are all in the report on 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247"/>
    <w:multiLevelType w:val="hybridMultilevel"/>
    <w:tmpl w:val="E2A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5EDD"/>
    <w:multiLevelType w:val="hybridMultilevel"/>
    <w:tmpl w:val="1122B8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D2013"/>
    <w:multiLevelType w:val="hybridMultilevel"/>
    <w:tmpl w:val="70DA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5768"/>
    <w:multiLevelType w:val="hybridMultilevel"/>
    <w:tmpl w:val="17E0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C3189"/>
    <w:multiLevelType w:val="hybridMultilevel"/>
    <w:tmpl w:val="256E665A"/>
    <w:lvl w:ilvl="0" w:tplc="B692922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4AE3"/>
    <w:multiLevelType w:val="hybridMultilevel"/>
    <w:tmpl w:val="415E3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FF2782"/>
    <w:multiLevelType w:val="hybridMultilevel"/>
    <w:tmpl w:val="4EFA5420"/>
    <w:lvl w:ilvl="0" w:tplc="A4E8C17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E493E"/>
    <w:multiLevelType w:val="multilevel"/>
    <w:tmpl w:val="0228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6094C"/>
    <w:multiLevelType w:val="multilevel"/>
    <w:tmpl w:val="8E2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610502"/>
    <w:multiLevelType w:val="hybridMultilevel"/>
    <w:tmpl w:val="219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71161"/>
    <w:multiLevelType w:val="hybridMultilevel"/>
    <w:tmpl w:val="BD14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5AC2"/>
    <w:multiLevelType w:val="multilevel"/>
    <w:tmpl w:val="15B8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6E4FB4"/>
    <w:multiLevelType w:val="multilevel"/>
    <w:tmpl w:val="F08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6"/>
  </w:num>
  <w:num w:numId="4">
    <w:abstractNumId w:val="8"/>
  </w:num>
  <w:num w:numId="5">
    <w:abstractNumId w:val="12"/>
  </w:num>
  <w:num w:numId="6">
    <w:abstractNumId w:val="7"/>
  </w:num>
  <w:num w:numId="7">
    <w:abstractNumId w:val="11"/>
  </w:num>
  <w:num w:numId="8">
    <w:abstractNumId w:val="10"/>
  </w:num>
  <w:num w:numId="9">
    <w:abstractNumId w:val="0"/>
  </w:num>
  <w:num w:numId="10">
    <w:abstractNumId w:val="5"/>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4D"/>
    <w:rsid w:val="00003CE1"/>
    <w:rsid w:val="00027F3F"/>
    <w:rsid w:val="00057772"/>
    <w:rsid w:val="00073E13"/>
    <w:rsid w:val="00095A47"/>
    <w:rsid w:val="000976FD"/>
    <w:rsid w:val="000D60AE"/>
    <w:rsid w:val="001075BF"/>
    <w:rsid w:val="0015070D"/>
    <w:rsid w:val="00165898"/>
    <w:rsid w:val="00245451"/>
    <w:rsid w:val="002D08A9"/>
    <w:rsid w:val="002F6E15"/>
    <w:rsid w:val="00391D0E"/>
    <w:rsid w:val="00452470"/>
    <w:rsid w:val="0049778A"/>
    <w:rsid w:val="005270D9"/>
    <w:rsid w:val="00563A84"/>
    <w:rsid w:val="00564C00"/>
    <w:rsid w:val="00575E2B"/>
    <w:rsid w:val="00583E87"/>
    <w:rsid w:val="005C2147"/>
    <w:rsid w:val="005F414E"/>
    <w:rsid w:val="00615670"/>
    <w:rsid w:val="00620392"/>
    <w:rsid w:val="006A749C"/>
    <w:rsid w:val="00744469"/>
    <w:rsid w:val="007E2F0A"/>
    <w:rsid w:val="008B49C5"/>
    <w:rsid w:val="008B6202"/>
    <w:rsid w:val="008C04EB"/>
    <w:rsid w:val="008D2272"/>
    <w:rsid w:val="009A5742"/>
    <w:rsid w:val="00A040B4"/>
    <w:rsid w:val="00A379A8"/>
    <w:rsid w:val="00A408A9"/>
    <w:rsid w:val="00A93018"/>
    <w:rsid w:val="00BB494D"/>
    <w:rsid w:val="00C16895"/>
    <w:rsid w:val="00C26C48"/>
    <w:rsid w:val="00C64B55"/>
    <w:rsid w:val="00C908C3"/>
    <w:rsid w:val="00CE1AF4"/>
    <w:rsid w:val="00CE5D0E"/>
    <w:rsid w:val="00CF3FE0"/>
    <w:rsid w:val="00D35D92"/>
    <w:rsid w:val="00D54AC4"/>
    <w:rsid w:val="00E3304A"/>
    <w:rsid w:val="00E45FFD"/>
    <w:rsid w:val="00E61CDE"/>
    <w:rsid w:val="00E84E46"/>
    <w:rsid w:val="00EC44C2"/>
    <w:rsid w:val="00F2268B"/>
    <w:rsid w:val="00F556FA"/>
    <w:rsid w:val="00F97F5E"/>
    <w:rsid w:val="00FD4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84FCF"/>
  <w15:docId w15:val="{CF926365-7FAC-42B3-B6A7-C587C3E3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94D"/>
    <w:pPr>
      <w:spacing w:after="200" w:line="276" w:lineRule="auto"/>
    </w:pPr>
    <w:rPr>
      <w:rFonts w:eastAsiaTheme="minorHAnsi"/>
      <w:lang w:val="en-GB" w:eastAsia="en-GB"/>
    </w:rPr>
  </w:style>
  <w:style w:type="paragraph" w:styleId="Heading1">
    <w:name w:val="heading 1"/>
    <w:basedOn w:val="Normal"/>
    <w:next w:val="Normal"/>
    <w:link w:val="Heading1Char"/>
    <w:uiPriority w:val="9"/>
    <w:qFormat/>
    <w:rsid w:val="00003C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BB494D"/>
    <w:rPr>
      <w:rFonts w:cs="UniformCondensed-Medium"/>
      <w:color w:val="000000"/>
      <w:sz w:val="108"/>
      <w:szCs w:val="108"/>
    </w:rPr>
  </w:style>
  <w:style w:type="character" w:customStyle="1" w:styleId="A1">
    <w:name w:val="A1"/>
    <w:uiPriority w:val="99"/>
    <w:rsid w:val="00BB494D"/>
    <w:rPr>
      <w:rFonts w:cs="UniformCondensed-Medium"/>
      <w:color w:val="000000"/>
      <w:sz w:val="42"/>
      <w:szCs w:val="42"/>
    </w:rPr>
  </w:style>
  <w:style w:type="paragraph" w:styleId="NoSpacing">
    <w:name w:val="No Spacing"/>
    <w:uiPriority w:val="1"/>
    <w:qFormat/>
    <w:rsid w:val="00BB494D"/>
    <w:pPr>
      <w:spacing w:after="0" w:line="240" w:lineRule="auto"/>
    </w:pPr>
    <w:rPr>
      <w:rFonts w:eastAsiaTheme="minorHAnsi"/>
      <w:lang w:val="en-GB" w:eastAsia="en-GB"/>
    </w:rPr>
  </w:style>
  <w:style w:type="character" w:customStyle="1" w:styleId="apple-converted-space">
    <w:name w:val="apple-converted-space"/>
    <w:basedOn w:val="DefaultParagraphFont"/>
    <w:rsid w:val="00BB494D"/>
  </w:style>
  <w:style w:type="paragraph" w:styleId="Header">
    <w:name w:val="header"/>
    <w:basedOn w:val="Normal"/>
    <w:link w:val="HeaderChar"/>
    <w:uiPriority w:val="99"/>
    <w:unhideWhenUsed/>
    <w:rsid w:val="00E33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4A"/>
    <w:rPr>
      <w:rFonts w:eastAsiaTheme="minorHAnsi"/>
      <w:lang w:val="en-GB" w:eastAsia="en-GB"/>
    </w:rPr>
  </w:style>
  <w:style w:type="paragraph" w:styleId="Footer">
    <w:name w:val="footer"/>
    <w:basedOn w:val="Normal"/>
    <w:link w:val="FooterChar"/>
    <w:uiPriority w:val="99"/>
    <w:unhideWhenUsed/>
    <w:rsid w:val="00E3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4A"/>
    <w:rPr>
      <w:rFonts w:eastAsiaTheme="minorHAnsi"/>
      <w:lang w:val="en-GB" w:eastAsia="en-GB"/>
    </w:rPr>
  </w:style>
  <w:style w:type="paragraph" w:styleId="ListParagraph">
    <w:name w:val="List Paragraph"/>
    <w:basedOn w:val="Normal"/>
    <w:uiPriority w:val="34"/>
    <w:qFormat/>
    <w:rsid w:val="009A5742"/>
    <w:pPr>
      <w:ind w:left="720"/>
      <w:contextualSpacing/>
    </w:pPr>
  </w:style>
  <w:style w:type="paragraph" w:styleId="BalloonText">
    <w:name w:val="Balloon Text"/>
    <w:basedOn w:val="Normal"/>
    <w:link w:val="BalloonTextChar"/>
    <w:uiPriority w:val="99"/>
    <w:semiHidden/>
    <w:unhideWhenUsed/>
    <w:rsid w:val="005F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4E"/>
    <w:rPr>
      <w:rFonts w:ascii="Segoe UI" w:eastAsiaTheme="minorHAnsi" w:hAnsi="Segoe UI" w:cs="Segoe UI"/>
      <w:sz w:val="18"/>
      <w:szCs w:val="18"/>
      <w:lang w:val="en-GB" w:eastAsia="en-GB"/>
    </w:rPr>
  </w:style>
  <w:style w:type="character" w:customStyle="1" w:styleId="Heading1Char">
    <w:name w:val="Heading 1 Char"/>
    <w:basedOn w:val="DefaultParagraphFont"/>
    <w:link w:val="Heading1"/>
    <w:uiPriority w:val="9"/>
    <w:rsid w:val="00003CE1"/>
    <w:rPr>
      <w:rFonts w:asciiTheme="majorHAnsi" w:eastAsiaTheme="majorEastAsia" w:hAnsiTheme="majorHAnsi" w:cstheme="majorBidi"/>
      <w:color w:val="2F5496" w:themeColor="accent1" w:themeShade="BF"/>
      <w:sz w:val="32"/>
      <w:szCs w:val="32"/>
      <w:lang w:val="en-GB" w:eastAsia="en-GB"/>
    </w:rPr>
  </w:style>
  <w:style w:type="character" w:styleId="CommentReference">
    <w:name w:val="annotation reference"/>
    <w:basedOn w:val="DefaultParagraphFont"/>
    <w:uiPriority w:val="99"/>
    <w:semiHidden/>
    <w:unhideWhenUsed/>
    <w:rsid w:val="008B6202"/>
    <w:rPr>
      <w:sz w:val="18"/>
      <w:szCs w:val="18"/>
    </w:rPr>
  </w:style>
  <w:style w:type="paragraph" w:styleId="CommentText">
    <w:name w:val="annotation text"/>
    <w:basedOn w:val="Normal"/>
    <w:link w:val="CommentTextChar"/>
    <w:uiPriority w:val="99"/>
    <w:semiHidden/>
    <w:unhideWhenUsed/>
    <w:rsid w:val="008B6202"/>
    <w:pPr>
      <w:spacing w:line="240" w:lineRule="auto"/>
    </w:pPr>
    <w:rPr>
      <w:sz w:val="24"/>
      <w:szCs w:val="24"/>
    </w:rPr>
  </w:style>
  <w:style w:type="character" w:customStyle="1" w:styleId="CommentTextChar">
    <w:name w:val="Comment Text Char"/>
    <w:basedOn w:val="DefaultParagraphFont"/>
    <w:link w:val="CommentText"/>
    <w:uiPriority w:val="99"/>
    <w:semiHidden/>
    <w:rsid w:val="008B6202"/>
    <w:rPr>
      <w:rFonts w:eastAsiaTheme="minorHAnsi"/>
      <w:sz w:val="24"/>
      <w:szCs w:val="24"/>
      <w:lang w:val="en-GB" w:eastAsia="en-GB"/>
    </w:rPr>
  </w:style>
  <w:style w:type="paragraph" w:styleId="CommentSubject">
    <w:name w:val="annotation subject"/>
    <w:basedOn w:val="CommentText"/>
    <w:next w:val="CommentText"/>
    <w:link w:val="CommentSubjectChar"/>
    <w:uiPriority w:val="99"/>
    <w:semiHidden/>
    <w:unhideWhenUsed/>
    <w:rsid w:val="008B6202"/>
    <w:rPr>
      <w:b/>
      <w:bCs/>
      <w:sz w:val="20"/>
      <w:szCs w:val="20"/>
    </w:rPr>
  </w:style>
  <w:style w:type="character" w:customStyle="1" w:styleId="CommentSubjectChar">
    <w:name w:val="Comment Subject Char"/>
    <w:basedOn w:val="CommentTextChar"/>
    <w:link w:val="CommentSubject"/>
    <w:uiPriority w:val="99"/>
    <w:semiHidden/>
    <w:rsid w:val="008B6202"/>
    <w:rPr>
      <w:rFonts w:eastAsiaTheme="minorHAnsi"/>
      <w:b/>
      <w:bCs/>
      <w:sz w:val="20"/>
      <w:szCs w:val="20"/>
      <w:lang w:val="en-GB" w:eastAsia="en-GB"/>
    </w:rPr>
  </w:style>
  <w:style w:type="character" w:styleId="Hyperlink">
    <w:name w:val="Hyperlink"/>
    <w:basedOn w:val="DefaultParagraphFont"/>
    <w:uiPriority w:val="99"/>
    <w:unhideWhenUsed/>
    <w:rsid w:val="00D35D92"/>
    <w:rPr>
      <w:color w:val="0563C1" w:themeColor="hyperlink"/>
      <w:u w:val="single"/>
    </w:rPr>
  </w:style>
  <w:style w:type="character" w:styleId="UnresolvedMention">
    <w:name w:val="Unresolved Mention"/>
    <w:basedOn w:val="DefaultParagraphFont"/>
    <w:uiPriority w:val="99"/>
    <w:semiHidden/>
    <w:unhideWhenUsed/>
    <w:rsid w:val="00D35D92"/>
    <w:rPr>
      <w:color w:val="808080"/>
      <w:shd w:val="clear" w:color="auto" w:fill="E6E6E6"/>
    </w:rPr>
  </w:style>
  <w:style w:type="paragraph" w:styleId="FootnoteText">
    <w:name w:val="footnote text"/>
    <w:basedOn w:val="Normal"/>
    <w:link w:val="FootnoteTextChar"/>
    <w:uiPriority w:val="99"/>
    <w:semiHidden/>
    <w:unhideWhenUsed/>
    <w:rsid w:val="00A93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018"/>
    <w:rPr>
      <w:rFonts w:eastAsiaTheme="minorHAnsi"/>
      <w:sz w:val="20"/>
      <w:szCs w:val="20"/>
      <w:lang w:val="en-GB" w:eastAsia="en-GB"/>
    </w:rPr>
  </w:style>
  <w:style w:type="character" w:styleId="FootnoteReference">
    <w:name w:val="footnote reference"/>
    <w:basedOn w:val="DefaultParagraphFont"/>
    <w:uiPriority w:val="99"/>
    <w:semiHidden/>
    <w:unhideWhenUsed/>
    <w:rsid w:val="00A93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iatf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epard@un.org" TargetMode="External"/><Relationship Id="rId4" Type="http://schemas.openxmlformats.org/officeDocument/2006/relationships/settings" Target="settings.xml"/><Relationship Id="rId9" Type="http://schemas.openxmlformats.org/officeDocument/2006/relationships/hyperlink" Target="mailto:kathryn.donova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0446-6878-4A16-864B-CCDD063A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FfSDO</dc:creator>
  <cp:keywords/>
  <dc:description/>
  <cp:lastModifiedBy>Peter Chowla</cp:lastModifiedBy>
  <cp:revision>3</cp:revision>
  <cp:lastPrinted>2018-05-18T16:56:00Z</cp:lastPrinted>
  <dcterms:created xsi:type="dcterms:W3CDTF">2018-05-18T18:48:00Z</dcterms:created>
  <dcterms:modified xsi:type="dcterms:W3CDTF">2018-05-18T18:55:00Z</dcterms:modified>
</cp:coreProperties>
</file>