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86BA" w14:textId="4E2A36FD" w:rsidR="00E47CD7" w:rsidRPr="00E47CD7" w:rsidRDefault="00EA38CC" w:rsidP="00E47CD7">
      <w:pPr>
        <w:pStyle w:val="BodyText"/>
        <w:ind w:left="100" w:right="117"/>
        <w:jc w:val="center"/>
        <w:rPr>
          <w:b/>
          <w:bCs/>
          <w:u w:val="single"/>
        </w:rPr>
      </w:pPr>
      <w:bookmarkStart w:id="0" w:name="_Hlk195718996"/>
      <w:r w:rsidRPr="00EA38CC">
        <w:rPr>
          <w:b/>
          <w:bCs/>
          <w:u w:val="single"/>
        </w:rPr>
        <w:t>Taxation for Inequality Reduction: Call for Action to Seville FfD4</w:t>
      </w:r>
    </w:p>
    <w:p w14:paraId="4A1F55B4" w14:textId="1D0E15F5" w:rsidR="009B1219" w:rsidRPr="00E47CD7" w:rsidRDefault="00436334" w:rsidP="00E47CD7">
      <w:pPr>
        <w:pStyle w:val="BodyText"/>
        <w:ind w:left="100" w:right="117"/>
        <w:jc w:val="center"/>
      </w:pPr>
      <w:r w:rsidRPr="00E47CD7">
        <w:rPr>
          <w:b/>
          <w:bCs/>
          <w:u w:val="single"/>
        </w:rPr>
        <w:t>28 April 2025, 3:00 PM to 4:30 PM</w:t>
      </w:r>
      <w:bookmarkEnd w:id="0"/>
      <w:r w:rsidR="00A729BE" w:rsidRPr="00E47CD7">
        <w:rPr>
          <w:b/>
          <w:bCs/>
          <w:u w:val="single"/>
        </w:rPr>
        <w:t xml:space="preserve"> | Conference Room 1860, 18th floor, </w:t>
      </w:r>
      <w:r w:rsidRPr="00E47CD7">
        <w:rPr>
          <w:rFonts w:hint="eastAsia"/>
          <w:b/>
          <w:bCs/>
          <w:u w:val="single"/>
        </w:rPr>
        <w:t>D</w:t>
      </w:r>
      <w:r w:rsidRPr="00E47CD7">
        <w:rPr>
          <w:b/>
          <w:bCs/>
          <w:u w:val="single"/>
        </w:rPr>
        <w:t>C1</w:t>
      </w:r>
      <w:r w:rsidR="00E47CD7" w:rsidRPr="00E47CD7">
        <w:rPr>
          <w:b/>
          <w:bCs/>
          <w:u w:val="single"/>
        </w:rPr>
        <w:t xml:space="preserve"> </w:t>
      </w:r>
      <w:r w:rsidRPr="00E47CD7">
        <w:rPr>
          <w:b/>
          <w:bCs/>
          <w:u w:val="single"/>
        </w:rPr>
        <w:t>UNDP</w:t>
      </w:r>
    </w:p>
    <w:p w14:paraId="2F27C158" w14:textId="77777777" w:rsidR="009B1219" w:rsidRDefault="009B1219">
      <w:pPr>
        <w:pStyle w:val="BodyText"/>
        <w:rPr>
          <w:i/>
          <w:sz w:val="22"/>
        </w:rPr>
      </w:pPr>
    </w:p>
    <w:p w14:paraId="2331167A" w14:textId="77777777" w:rsidR="009B1219" w:rsidRDefault="009B1219">
      <w:pPr>
        <w:pStyle w:val="BodyText"/>
        <w:spacing w:before="52"/>
        <w:rPr>
          <w:i/>
          <w:sz w:val="22"/>
        </w:rPr>
      </w:pPr>
    </w:p>
    <w:p w14:paraId="2D380111" w14:textId="77777777" w:rsidR="009B1219" w:rsidRDefault="00B30445">
      <w:pPr>
        <w:pStyle w:val="Heading1"/>
        <w:jc w:val="both"/>
      </w:pPr>
      <w:r>
        <w:t xml:space="preserve">Background and </w:t>
      </w:r>
      <w:r>
        <w:rPr>
          <w:spacing w:val="-2"/>
        </w:rPr>
        <w:t>Rationale</w:t>
      </w:r>
    </w:p>
    <w:p w14:paraId="588DAC3C" w14:textId="77777777" w:rsidR="009B1219" w:rsidRDefault="009B1219">
      <w:pPr>
        <w:pStyle w:val="BodyText"/>
        <w:spacing w:before="3"/>
        <w:rPr>
          <w:b/>
        </w:rPr>
      </w:pPr>
    </w:p>
    <w:p w14:paraId="4E156971" w14:textId="70DB8F83" w:rsidR="009B1219" w:rsidRDefault="00B30445">
      <w:pPr>
        <w:pStyle w:val="BodyText"/>
        <w:ind w:left="100" w:right="117"/>
        <w:jc w:val="both"/>
      </w:pPr>
      <w:r>
        <w:t>With over half of global income held by just 10% of the population</w:t>
      </w:r>
      <w:r w:rsidR="006C7D9C">
        <w:t xml:space="preserve"> </w:t>
      </w:r>
      <w:r>
        <w:t>—</w:t>
      </w:r>
      <w:r w:rsidR="006C7D9C">
        <w:t xml:space="preserve"> </w:t>
      </w:r>
      <w:r>
        <w:t xml:space="preserve">with top 1% </w:t>
      </w:r>
      <w:r w:rsidR="00937CAF">
        <w:t>owning</w:t>
      </w:r>
      <w:r>
        <w:t xml:space="preserve"> more</w:t>
      </w:r>
      <w:r>
        <w:rPr>
          <w:spacing w:val="-14"/>
        </w:rPr>
        <w:t xml:space="preserve"> </w:t>
      </w:r>
      <w:r>
        <w:t>wealth</w:t>
      </w:r>
      <w:r>
        <w:rPr>
          <w:spacing w:val="-14"/>
        </w:rPr>
        <w:t xml:space="preserve"> </w:t>
      </w:r>
      <w:r>
        <w:t>than</w:t>
      </w:r>
      <w:r>
        <w:rPr>
          <w:spacing w:val="-14"/>
        </w:rPr>
        <w:t xml:space="preserve"> </w:t>
      </w:r>
      <w:r>
        <w:t>95%</w:t>
      </w:r>
      <w:r>
        <w:rPr>
          <w:spacing w:val="-14"/>
        </w:rPr>
        <w:t xml:space="preserve"> </w:t>
      </w:r>
      <w:r>
        <w:t>of</w:t>
      </w:r>
      <w:r>
        <w:rPr>
          <w:spacing w:val="-14"/>
        </w:rPr>
        <w:t xml:space="preserve"> </w:t>
      </w:r>
      <w:r>
        <w:t>world’s</w:t>
      </w:r>
      <w:r>
        <w:rPr>
          <w:spacing w:val="-14"/>
        </w:rPr>
        <w:t xml:space="preserve"> </w:t>
      </w:r>
      <w:r>
        <w:t>population</w:t>
      </w:r>
      <w:r w:rsidR="006C7D9C">
        <w:t xml:space="preserve"> — </w:t>
      </w:r>
      <w:r>
        <w:t>extreme</w:t>
      </w:r>
      <w:r>
        <w:rPr>
          <w:spacing w:val="-13"/>
        </w:rPr>
        <w:t xml:space="preserve"> </w:t>
      </w:r>
      <w:r>
        <w:t>inequality</w:t>
      </w:r>
      <w:r>
        <w:rPr>
          <w:spacing w:val="-14"/>
        </w:rPr>
        <w:t xml:space="preserve"> </w:t>
      </w:r>
      <w:r>
        <w:t>has</w:t>
      </w:r>
      <w:r>
        <w:rPr>
          <w:spacing w:val="-14"/>
        </w:rPr>
        <w:t xml:space="preserve"> </w:t>
      </w:r>
      <w:r>
        <w:t>become</w:t>
      </w:r>
      <w:r>
        <w:rPr>
          <w:spacing w:val="-14"/>
        </w:rPr>
        <w:t xml:space="preserve"> </w:t>
      </w:r>
      <w:r>
        <w:t>one</w:t>
      </w:r>
      <w:r>
        <w:rPr>
          <w:spacing w:val="-14"/>
        </w:rPr>
        <w:t xml:space="preserve"> </w:t>
      </w:r>
      <w:r>
        <w:t>of</w:t>
      </w:r>
      <w:r>
        <w:rPr>
          <w:spacing w:val="-14"/>
        </w:rPr>
        <w:t xml:space="preserve"> </w:t>
      </w:r>
      <w:r>
        <w:t>the</w:t>
      </w:r>
      <w:r>
        <w:rPr>
          <w:spacing w:val="-14"/>
        </w:rPr>
        <w:t xml:space="preserve"> </w:t>
      </w:r>
      <w:r>
        <w:t xml:space="preserve">defining </w:t>
      </w:r>
      <w:proofErr w:type="gramStart"/>
      <w:r>
        <w:t>crisis</w:t>
      </w:r>
      <w:proofErr w:type="gramEnd"/>
      <w:r>
        <w:t xml:space="preserve"> of our time. But inequality is not </w:t>
      </w:r>
      <w:proofErr w:type="gramStart"/>
      <w:r>
        <w:t>inevitable, and</w:t>
      </w:r>
      <w:proofErr w:type="gramEnd"/>
      <w:r>
        <w:t xml:space="preserve"> can be reversed by political decisions. Fiscal policy, particularly taxation, holds powerful potential to rebalance economies, restore the social contract, and unlock public financing for sustainable development.</w:t>
      </w:r>
    </w:p>
    <w:p w14:paraId="267AE041" w14:textId="77777777" w:rsidR="009B1219" w:rsidRDefault="009B1219">
      <w:pPr>
        <w:pStyle w:val="BodyText"/>
        <w:spacing w:before="4"/>
      </w:pPr>
    </w:p>
    <w:p w14:paraId="52F9ED09" w14:textId="77777777" w:rsidR="009B1219" w:rsidRDefault="00B30445">
      <w:pPr>
        <w:pStyle w:val="BodyText"/>
        <w:ind w:left="100" w:right="117"/>
        <w:jc w:val="both"/>
      </w:pPr>
      <w:r>
        <w:t>Redistribution through progressive taxation is essential to promoting fairness and inclusivity in public finance. It ensures that revenue mobilization aligns with the principles of progressivity, contributes to inequality reduction, redistributes power and unlocks extreme wealth concentration and that revenues are channeled into tangible social and economic benefits—reinforcing public trust in institutions.</w:t>
      </w:r>
    </w:p>
    <w:p w14:paraId="590760CA" w14:textId="77777777" w:rsidR="009B1219" w:rsidRDefault="009B1219">
      <w:pPr>
        <w:pStyle w:val="BodyText"/>
        <w:spacing w:before="5"/>
      </w:pPr>
    </w:p>
    <w:p w14:paraId="0B18FC27" w14:textId="0DED6CC7" w:rsidR="009B1219" w:rsidRDefault="00B30445">
      <w:pPr>
        <w:pStyle w:val="BodyText"/>
        <w:ind w:left="100" w:right="116"/>
        <w:jc w:val="both"/>
      </w:pPr>
      <w:r>
        <w:t xml:space="preserve">This session will explore how inequality reduction </w:t>
      </w:r>
      <w:proofErr w:type="gramStart"/>
      <w:r>
        <w:t>has to</w:t>
      </w:r>
      <w:proofErr w:type="gramEnd"/>
      <w:r>
        <w:t xml:space="preserve"> be the </w:t>
      </w:r>
      <w:proofErr w:type="gramStart"/>
      <w:r>
        <w:t>corner stone</w:t>
      </w:r>
      <w:proofErr w:type="gramEnd"/>
      <w:r>
        <w:t xml:space="preserve"> of the </w:t>
      </w:r>
      <w:r w:rsidR="00537853">
        <w:t>Fourth Financing for Development (</w:t>
      </w:r>
      <w:r>
        <w:t>F</w:t>
      </w:r>
      <w:r w:rsidR="00537853">
        <w:t>f</w:t>
      </w:r>
      <w:r>
        <w:t>D</w:t>
      </w:r>
      <w:r w:rsidR="00537853">
        <w:t>4)</w:t>
      </w:r>
      <w:r>
        <w:t xml:space="preserve"> summit,</w:t>
      </w:r>
      <w:r>
        <w:rPr>
          <w:spacing w:val="-3"/>
        </w:rPr>
        <w:t xml:space="preserve"> </w:t>
      </w:r>
      <w:r>
        <w:t>with</w:t>
      </w:r>
      <w:r w:rsidR="006C7D9C">
        <w:t xml:space="preserve"> </w:t>
      </w:r>
      <w:proofErr w:type="gramStart"/>
      <w:r>
        <w:t>critical</w:t>
      </w:r>
      <w:proofErr w:type="gramEnd"/>
      <w:r>
        <w:rPr>
          <w:spacing w:val="-2"/>
        </w:rPr>
        <w:t xml:space="preserve"> </w:t>
      </w:r>
      <w:r>
        <w:t>role</w:t>
      </w:r>
      <w:r>
        <w:rPr>
          <w:spacing w:val="-3"/>
        </w:rPr>
        <w:t xml:space="preserve"> </w:t>
      </w:r>
      <w:r>
        <w:t>to</w:t>
      </w:r>
      <w:r>
        <w:rPr>
          <w:spacing w:val="-2"/>
        </w:rPr>
        <w:t xml:space="preserve"> </w:t>
      </w:r>
      <w:r>
        <w:t>be</w:t>
      </w:r>
      <w:r>
        <w:rPr>
          <w:spacing w:val="-2"/>
        </w:rPr>
        <w:t xml:space="preserve"> </w:t>
      </w:r>
      <w:r>
        <w:t>played</w:t>
      </w:r>
      <w:r>
        <w:rPr>
          <w:spacing w:val="-3"/>
        </w:rPr>
        <w:t xml:space="preserve"> </w:t>
      </w:r>
      <w:r>
        <w:t>by</w:t>
      </w:r>
      <w:r>
        <w:rPr>
          <w:spacing w:val="-1"/>
        </w:rPr>
        <w:t xml:space="preserve"> </w:t>
      </w:r>
      <w:r>
        <w:t>progressive</w:t>
      </w:r>
      <w:r>
        <w:rPr>
          <w:spacing w:val="-1"/>
        </w:rPr>
        <w:t xml:space="preserve"> </w:t>
      </w:r>
      <w:r>
        <w:t>taxation</w:t>
      </w:r>
      <w:r>
        <w:rPr>
          <w:spacing w:val="-3"/>
        </w:rPr>
        <w:t xml:space="preserve"> </w:t>
      </w:r>
      <w:r>
        <w:t>and</w:t>
      </w:r>
      <w:r>
        <w:rPr>
          <w:spacing w:val="-2"/>
        </w:rPr>
        <w:t xml:space="preserve"> </w:t>
      </w:r>
      <w:r>
        <w:t>effective</w:t>
      </w:r>
      <w:r>
        <w:rPr>
          <w:spacing w:val="-2"/>
        </w:rPr>
        <w:t xml:space="preserve"> </w:t>
      </w:r>
      <w:r>
        <w:t>taxation</w:t>
      </w:r>
      <w:r>
        <w:rPr>
          <w:spacing w:val="-2"/>
        </w:rPr>
        <w:t xml:space="preserve"> </w:t>
      </w:r>
      <w:r>
        <w:t>of</w:t>
      </w:r>
      <w:r>
        <w:rPr>
          <w:spacing w:val="-3"/>
        </w:rPr>
        <w:t xml:space="preserve"> </w:t>
      </w:r>
      <w:proofErr w:type="gramStart"/>
      <w:r w:rsidR="00537853">
        <w:rPr>
          <w:spacing w:val="-3"/>
        </w:rPr>
        <w:t>High Net Worth</w:t>
      </w:r>
      <w:proofErr w:type="gramEnd"/>
      <w:r w:rsidR="00537853">
        <w:rPr>
          <w:spacing w:val="-3"/>
        </w:rPr>
        <w:t xml:space="preserve"> Individuals (</w:t>
      </w:r>
      <w:r>
        <w:t>HNWI</w:t>
      </w:r>
      <w:r w:rsidR="00537853">
        <w:t>)</w:t>
      </w:r>
      <w:r>
        <w:t xml:space="preserve"> </w:t>
      </w:r>
      <w:proofErr w:type="gramStart"/>
      <w:r>
        <w:t>in</w:t>
      </w:r>
      <w:r>
        <w:rPr>
          <w:spacing w:val="-15"/>
        </w:rPr>
        <w:t xml:space="preserve"> </w:t>
      </w:r>
      <w:r>
        <w:t>particular</w:t>
      </w:r>
      <w:r>
        <w:rPr>
          <w:spacing w:val="-15"/>
        </w:rPr>
        <w:t xml:space="preserve"> </w:t>
      </w:r>
      <w:r>
        <w:t>in</w:t>
      </w:r>
      <w:proofErr w:type="gramEnd"/>
      <w:r>
        <w:rPr>
          <w:spacing w:val="-15"/>
        </w:rPr>
        <w:t xml:space="preserve"> </w:t>
      </w:r>
      <w:r>
        <w:t>rebuilding</w:t>
      </w:r>
      <w:r>
        <w:rPr>
          <w:spacing w:val="-15"/>
        </w:rPr>
        <w:t xml:space="preserve"> </w:t>
      </w:r>
      <w:r>
        <w:t>the</w:t>
      </w:r>
      <w:r>
        <w:rPr>
          <w:spacing w:val="-15"/>
        </w:rPr>
        <w:t xml:space="preserve"> </w:t>
      </w:r>
      <w:r>
        <w:t>social</w:t>
      </w:r>
      <w:r>
        <w:rPr>
          <w:spacing w:val="-15"/>
        </w:rPr>
        <w:t xml:space="preserve"> </w:t>
      </w:r>
      <w:r>
        <w:t>contract.</w:t>
      </w:r>
      <w:r>
        <w:rPr>
          <w:spacing w:val="-15"/>
        </w:rPr>
        <w:t xml:space="preserve"> </w:t>
      </w:r>
      <w:r>
        <w:t>Drawing</w:t>
      </w:r>
      <w:r>
        <w:rPr>
          <w:spacing w:val="-15"/>
        </w:rPr>
        <w:t xml:space="preserve"> </w:t>
      </w:r>
      <w:r>
        <w:t>on</w:t>
      </w:r>
      <w:r>
        <w:rPr>
          <w:spacing w:val="-15"/>
        </w:rPr>
        <w:t xml:space="preserve"> </w:t>
      </w:r>
      <w:r>
        <w:t>lessons</w:t>
      </w:r>
      <w:r>
        <w:rPr>
          <w:spacing w:val="-15"/>
        </w:rPr>
        <w:t xml:space="preserve"> </w:t>
      </w:r>
      <w:r>
        <w:t>from</w:t>
      </w:r>
      <w:r>
        <w:rPr>
          <w:spacing w:val="-15"/>
        </w:rPr>
        <w:t xml:space="preserve"> </w:t>
      </w:r>
      <w:r>
        <w:t>international</w:t>
      </w:r>
      <w:r>
        <w:rPr>
          <w:spacing w:val="29"/>
        </w:rPr>
        <w:t xml:space="preserve"> </w:t>
      </w:r>
      <w:r>
        <w:t>and</w:t>
      </w:r>
      <w:r>
        <w:rPr>
          <w:spacing w:val="-15"/>
        </w:rPr>
        <w:t xml:space="preserve"> </w:t>
      </w:r>
      <w:r>
        <w:t>global south</w:t>
      </w:r>
      <w:r>
        <w:rPr>
          <w:spacing w:val="40"/>
        </w:rPr>
        <w:t xml:space="preserve"> </w:t>
      </w:r>
      <w:r>
        <w:t xml:space="preserve">leadership, the discussion will highlight how progressive tax systems can articulate inequality reduction, foster economic resilience, reduce disparities, and strengthen public </w:t>
      </w:r>
      <w:r>
        <w:rPr>
          <w:spacing w:val="-2"/>
        </w:rPr>
        <w:t>confidence.</w:t>
      </w:r>
    </w:p>
    <w:p w14:paraId="588E24AE" w14:textId="77777777" w:rsidR="009B1219" w:rsidRDefault="009B1219">
      <w:pPr>
        <w:pStyle w:val="BodyText"/>
        <w:spacing w:before="4"/>
      </w:pPr>
    </w:p>
    <w:p w14:paraId="6022101C" w14:textId="7843BBC3" w:rsidR="009B1219" w:rsidRDefault="00B30445">
      <w:pPr>
        <w:pStyle w:val="BodyText"/>
        <w:ind w:left="100" w:right="117"/>
        <w:jc w:val="both"/>
      </w:pPr>
      <w:r>
        <w:t>Building on recent momentum and growing global calls for</w:t>
      </w:r>
      <w:r>
        <w:rPr>
          <w:spacing w:val="40"/>
        </w:rPr>
        <w:t xml:space="preserve"> </w:t>
      </w:r>
      <w:r>
        <w:t xml:space="preserve">taxation of HNWI both under international tax cooperation and at national or regional level, this side event will serve as a platform to deliver a unified political message: Seville FfD4 must produce a strong commitment to reduce inequality as the inevitable element in sustainable </w:t>
      </w:r>
      <w:r w:rsidR="00937CAF">
        <w:t>development</w:t>
      </w:r>
      <w:r>
        <w:t xml:space="preserve"> objectives both within and between countries.</w:t>
      </w:r>
    </w:p>
    <w:p w14:paraId="15D0E767" w14:textId="77777777" w:rsidR="009B1219" w:rsidRDefault="009B1219">
      <w:pPr>
        <w:pStyle w:val="BodyText"/>
        <w:spacing w:before="4"/>
      </w:pPr>
    </w:p>
    <w:p w14:paraId="0A4A1D1C" w14:textId="77777777" w:rsidR="009B1219" w:rsidRDefault="00B30445">
      <w:pPr>
        <w:pStyle w:val="Heading1"/>
      </w:pPr>
      <w:r>
        <w:rPr>
          <w:spacing w:val="-2"/>
        </w:rPr>
        <w:t>Objectives</w:t>
      </w:r>
    </w:p>
    <w:p w14:paraId="584B619C" w14:textId="77777777" w:rsidR="009B1219" w:rsidRDefault="009B1219">
      <w:pPr>
        <w:pStyle w:val="BodyText"/>
        <w:spacing w:before="3"/>
        <w:rPr>
          <w:b/>
        </w:rPr>
      </w:pPr>
    </w:p>
    <w:p w14:paraId="5EEC7E7A" w14:textId="598714C9" w:rsidR="009B1219" w:rsidRDefault="00B30445" w:rsidP="005C2E10">
      <w:pPr>
        <w:pStyle w:val="ListParagraph"/>
        <w:numPr>
          <w:ilvl w:val="0"/>
          <w:numId w:val="1"/>
        </w:numPr>
        <w:tabs>
          <w:tab w:val="left" w:pos="820"/>
        </w:tabs>
        <w:spacing w:before="1"/>
        <w:ind w:right="119"/>
        <w:jc w:val="both"/>
        <w:rPr>
          <w:sz w:val="24"/>
        </w:rPr>
      </w:pPr>
      <w:r>
        <w:rPr>
          <w:sz w:val="24"/>
        </w:rPr>
        <w:t>Anchor</w:t>
      </w:r>
      <w:r>
        <w:rPr>
          <w:spacing w:val="-9"/>
          <w:sz w:val="24"/>
        </w:rPr>
        <w:t xml:space="preserve"> </w:t>
      </w:r>
      <w:r>
        <w:rPr>
          <w:sz w:val="24"/>
        </w:rPr>
        <w:t>the</w:t>
      </w:r>
      <w:r>
        <w:rPr>
          <w:spacing w:val="-9"/>
          <w:sz w:val="24"/>
        </w:rPr>
        <w:t xml:space="preserve"> </w:t>
      </w:r>
      <w:r>
        <w:rPr>
          <w:sz w:val="24"/>
        </w:rPr>
        <w:t>need</w:t>
      </w:r>
      <w:r>
        <w:rPr>
          <w:spacing w:val="-9"/>
          <w:sz w:val="24"/>
        </w:rPr>
        <w:t xml:space="preserve"> </w:t>
      </w:r>
      <w:r>
        <w:rPr>
          <w:sz w:val="24"/>
        </w:rPr>
        <w:t>to</w:t>
      </w:r>
      <w:r>
        <w:rPr>
          <w:spacing w:val="-9"/>
          <w:sz w:val="24"/>
        </w:rPr>
        <w:t xml:space="preserve"> </w:t>
      </w:r>
      <w:r>
        <w:rPr>
          <w:sz w:val="24"/>
        </w:rPr>
        <w:t>influence</w:t>
      </w:r>
      <w:r>
        <w:rPr>
          <w:spacing w:val="-9"/>
          <w:sz w:val="24"/>
        </w:rPr>
        <w:t xml:space="preserve"> </w:t>
      </w:r>
      <w:r>
        <w:rPr>
          <w:sz w:val="24"/>
        </w:rPr>
        <w:t>an</w:t>
      </w:r>
      <w:r>
        <w:rPr>
          <w:spacing w:val="-9"/>
          <w:sz w:val="24"/>
        </w:rPr>
        <w:t xml:space="preserve"> </w:t>
      </w:r>
      <w:r>
        <w:rPr>
          <w:sz w:val="24"/>
        </w:rPr>
        <w:t>F</w:t>
      </w:r>
      <w:r w:rsidR="00537853">
        <w:rPr>
          <w:sz w:val="24"/>
        </w:rPr>
        <w:t>f</w:t>
      </w:r>
      <w:r>
        <w:rPr>
          <w:sz w:val="24"/>
        </w:rPr>
        <w:t>D</w:t>
      </w:r>
      <w:r w:rsidR="00537853">
        <w:rPr>
          <w:sz w:val="24"/>
        </w:rPr>
        <w:t>4</w:t>
      </w:r>
      <w:r>
        <w:rPr>
          <w:spacing w:val="-9"/>
          <w:sz w:val="24"/>
        </w:rPr>
        <w:t xml:space="preserve"> </w:t>
      </w:r>
      <w:r>
        <w:rPr>
          <w:sz w:val="24"/>
        </w:rPr>
        <w:t>outcome</w:t>
      </w:r>
      <w:r>
        <w:rPr>
          <w:spacing w:val="-9"/>
          <w:sz w:val="24"/>
        </w:rPr>
        <w:t xml:space="preserve"> </w:t>
      </w:r>
      <w:r>
        <w:rPr>
          <w:sz w:val="24"/>
        </w:rPr>
        <w:t>objective</w:t>
      </w:r>
      <w:r>
        <w:rPr>
          <w:spacing w:val="-9"/>
          <w:sz w:val="24"/>
        </w:rPr>
        <w:t xml:space="preserve"> </w:t>
      </w:r>
      <w:r>
        <w:rPr>
          <w:sz w:val="24"/>
        </w:rPr>
        <w:t>around</w:t>
      </w:r>
      <w:r>
        <w:rPr>
          <w:spacing w:val="-9"/>
          <w:sz w:val="24"/>
        </w:rPr>
        <w:t xml:space="preserve"> </w:t>
      </w:r>
      <w:r>
        <w:rPr>
          <w:sz w:val="24"/>
        </w:rPr>
        <w:t>inequality</w:t>
      </w:r>
      <w:r>
        <w:rPr>
          <w:spacing w:val="-9"/>
          <w:sz w:val="24"/>
        </w:rPr>
        <w:t xml:space="preserve"> </w:t>
      </w:r>
      <w:r>
        <w:rPr>
          <w:sz w:val="24"/>
        </w:rPr>
        <w:t>at</w:t>
      </w:r>
      <w:r>
        <w:rPr>
          <w:spacing w:val="-9"/>
          <w:sz w:val="24"/>
        </w:rPr>
        <w:t xml:space="preserve"> </w:t>
      </w:r>
      <w:r>
        <w:rPr>
          <w:sz w:val="24"/>
        </w:rPr>
        <w:t>the</w:t>
      </w:r>
      <w:r>
        <w:rPr>
          <w:spacing w:val="-9"/>
          <w:sz w:val="24"/>
        </w:rPr>
        <w:t xml:space="preserve"> </w:t>
      </w:r>
      <w:r>
        <w:rPr>
          <w:sz w:val="24"/>
        </w:rPr>
        <w:t>center of the commitments</w:t>
      </w:r>
    </w:p>
    <w:p w14:paraId="31BD023C" w14:textId="77777777" w:rsidR="009B1219" w:rsidRDefault="00B30445" w:rsidP="005C2E10">
      <w:pPr>
        <w:pStyle w:val="ListParagraph"/>
        <w:numPr>
          <w:ilvl w:val="0"/>
          <w:numId w:val="1"/>
        </w:numPr>
        <w:tabs>
          <w:tab w:val="left" w:pos="820"/>
        </w:tabs>
        <w:ind w:right="118"/>
        <w:jc w:val="both"/>
        <w:rPr>
          <w:sz w:val="24"/>
        </w:rPr>
      </w:pPr>
      <w:r>
        <w:rPr>
          <w:sz w:val="24"/>
        </w:rPr>
        <w:t>Position</w:t>
      </w:r>
      <w:r>
        <w:rPr>
          <w:spacing w:val="-9"/>
          <w:sz w:val="24"/>
        </w:rPr>
        <w:t xml:space="preserve"> </w:t>
      </w:r>
      <w:r>
        <w:rPr>
          <w:sz w:val="24"/>
        </w:rPr>
        <w:t>progressive</w:t>
      </w:r>
      <w:r>
        <w:rPr>
          <w:spacing w:val="-9"/>
          <w:sz w:val="24"/>
        </w:rPr>
        <w:t xml:space="preserve"> </w:t>
      </w:r>
      <w:r>
        <w:rPr>
          <w:sz w:val="24"/>
        </w:rPr>
        <w:t>taxation</w:t>
      </w:r>
      <w:r>
        <w:rPr>
          <w:spacing w:val="-9"/>
          <w:sz w:val="24"/>
        </w:rPr>
        <w:t xml:space="preserve"> </w:t>
      </w:r>
      <w:r>
        <w:rPr>
          <w:sz w:val="24"/>
        </w:rPr>
        <w:t>as</w:t>
      </w:r>
      <w:r>
        <w:rPr>
          <w:spacing w:val="-9"/>
          <w:sz w:val="24"/>
        </w:rPr>
        <w:t xml:space="preserve"> </w:t>
      </w:r>
      <w:r>
        <w:rPr>
          <w:sz w:val="24"/>
        </w:rPr>
        <w:t>a</w:t>
      </w:r>
      <w:r>
        <w:rPr>
          <w:spacing w:val="-9"/>
          <w:sz w:val="24"/>
        </w:rPr>
        <w:t xml:space="preserve"> </w:t>
      </w:r>
      <w:r>
        <w:rPr>
          <w:sz w:val="24"/>
        </w:rPr>
        <w:t>cornerstone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global</w:t>
      </w:r>
      <w:r>
        <w:rPr>
          <w:spacing w:val="-9"/>
          <w:sz w:val="24"/>
        </w:rPr>
        <w:t xml:space="preserve"> </w:t>
      </w:r>
      <w:r>
        <w:rPr>
          <w:sz w:val="24"/>
        </w:rPr>
        <w:t>agenda</w:t>
      </w:r>
      <w:r>
        <w:rPr>
          <w:spacing w:val="-9"/>
          <w:sz w:val="24"/>
        </w:rPr>
        <w:t xml:space="preserve"> </w:t>
      </w:r>
      <w:r>
        <w:rPr>
          <w:sz w:val="24"/>
        </w:rPr>
        <w:t>to</w:t>
      </w:r>
      <w:r>
        <w:rPr>
          <w:spacing w:val="-6"/>
          <w:sz w:val="24"/>
        </w:rPr>
        <w:t xml:space="preserve"> </w:t>
      </w:r>
      <w:r>
        <w:rPr>
          <w:sz w:val="24"/>
        </w:rPr>
        <w:t>reduce</w:t>
      </w:r>
      <w:r>
        <w:rPr>
          <w:spacing w:val="-9"/>
          <w:sz w:val="24"/>
        </w:rPr>
        <w:t xml:space="preserve"> </w:t>
      </w:r>
      <w:r>
        <w:rPr>
          <w:sz w:val="24"/>
        </w:rPr>
        <w:t>inequality and rebuild the social contract.</w:t>
      </w:r>
    </w:p>
    <w:p w14:paraId="3B0B9190" w14:textId="77777777" w:rsidR="009B1219" w:rsidRDefault="00B30445" w:rsidP="005C2E10">
      <w:pPr>
        <w:pStyle w:val="ListParagraph"/>
        <w:numPr>
          <w:ilvl w:val="0"/>
          <w:numId w:val="1"/>
        </w:numPr>
        <w:tabs>
          <w:tab w:val="left" w:pos="820"/>
        </w:tabs>
        <w:jc w:val="both"/>
        <w:rPr>
          <w:sz w:val="24"/>
        </w:rPr>
      </w:pPr>
      <w:r>
        <w:rPr>
          <w:sz w:val="24"/>
        </w:rPr>
        <w:t>Elevate</w:t>
      </w:r>
      <w:r>
        <w:rPr>
          <w:spacing w:val="-4"/>
          <w:sz w:val="24"/>
        </w:rPr>
        <w:t xml:space="preserve"> </w:t>
      </w:r>
      <w:r>
        <w:rPr>
          <w:sz w:val="24"/>
        </w:rPr>
        <w:t>political</w:t>
      </w:r>
      <w:r>
        <w:rPr>
          <w:spacing w:val="-2"/>
          <w:sz w:val="24"/>
        </w:rPr>
        <w:t xml:space="preserve"> </w:t>
      </w:r>
      <w:r>
        <w:rPr>
          <w:sz w:val="24"/>
        </w:rPr>
        <w:t>support</w:t>
      </w:r>
      <w:r>
        <w:rPr>
          <w:spacing w:val="-2"/>
          <w:sz w:val="24"/>
        </w:rPr>
        <w:t xml:space="preserve"> </w:t>
      </w:r>
      <w:r>
        <w:rPr>
          <w:sz w:val="24"/>
        </w:rPr>
        <w:t>for</w:t>
      </w:r>
      <w:r>
        <w:rPr>
          <w:spacing w:val="-1"/>
          <w:sz w:val="24"/>
        </w:rPr>
        <w:t xml:space="preserve"> </w:t>
      </w:r>
      <w:r>
        <w:rPr>
          <w:sz w:val="24"/>
        </w:rPr>
        <w:t>progressive</w:t>
      </w:r>
      <w:r>
        <w:rPr>
          <w:spacing w:val="-1"/>
          <w:sz w:val="24"/>
        </w:rPr>
        <w:t xml:space="preserve"> </w:t>
      </w:r>
      <w:r>
        <w:rPr>
          <w:sz w:val="24"/>
        </w:rPr>
        <w:t>taxation</w:t>
      </w:r>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tax</w:t>
      </w:r>
      <w:r>
        <w:rPr>
          <w:spacing w:val="-2"/>
          <w:sz w:val="24"/>
        </w:rPr>
        <w:t xml:space="preserve"> cooperation.</w:t>
      </w:r>
    </w:p>
    <w:p w14:paraId="45DC0C04" w14:textId="53E8BEC2" w:rsidR="009B1219" w:rsidRDefault="00B30445" w:rsidP="005C2E10">
      <w:pPr>
        <w:pStyle w:val="ListParagraph"/>
        <w:numPr>
          <w:ilvl w:val="0"/>
          <w:numId w:val="1"/>
        </w:numPr>
        <w:tabs>
          <w:tab w:val="left" w:pos="820"/>
        </w:tabs>
        <w:ind w:right="117"/>
        <w:jc w:val="both"/>
        <w:rPr>
          <w:sz w:val="24"/>
        </w:rPr>
      </w:pPr>
      <w:r>
        <w:rPr>
          <w:sz w:val="24"/>
        </w:rPr>
        <w:t>Foster cross-regional dialogue among policymakers, experts, and civil society on how to</w:t>
      </w:r>
      <w:r>
        <w:rPr>
          <w:spacing w:val="-9"/>
          <w:sz w:val="24"/>
        </w:rPr>
        <w:t xml:space="preserve"> </w:t>
      </w:r>
      <w:r>
        <w:rPr>
          <w:sz w:val="24"/>
        </w:rPr>
        <w:t>align</w:t>
      </w:r>
      <w:r>
        <w:rPr>
          <w:spacing w:val="-9"/>
          <w:sz w:val="24"/>
        </w:rPr>
        <w:t xml:space="preserve"> </w:t>
      </w:r>
      <w:r>
        <w:rPr>
          <w:sz w:val="24"/>
        </w:rPr>
        <w:t>tax</w:t>
      </w:r>
      <w:r>
        <w:rPr>
          <w:spacing w:val="-9"/>
          <w:sz w:val="24"/>
        </w:rPr>
        <w:t xml:space="preserve"> </w:t>
      </w:r>
      <w:r>
        <w:rPr>
          <w:sz w:val="24"/>
        </w:rPr>
        <w:t>systems</w:t>
      </w:r>
      <w:r>
        <w:rPr>
          <w:spacing w:val="-9"/>
          <w:sz w:val="24"/>
        </w:rPr>
        <w:t xml:space="preserve"> </w:t>
      </w:r>
      <w:r>
        <w:rPr>
          <w:sz w:val="24"/>
        </w:rPr>
        <w:t>with</w:t>
      </w:r>
      <w:r>
        <w:rPr>
          <w:spacing w:val="-11"/>
          <w:sz w:val="24"/>
        </w:rPr>
        <w:t xml:space="preserve"> </w:t>
      </w:r>
      <w:r>
        <w:rPr>
          <w:sz w:val="24"/>
        </w:rPr>
        <w:t>inequality</w:t>
      </w:r>
      <w:r>
        <w:rPr>
          <w:spacing w:val="-10"/>
          <w:sz w:val="24"/>
        </w:rPr>
        <w:t xml:space="preserve"> </w:t>
      </w:r>
      <w:r>
        <w:rPr>
          <w:sz w:val="24"/>
        </w:rPr>
        <w:t>reduction,</w:t>
      </w:r>
      <w:r>
        <w:rPr>
          <w:spacing w:val="-9"/>
          <w:sz w:val="24"/>
        </w:rPr>
        <w:t xml:space="preserve"> </w:t>
      </w:r>
      <w:r>
        <w:rPr>
          <w:sz w:val="24"/>
        </w:rPr>
        <w:t>sustainability,</w:t>
      </w:r>
      <w:r>
        <w:rPr>
          <w:spacing w:val="-10"/>
          <w:sz w:val="24"/>
        </w:rPr>
        <w:t xml:space="preserve"> </w:t>
      </w:r>
      <w:r>
        <w:rPr>
          <w:sz w:val="24"/>
        </w:rPr>
        <w:t>and</w:t>
      </w:r>
      <w:r>
        <w:rPr>
          <w:spacing w:val="-9"/>
          <w:sz w:val="24"/>
        </w:rPr>
        <w:t xml:space="preserve"> </w:t>
      </w:r>
      <w:r w:rsidR="00537853">
        <w:rPr>
          <w:sz w:val="24"/>
        </w:rPr>
        <w:t>SDG</w:t>
      </w:r>
      <w:r>
        <w:rPr>
          <w:spacing w:val="-10"/>
          <w:sz w:val="24"/>
        </w:rPr>
        <w:t xml:space="preserve"> </w:t>
      </w:r>
      <w:r>
        <w:rPr>
          <w:sz w:val="24"/>
        </w:rPr>
        <w:t>financing</w:t>
      </w:r>
      <w:r>
        <w:rPr>
          <w:spacing w:val="-9"/>
          <w:sz w:val="24"/>
        </w:rPr>
        <w:t xml:space="preserve"> </w:t>
      </w:r>
      <w:r>
        <w:rPr>
          <w:sz w:val="24"/>
        </w:rPr>
        <w:t>goals.</w:t>
      </w:r>
    </w:p>
    <w:p w14:paraId="25C5D2F7" w14:textId="2E35410E" w:rsidR="009B1219" w:rsidRDefault="00B30445" w:rsidP="005C2E10">
      <w:pPr>
        <w:pStyle w:val="ListParagraph"/>
        <w:numPr>
          <w:ilvl w:val="0"/>
          <w:numId w:val="1"/>
        </w:numPr>
        <w:tabs>
          <w:tab w:val="left" w:pos="820"/>
        </w:tabs>
        <w:ind w:right="122"/>
        <w:jc w:val="both"/>
        <w:rPr>
          <w:sz w:val="24"/>
        </w:rPr>
      </w:pPr>
      <w:r>
        <w:rPr>
          <w:sz w:val="24"/>
        </w:rPr>
        <w:t xml:space="preserve">Mobilize momentum ahead of Seville FfD4 to secure concrete commitments on inequality reduction, using taxation as a tool for fairness, resilience, and inclusive </w:t>
      </w:r>
      <w:r>
        <w:rPr>
          <w:spacing w:val="-2"/>
          <w:sz w:val="24"/>
        </w:rPr>
        <w:t>development.</w:t>
      </w:r>
    </w:p>
    <w:p w14:paraId="313B1B95" w14:textId="77777777" w:rsidR="009B1219" w:rsidRDefault="009B1219">
      <w:pPr>
        <w:pStyle w:val="BodyText"/>
        <w:spacing w:before="4"/>
      </w:pPr>
    </w:p>
    <w:p w14:paraId="439DF267" w14:textId="2B927FE4" w:rsidR="009B1219" w:rsidRDefault="00E47CD7">
      <w:pPr>
        <w:pStyle w:val="Heading1"/>
      </w:pPr>
      <w:r>
        <w:br w:type="column"/>
      </w:r>
      <w:r w:rsidR="00B30445">
        <w:lastRenderedPageBreak/>
        <w:t>Agenda</w:t>
      </w:r>
      <w:r w:rsidR="00B30445">
        <w:rPr>
          <w:spacing w:val="-1"/>
        </w:rPr>
        <w:t xml:space="preserve"> </w:t>
      </w:r>
      <w:r w:rsidR="00B30445">
        <w:t>–</w:t>
      </w:r>
      <w:r w:rsidR="00B30445">
        <w:rPr>
          <w:spacing w:val="1"/>
        </w:rPr>
        <w:t xml:space="preserve"> </w:t>
      </w:r>
      <w:r w:rsidR="00B30445">
        <w:t>Moderated</w:t>
      </w:r>
      <w:r w:rsidR="00B30445">
        <w:rPr>
          <w:spacing w:val="-2"/>
        </w:rPr>
        <w:t xml:space="preserve"> </w:t>
      </w:r>
      <w:r w:rsidR="00B30445">
        <w:t xml:space="preserve">Panel </w:t>
      </w:r>
      <w:r w:rsidR="00B30445">
        <w:rPr>
          <w:spacing w:val="-2"/>
        </w:rPr>
        <w:t>Discussion</w:t>
      </w:r>
    </w:p>
    <w:p w14:paraId="1D693A01" w14:textId="77777777" w:rsidR="009B1219" w:rsidRDefault="009B1219">
      <w:pPr>
        <w:pStyle w:val="BodyText"/>
        <w:spacing w:before="5"/>
        <w:rPr>
          <w:b/>
        </w:rPr>
      </w:pPr>
    </w:p>
    <w:p w14:paraId="74FC1B05" w14:textId="2068688A" w:rsidR="00E47CD7" w:rsidRPr="00E47CD7" w:rsidRDefault="00CD4814" w:rsidP="72628608">
      <w:pPr>
        <w:pStyle w:val="BodyText"/>
        <w:numPr>
          <w:ilvl w:val="0"/>
          <w:numId w:val="2"/>
        </w:numPr>
        <w:spacing w:before="5"/>
        <w:rPr>
          <w:lang w:val="en-GB"/>
        </w:rPr>
      </w:pPr>
      <w:r>
        <w:rPr>
          <w:rStyle w:val="normaltextrun"/>
          <w:color w:val="000000"/>
          <w:shd w:val="clear" w:color="auto" w:fill="FFFFFF"/>
        </w:rPr>
        <w:t>Mr. José Gilberto Scandiucci, </w:t>
      </w:r>
      <w:r>
        <w:rPr>
          <w:rStyle w:val="normaltextrun"/>
          <w:i/>
          <w:iCs/>
          <w:color w:val="000000"/>
          <w:shd w:val="clear" w:color="auto" w:fill="FFFFFF"/>
        </w:rPr>
        <w:t>Minister-Counselor at the Permanent Mission of Brazil to the United Nations</w:t>
      </w:r>
      <w:r>
        <w:rPr>
          <w:rStyle w:val="normaltextrun"/>
          <w:color w:val="000000"/>
          <w:shd w:val="clear" w:color="auto" w:fill="FFFFFF"/>
        </w:rPr>
        <w:t> </w:t>
      </w:r>
    </w:p>
    <w:p w14:paraId="06A577F2" w14:textId="6CE9351B" w:rsidR="00E47CD7" w:rsidRPr="00E47CD7" w:rsidRDefault="02355C8C" w:rsidP="4F8E7D29">
      <w:pPr>
        <w:pStyle w:val="BodyText"/>
        <w:numPr>
          <w:ilvl w:val="0"/>
          <w:numId w:val="3"/>
        </w:numPr>
        <w:spacing w:before="5"/>
        <w:rPr>
          <w:lang w:val="en-GB"/>
        </w:rPr>
      </w:pPr>
      <w:r w:rsidRPr="4F8E7D29">
        <w:rPr>
          <w:lang w:val="en-GB"/>
        </w:rPr>
        <w:t xml:space="preserve">Mr. Sergio Colina Martín, </w:t>
      </w:r>
      <w:r w:rsidRPr="4F8E7D29">
        <w:rPr>
          <w:i/>
          <w:iCs/>
          <w:lang w:val="en-GB"/>
        </w:rPr>
        <w:t>Director General for Sustainable Development Policies at the Secretariat of State for International Cooperation of Spain</w:t>
      </w:r>
      <w:r w:rsidR="00E47CD7" w:rsidRPr="4F8E7D29">
        <w:rPr>
          <w:i/>
          <w:iCs/>
          <w:lang w:val="en-GB"/>
        </w:rPr>
        <w:t> </w:t>
      </w:r>
    </w:p>
    <w:p w14:paraId="14F72C66" w14:textId="66E1D026" w:rsidR="00E47CD7" w:rsidRPr="00E47CD7" w:rsidRDefault="00E47CD7" w:rsidP="00E47CD7">
      <w:pPr>
        <w:pStyle w:val="BodyText"/>
        <w:numPr>
          <w:ilvl w:val="0"/>
          <w:numId w:val="3"/>
        </w:numPr>
        <w:spacing w:before="5"/>
        <w:rPr>
          <w:bCs/>
          <w:lang w:val="en-GB"/>
        </w:rPr>
      </w:pPr>
      <w:r w:rsidRPr="00E47CD7">
        <w:rPr>
          <w:bCs/>
          <w:lang w:val="en-GB"/>
        </w:rPr>
        <w:t xml:space="preserve">Ms. </w:t>
      </w:r>
      <w:r w:rsidR="00CD4814">
        <w:rPr>
          <w:rStyle w:val="normaltextrun"/>
          <w:color w:val="000000"/>
          <w:shd w:val="clear" w:color="auto" w:fill="FFFFFF"/>
        </w:rPr>
        <w:t xml:space="preserve">Rispah Simiyu, </w:t>
      </w:r>
      <w:r w:rsidR="00CD4814">
        <w:rPr>
          <w:rStyle w:val="normaltextrun"/>
          <w:i/>
          <w:iCs/>
          <w:color w:val="000000"/>
          <w:shd w:val="clear" w:color="auto" w:fill="FFFFFF"/>
        </w:rPr>
        <w:t>Commissioner for the Large and Medium Taxpayers Office at Kenya Revenue Authority</w:t>
      </w:r>
    </w:p>
    <w:p w14:paraId="0EF24756" w14:textId="164007D4" w:rsidR="00E47CD7" w:rsidRDefault="00091913" w:rsidP="56C297B7">
      <w:pPr>
        <w:pStyle w:val="BodyText"/>
        <w:numPr>
          <w:ilvl w:val="0"/>
          <w:numId w:val="3"/>
        </w:numPr>
        <w:spacing w:before="5"/>
        <w:rPr>
          <w:lang w:val="en-GB"/>
        </w:rPr>
      </w:pPr>
      <w:r w:rsidRPr="56C297B7">
        <w:rPr>
          <w:lang w:eastAsia="en-GB"/>
        </w:rPr>
        <w:t>Mr. Hernán Sae</w:t>
      </w:r>
      <w:r w:rsidR="2E2FBA02" w:rsidRPr="56C297B7">
        <w:rPr>
          <w:lang w:eastAsia="en-GB"/>
        </w:rPr>
        <w:t>n</w:t>
      </w:r>
      <w:r w:rsidRPr="56C297B7">
        <w:rPr>
          <w:lang w:eastAsia="en-GB"/>
        </w:rPr>
        <w:t xml:space="preserve">z, </w:t>
      </w:r>
      <w:r w:rsidRPr="56C297B7">
        <w:rPr>
          <w:i/>
          <w:iCs/>
          <w:lang w:eastAsia="en-GB"/>
        </w:rPr>
        <w:t xml:space="preserve">Oxfam </w:t>
      </w:r>
      <w:r w:rsidR="00524A65" w:rsidRPr="00524A65">
        <w:rPr>
          <w:i/>
          <w:iCs/>
          <w:lang w:eastAsia="en-GB"/>
        </w:rPr>
        <w:t>FFD Global Lead</w:t>
      </w:r>
    </w:p>
    <w:p w14:paraId="030E6B22" w14:textId="6A1A529D" w:rsidR="00537853" w:rsidRDefault="00537853" w:rsidP="00E47CD7">
      <w:pPr>
        <w:pStyle w:val="BodyText"/>
        <w:numPr>
          <w:ilvl w:val="0"/>
          <w:numId w:val="3"/>
        </w:numPr>
        <w:spacing w:before="5"/>
        <w:rPr>
          <w:bCs/>
          <w:lang w:val="en-GB"/>
        </w:rPr>
      </w:pPr>
      <w:r>
        <w:rPr>
          <w:bCs/>
          <w:lang w:val="en-GB"/>
        </w:rPr>
        <w:t xml:space="preserve">Mr. </w:t>
      </w:r>
      <w:r w:rsidRPr="00537853">
        <w:rPr>
          <w:bCs/>
          <w:lang w:val="en-GB"/>
        </w:rPr>
        <w:t>Quentin Parrinello</w:t>
      </w:r>
      <w:r>
        <w:rPr>
          <w:bCs/>
          <w:lang w:val="en-GB"/>
        </w:rPr>
        <w:t xml:space="preserve">, </w:t>
      </w:r>
      <w:r w:rsidRPr="007B36F6">
        <w:rPr>
          <w:bCs/>
          <w:i/>
          <w:iCs/>
          <w:lang w:val="en-GB"/>
        </w:rPr>
        <w:t>Policy Director, EU-Tax Observatory</w:t>
      </w:r>
    </w:p>
    <w:p w14:paraId="4C8B5A80" w14:textId="3E0F067B" w:rsidR="00537853" w:rsidRPr="00E47CD7" w:rsidRDefault="00537853" w:rsidP="00E47CD7">
      <w:pPr>
        <w:pStyle w:val="BodyText"/>
        <w:numPr>
          <w:ilvl w:val="0"/>
          <w:numId w:val="3"/>
        </w:numPr>
        <w:spacing w:before="5"/>
        <w:rPr>
          <w:bCs/>
          <w:lang w:val="en-GB"/>
        </w:rPr>
      </w:pPr>
      <w:r>
        <w:rPr>
          <w:bCs/>
          <w:lang w:val="en-GB"/>
        </w:rPr>
        <w:t xml:space="preserve">Mr. </w:t>
      </w:r>
      <w:r w:rsidRPr="00537853">
        <w:rPr>
          <w:bCs/>
          <w:lang w:val="en-GB"/>
        </w:rPr>
        <w:t>Hector Ulloa</w:t>
      </w:r>
      <w:r>
        <w:rPr>
          <w:bCs/>
          <w:lang w:val="en-GB"/>
        </w:rPr>
        <w:t>,</w:t>
      </w:r>
      <w:r w:rsidRPr="00537853">
        <w:rPr>
          <w:bCs/>
          <w:lang w:val="en-GB"/>
        </w:rPr>
        <w:t xml:space="preserve"> </w:t>
      </w:r>
      <w:r w:rsidRPr="007B36F6">
        <w:rPr>
          <w:bCs/>
          <w:i/>
          <w:iCs/>
          <w:lang w:val="en-GB"/>
        </w:rPr>
        <w:t>Outreach Director, Skatteforsk</w:t>
      </w:r>
    </w:p>
    <w:p w14:paraId="7FA760D1" w14:textId="77777777" w:rsidR="00E47CD7" w:rsidRPr="00E47CD7" w:rsidRDefault="00E47CD7" w:rsidP="00E47CD7">
      <w:pPr>
        <w:pStyle w:val="BodyText"/>
        <w:spacing w:before="5"/>
        <w:rPr>
          <w:bCs/>
          <w:lang w:val="en-GB"/>
        </w:rPr>
      </w:pPr>
      <w:r w:rsidRPr="00E47CD7">
        <w:rPr>
          <w:bCs/>
          <w:lang w:val="en-GB"/>
        </w:rPr>
        <w:t> </w:t>
      </w:r>
    </w:p>
    <w:p w14:paraId="76F60EA3" w14:textId="77777777" w:rsidR="00091913" w:rsidRDefault="00E47CD7" w:rsidP="00E47CD7">
      <w:pPr>
        <w:pStyle w:val="BodyText"/>
        <w:spacing w:before="5"/>
        <w:jc w:val="right"/>
        <w:rPr>
          <w:bCs/>
          <w:lang w:val="en-GB"/>
        </w:rPr>
      </w:pPr>
      <w:r w:rsidRPr="00E47CD7">
        <w:rPr>
          <w:bCs/>
          <w:lang w:val="en-GB"/>
        </w:rPr>
        <w:t xml:space="preserve">Moderated by </w:t>
      </w:r>
    </w:p>
    <w:p w14:paraId="533A2311" w14:textId="7B0481D7" w:rsidR="00E47CD7" w:rsidRPr="00E47CD7" w:rsidRDefault="00E47CD7" w:rsidP="00E47CD7">
      <w:pPr>
        <w:pStyle w:val="BodyText"/>
        <w:spacing w:before="5"/>
        <w:jc w:val="right"/>
        <w:rPr>
          <w:bCs/>
          <w:lang w:val="en-GB"/>
        </w:rPr>
      </w:pPr>
      <w:r w:rsidRPr="00E47CD7">
        <w:rPr>
          <w:bCs/>
          <w:lang w:val="en-GB"/>
        </w:rPr>
        <w:t>M</w:t>
      </w:r>
      <w:r w:rsidR="00091913">
        <w:rPr>
          <w:bCs/>
          <w:lang w:val="en-GB"/>
        </w:rPr>
        <w:t>s</w:t>
      </w:r>
      <w:r w:rsidRPr="00E47CD7">
        <w:rPr>
          <w:bCs/>
          <w:lang w:val="en-GB"/>
        </w:rPr>
        <w:t xml:space="preserve">. </w:t>
      </w:r>
      <w:r w:rsidR="00091913">
        <w:rPr>
          <w:bCs/>
          <w:lang w:val="en-GB"/>
        </w:rPr>
        <w:t>Orria Goni</w:t>
      </w:r>
      <w:r w:rsidRPr="00E47CD7">
        <w:rPr>
          <w:bCs/>
          <w:lang w:val="en-GB"/>
        </w:rPr>
        <w:t xml:space="preserve">, </w:t>
      </w:r>
      <w:r w:rsidR="00091913" w:rsidRPr="00091913">
        <w:rPr>
          <w:bCs/>
          <w:i/>
          <w:iCs/>
          <w:lang w:val="en-GB"/>
        </w:rPr>
        <w:t>Lead Advisor Public Finance for SDGs</w:t>
      </w:r>
      <w:r w:rsidRPr="00E47CD7">
        <w:rPr>
          <w:bCs/>
          <w:i/>
          <w:iCs/>
          <w:lang w:val="en-GB"/>
        </w:rPr>
        <w:t>, Sustainable Finance Hub, UNDP</w:t>
      </w:r>
    </w:p>
    <w:p w14:paraId="0398F67F" w14:textId="77777777" w:rsidR="00937CAF" w:rsidRPr="00E47CD7" w:rsidRDefault="00937CAF">
      <w:pPr>
        <w:pStyle w:val="BodyText"/>
        <w:spacing w:before="5"/>
        <w:rPr>
          <w:b/>
          <w:lang w:val="en-GB"/>
        </w:rPr>
      </w:pPr>
    </w:p>
    <w:sectPr w:rsidR="00937CAF" w:rsidRPr="00E47CD7">
      <w:headerReference w:type="default" r:id="rId10"/>
      <w:footerReference w:type="default" r:id="rId11"/>
      <w:pgSz w:w="11910" w:h="16840"/>
      <w:pgMar w:top="1420" w:right="1320" w:bottom="280" w:left="1340" w:header="1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FDD59" w14:textId="77777777" w:rsidR="00570B24" w:rsidRDefault="00570B24">
      <w:r>
        <w:separator/>
      </w:r>
    </w:p>
  </w:endnote>
  <w:endnote w:type="continuationSeparator" w:id="0">
    <w:p w14:paraId="4ACE92B0" w14:textId="77777777" w:rsidR="00570B24" w:rsidRDefault="0057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4F8E7D29" w14:paraId="408FF936" w14:textId="77777777" w:rsidTr="4F8E7D29">
      <w:trPr>
        <w:trHeight w:val="300"/>
      </w:trPr>
      <w:tc>
        <w:tcPr>
          <w:tcW w:w="3080" w:type="dxa"/>
        </w:tcPr>
        <w:p w14:paraId="0AEC47DA" w14:textId="08F31556" w:rsidR="4F8E7D29" w:rsidRDefault="4F8E7D29" w:rsidP="4F8E7D29">
          <w:pPr>
            <w:pStyle w:val="Header"/>
            <w:ind w:left="-115"/>
          </w:pPr>
        </w:p>
      </w:tc>
      <w:tc>
        <w:tcPr>
          <w:tcW w:w="3080" w:type="dxa"/>
        </w:tcPr>
        <w:p w14:paraId="10435C1E" w14:textId="0BA5BF19" w:rsidR="4F8E7D29" w:rsidRDefault="4F8E7D29" w:rsidP="4F8E7D29">
          <w:pPr>
            <w:pStyle w:val="Header"/>
            <w:jc w:val="center"/>
          </w:pPr>
        </w:p>
      </w:tc>
      <w:tc>
        <w:tcPr>
          <w:tcW w:w="3080" w:type="dxa"/>
        </w:tcPr>
        <w:p w14:paraId="0E339EF1" w14:textId="45187D6D" w:rsidR="4F8E7D29" w:rsidRDefault="4F8E7D29" w:rsidP="4F8E7D29">
          <w:pPr>
            <w:pStyle w:val="Header"/>
            <w:ind w:right="-115"/>
            <w:jc w:val="right"/>
          </w:pPr>
        </w:p>
      </w:tc>
    </w:tr>
  </w:tbl>
  <w:p w14:paraId="3349EC1B" w14:textId="3277B8F6" w:rsidR="4F8E7D29" w:rsidRDefault="4F8E7D29" w:rsidP="4F8E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55DB" w14:textId="77777777" w:rsidR="00570B24" w:rsidRDefault="00570B24">
      <w:r>
        <w:separator/>
      </w:r>
    </w:p>
  </w:footnote>
  <w:footnote w:type="continuationSeparator" w:id="0">
    <w:p w14:paraId="4A52275A" w14:textId="77777777" w:rsidR="00570B24" w:rsidRDefault="0057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AC67" w14:textId="09AE79D6" w:rsidR="009B1219" w:rsidRDefault="00B30445">
    <w:pPr>
      <w:pStyle w:val="BodyText"/>
      <w:spacing w:line="14" w:lineRule="auto"/>
    </w:pPr>
    <w:r>
      <w:rPr>
        <w:noProof/>
      </w:rPr>
      <w:drawing>
        <wp:anchor distT="0" distB="0" distL="0" distR="0" simplePos="0" relativeHeight="487557120" behindDoc="1" locked="0" layoutInCell="1" allowOverlap="1" wp14:anchorId="090AD63B" wp14:editId="7FC95019">
          <wp:simplePos x="0" y="0"/>
          <wp:positionH relativeFrom="page">
            <wp:posOffset>6659766</wp:posOffset>
          </wp:positionH>
          <wp:positionV relativeFrom="page">
            <wp:posOffset>74100</wp:posOffset>
          </wp:positionV>
          <wp:extent cx="411072" cy="8311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11072" cy="831115"/>
                  </a:xfrm>
                  <a:prstGeom prst="rect">
                    <a:avLst/>
                  </a:prstGeom>
                </pic:spPr>
              </pic:pic>
            </a:graphicData>
          </a:graphic>
        </wp:anchor>
      </w:drawing>
    </w:r>
    <w:r w:rsidR="4F8E7D29">
      <w:rPr>
        <w:noProof/>
      </w:rPr>
      <w:drawing>
        <wp:inline distT="0" distB="0" distL="0" distR="0" wp14:anchorId="512EF170" wp14:editId="744A0346">
          <wp:extent cx="2187786" cy="592156"/>
          <wp:effectExtent l="0" t="0" r="0" b="0"/>
          <wp:docPr id="1868579395" name="Picture 186857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187786" cy="592156"/>
                  </a:xfrm>
                  <a:prstGeom prst="rect">
                    <a:avLst/>
                  </a:prstGeom>
                </pic:spPr>
              </pic:pic>
            </a:graphicData>
          </a:graphic>
        </wp:inline>
      </w:drawing>
    </w:r>
    <w:r w:rsidR="4F8E7D29">
      <w:t xml:space="preserve">                                </w:t>
    </w:r>
    <w:r w:rsidR="4F8E7D29">
      <w:rPr>
        <w:noProof/>
      </w:rPr>
      <w:drawing>
        <wp:inline distT="0" distB="0" distL="0" distR="0" wp14:anchorId="3EE768F5" wp14:editId="7E97714D">
          <wp:extent cx="762002" cy="762002"/>
          <wp:effectExtent l="0" t="0" r="0" b="0"/>
          <wp:docPr id="1868728301" name="Picture 186872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762002" cy="762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B7E92"/>
    <w:multiLevelType w:val="multilevel"/>
    <w:tmpl w:val="01EE7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62AF4"/>
    <w:multiLevelType w:val="multilevel"/>
    <w:tmpl w:val="FD18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E77C7B"/>
    <w:multiLevelType w:val="hybridMultilevel"/>
    <w:tmpl w:val="9EF21BC4"/>
    <w:lvl w:ilvl="0" w:tplc="A426B68C">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A2309B46">
      <w:numFmt w:val="bullet"/>
      <w:lvlText w:val="•"/>
      <w:lvlJc w:val="left"/>
      <w:pPr>
        <w:ind w:left="1662" w:hanging="360"/>
      </w:pPr>
      <w:rPr>
        <w:rFonts w:hint="default"/>
        <w:lang w:val="en-US" w:eastAsia="en-US" w:bidi="ar-SA"/>
      </w:rPr>
    </w:lvl>
    <w:lvl w:ilvl="2" w:tplc="4ABA2DE0">
      <w:numFmt w:val="bullet"/>
      <w:lvlText w:val="•"/>
      <w:lvlJc w:val="left"/>
      <w:pPr>
        <w:ind w:left="2505" w:hanging="360"/>
      </w:pPr>
      <w:rPr>
        <w:rFonts w:hint="default"/>
        <w:lang w:val="en-US" w:eastAsia="en-US" w:bidi="ar-SA"/>
      </w:rPr>
    </w:lvl>
    <w:lvl w:ilvl="3" w:tplc="4E2EB442">
      <w:numFmt w:val="bullet"/>
      <w:lvlText w:val="•"/>
      <w:lvlJc w:val="left"/>
      <w:pPr>
        <w:ind w:left="3347" w:hanging="360"/>
      </w:pPr>
      <w:rPr>
        <w:rFonts w:hint="default"/>
        <w:lang w:val="en-US" w:eastAsia="en-US" w:bidi="ar-SA"/>
      </w:rPr>
    </w:lvl>
    <w:lvl w:ilvl="4" w:tplc="C2F6040C">
      <w:numFmt w:val="bullet"/>
      <w:lvlText w:val="•"/>
      <w:lvlJc w:val="left"/>
      <w:pPr>
        <w:ind w:left="4190" w:hanging="360"/>
      </w:pPr>
      <w:rPr>
        <w:rFonts w:hint="default"/>
        <w:lang w:val="en-US" w:eastAsia="en-US" w:bidi="ar-SA"/>
      </w:rPr>
    </w:lvl>
    <w:lvl w:ilvl="5" w:tplc="9A7C2834">
      <w:numFmt w:val="bullet"/>
      <w:lvlText w:val="•"/>
      <w:lvlJc w:val="left"/>
      <w:pPr>
        <w:ind w:left="5033" w:hanging="360"/>
      </w:pPr>
      <w:rPr>
        <w:rFonts w:hint="default"/>
        <w:lang w:val="en-US" w:eastAsia="en-US" w:bidi="ar-SA"/>
      </w:rPr>
    </w:lvl>
    <w:lvl w:ilvl="6" w:tplc="D6DE8FFA">
      <w:numFmt w:val="bullet"/>
      <w:lvlText w:val="•"/>
      <w:lvlJc w:val="left"/>
      <w:pPr>
        <w:ind w:left="5875" w:hanging="360"/>
      </w:pPr>
      <w:rPr>
        <w:rFonts w:hint="default"/>
        <w:lang w:val="en-US" w:eastAsia="en-US" w:bidi="ar-SA"/>
      </w:rPr>
    </w:lvl>
    <w:lvl w:ilvl="7" w:tplc="D408BFB2">
      <w:numFmt w:val="bullet"/>
      <w:lvlText w:val="•"/>
      <w:lvlJc w:val="left"/>
      <w:pPr>
        <w:ind w:left="6718" w:hanging="360"/>
      </w:pPr>
      <w:rPr>
        <w:rFonts w:hint="default"/>
        <w:lang w:val="en-US" w:eastAsia="en-US" w:bidi="ar-SA"/>
      </w:rPr>
    </w:lvl>
    <w:lvl w:ilvl="8" w:tplc="880A826C">
      <w:numFmt w:val="bullet"/>
      <w:lvlText w:val="•"/>
      <w:lvlJc w:val="left"/>
      <w:pPr>
        <w:ind w:left="7561" w:hanging="360"/>
      </w:pPr>
      <w:rPr>
        <w:rFonts w:hint="default"/>
        <w:lang w:val="en-US" w:eastAsia="en-US" w:bidi="ar-SA"/>
      </w:rPr>
    </w:lvl>
  </w:abstractNum>
  <w:num w:numId="1" w16cid:durableId="2129464728">
    <w:abstractNumId w:val="2"/>
  </w:num>
  <w:num w:numId="2" w16cid:durableId="872497267">
    <w:abstractNumId w:val="1"/>
  </w:num>
  <w:num w:numId="3" w16cid:durableId="165290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zM7E0MDCxNDY1MrBU0lEKTi0uzszPAymwqAUALtIbCCwAAAA="/>
  </w:docVars>
  <w:rsids>
    <w:rsidRoot w:val="009B1219"/>
    <w:rsid w:val="00090514"/>
    <w:rsid w:val="00091913"/>
    <w:rsid w:val="000924BE"/>
    <w:rsid w:val="00131A67"/>
    <w:rsid w:val="001C1ADC"/>
    <w:rsid w:val="001C4BC9"/>
    <w:rsid w:val="0021191A"/>
    <w:rsid w:val="002F7D6B"/>
    <w:rsid w:val="003428DB"/>
    <w:rsid w:val="00436334"/>
    <w:rsid w:val="004430F0"/>
    <w:rsid w:val="00451469"/>
    <w:rsid w:val="00483B2B"/>
    <w:rsid w:val="00524A65"/>
    <w:rsid w:val="00537853"/>
    <w:rsid w:val="00561B8D"/>
    <w:rsid w:val="00570B24"/>
    <w:rsid w:val="005C2E10"/>
    <w:rsid w:val="00656CED"/>
    <w:rsid w:val="006B264C"/>
    <w:rsid w:val="006C7D9C"/>
    <w:rsid w:val="006D533B"/>
    <w:rsid w:val="007834B0"/>
    <w:rsid w:val="00797F33"/>
    <w:rsid w:val="007B36F6"/>
    <w:rsid w:val="00802698"/>
    <w:rsid w:val="00937CAF"/>
    <w:rsid w:val="009B1219"/>
    <w:rsid w:val="00A729BE"/>
    <w:rsid w:val="00B14639"/>
    <w:rsid w:val="00B30445"/>
    <w:rsid w:val="00B31011"/>
    <w:rsid w:val="00B64FC0"/>
    <w:rsid w:val="00CA0152"/>
    <w:rsid w:val="00CD4814"/>
    <w:rsid w:val="00D104E6"/>
    <w:rsid w:val="00D74908"/>
    <w:rsid w:val="00E47CD7"/>
    <w:rsid w:val="00EA276B"/>
    <w:rsid w:val="00EA38CC"/>
    <w:rsid w:val="00EC7D02"/>
    <w:rsid w:val="00F24578"/>
    <w:rsid w:val="00F31E5B"/>
    <w:rsid w:val="00F634CB"/>
    <w:rsid w:val="00FE469A"/>
    <w:rsid w:val="017AA064"/>
    <w:rsid w:val="02355C8C"/>
    <w:rsid w:val="119E377A"/>
    <w:rsid w:val="19EA5EF0"/>
    <w:rsid w:val="215A7163"/>
    <w:rsid w:val="242F30DF"/>
    <w:rsid w:val="2E2FBA02"/>
    <w:rsid w:val="4C528147"/>
    <w:rsid w:val="4F68BFB5"/>
    <w:rsid w:val="4F8E7D29"/>
    <w:rsid w:val="53F116B8"/>
    <w:rsid w:val="56C297B7"/>
    <w:rsid w:val="6090DC62"/>
    <w:rsid w:val="68AB6CB5"/>
    <w:rsid w:val="72628608"/>
    <w:rsid w:val="740D31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8679"/>
  <w15:docId w15:val="{391DA101-CBCE-4862-8847-FB9E4415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5378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6C7D9C"/>
    <w:pPr>
      <w:widowControl/>
      <w:autoSpaceDE/>
      <w:autoSpaceDN/>
    </w:pPr>
    <w:rPr>
      <w:rFonts w:ascii="Times New Roman" w:eastAsia="Times New Roman" w:hAnsi="Times New Roman" w:cs="Times New Roman"/>
    </w:rPr>
  </w:style>
  <w:style w:type="table" w:styleId="TableGrid">
    <w:name w:val="Table Grid"/>
    <w:basedOn w:val="TableNormal"/>
    <w:uiPriority w:val="39"/>
    <w:rsid w:val="006C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D9C"/>
    <w:rPr>
      <w:sz w:val="16"/>
      <w:szCs w:val="16"/>
    </w:rPr>
  </w:style>
  <w:style w:type="paragraph" w:styleId="CommentText">
    <w:name w:val="annotation text"/>
    <w:basedOn w:val="Normal"/>
    <w:link w:val="CommentTextChar"/>
    <w:uiPriority w:val="99"/>
    <w:unhideWhenUsed/>
    <w:rsid w:val="006C7D9C"/>
    <w:rPr>
      <w:sz w:val="20"/>
      <w:szCs w:val="20"/>
    </w:rPr>
  </w:style>
  <w:style w:type="character" w:customStyle="1" w:styleId="CommentTextChar">
    <w:name w:val="Comment Text Char"/>
    <w:basedOn w:val="DefaultParagraphFont"/>
    <w:link w:val="CommentText"/>
    <w:uiPriority w:val="99"/>
    <w:rsid w:val="006C7D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D9C"/>
    <w:rPr>
      <w:b/>
      <w:bCs/>
    </w:rPr>
  </w:style>
  <w:style w:type="character" w:customStyle="1" w:styleId="CommentSubjectChar">
    <w:name w:val="Comment Subject Char"/>
    <w:basedOn w:val="CommentTextChar"/>
    <w:link w:val="CommentSubject"/>
    <w:uiPriority w:val="99"/>
    <w:semiHidden/>
    <w:rsid w:val="006C7D9C"/>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3101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7CD7"/>
    <w:pPr>
      <w:tabs>
        <w:tab w:val="center" w:pos="4819"/>
        <w:tab w:val="right" w:pos="9638"/>
      </w:tabs>
    </w:pPr>
  </w:style>
  <w:style w:type="character" w:customStyle="1" w:styleId="HeaderChar">
    <w:name w:val="Header Char"/>
    <w:basedOn w:val="DefaultParagraphFont"/>
    <w:link w:val="Header"/>
    <w:uiPriority w:val="99"/>
    <w:rsid w:val="00E47CD7"/>
    <w:rPr>
      <w:rFonts w:ascii="Times New Roman" w:eastAsia="Times New Roman" w:hAnsi="Times New Roman" w:cs="Times New Roman"/>
    </w:rPr>
  </w:style>
  <w:style w:type="paragraph" w:styleId="Footer">
    <w:name w:val="footer"/>
    <w:basedOn w:val="Normal"/>
    <w:link w:val="FooterChar"/>
    <w:uiPriority w:val="99"/>
    <w:unhideWhenUsed/>
    <w:rsid w:val="00E47CD7"/>
    <w:pPr>
      <w:tabs>
        <w:tab w:val="center" w:pos="4819"/>
        <w:tab w:val="right" w:pos="9638"/>
      </w:tabs>
    </w:pPr>
  </w:style>
  <w:style w:type="character" w:customStyle="1" w:styleId="FooterChar">
    <w:name w:val="Footer Char"/>
    <w:basedOn w:val="DefaultParagraphFont"/>
    <w:link w:val="Footer"/>
    <w:uiPriority w:val="99"/>
    <w:rsid w:val="00E47CD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37853"/>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CD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08009">
      <w:bodyDiv w:val="1"/>
      <w:marLeft w:val="0"/>
      <w:marRight w:val="0"/>
      <w:marTop w:val="0"/>
      <w:marBottom w:val="0"/>
      <w:divBdr>
        <w:top w:val="none" w:sz="0" w:space="0" w:color="auto"/>
        <w:left w:val="none" w:sz="0" w:space="0" w:color="auto"/>
        <w:bottom w:val="none" w:sz="0" w:space="0" w:color="auto"/>
        <w:right w:val="none" w:sz="0" w:space="0" w:color="auto"/>
      </w:divBdr>
    </w:div>
    <w:div w:id="653098512">
      <w:bodyDiv w:val="1"/>
      <w:marLeft w:val="0"/>
      <w:marRight w:val="0"/>
      <w:marTop w:val="0"/>
      <w:marBottom w:val="0"/>
      <w:divBdr>
        <w:top w:val="none" w:sz="0" w:space="0" w:color="auto"/>
        <w:left w:val="none" w:sz="0" w:space="0" w:color="auto"/>
        <w:bottom w:val="none" w:sz="0" w:space="0" w:color="auto"/>
        <w:right w:val="none" w:sz="0" w:space="0" w:color="auto"/>
      </w:divBdr>
    </w:div>
    <w:div w:id="667825616">
      <w:bodyDiv w:val="1"/>
      <w:marLeft w:val="0"/>
      <w:marRight w:val="0"/>
      <w:marTop w:val="0"/>
      <w:marBottom w:val="0"/>
      <w:divBdr>
        <w:top w:val="none" w:sz="0" w:space="0" w:color="auto"/>
        <w:left w:val="none" w:sz="0" w:space="0" w:color="auto"/>
        <w:bottom w:val="none" w:sz="0" w:space="0" w:color="auto"/>
        <w:right w:val="none" w:sz="0" w:space="0" w:color="auto"/>
      </w:divBdr>
    </w:div>
    <w:div w:id="81972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4868101B56A46AC7C02B1C35B1387" ma:contentTypeVersion="20" ma:contentTypeDescription="Create a new document." ma:contentTypeScope="" ma:versionID="ec527dd75cf27ab30929a26f15136e75">
  <xsd:schema xmlns:xsd="http://www.w3.org/2001/XMLSchema" xmlns:xs="http://www.w3.org/2001/XMLSchema" xmlns:p="http://schemas.microsoft.com/office/2006/metadata/properties" xmlns:ns2="4e3ac08c-e7ec-44f4-a7e6-099a21e9ee05" xmlns:ns3="e95ad531-ab4a-4f51-9391-6b0deb9426fd" targetNamespace="http://schemas.microsoft.com/office/2006/metadata/properties" ma:root="true" ma:fieldsID="e9afecafbfe9cd94f53702a1eb3cc88f" ns2:_="" ns3:_="">
    <xsd:import namespace="4e3ac08c-e7ec-44f4-a7e6-099a21e9ee05"/>
    <xsd:import namespace="e95ad531-ab4a-4f51-9391-6b0deb942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ac08c-e7ec-44f4-a7e6-099a21e9e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ad531-ab4a-4f51-9391-6b0deb9426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f0a695-70f1-449c-a0a6-b6ad33687103}" ma:internalName="TaxCatchAll" ma:showField="CatchAllData" ma:web="e95ad531-ab4a-4f51-9391-6b0deb942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3ac08c-e7ec-44f4-a7e6-099a21e9ee05">
      <Terms xmlns="http://schemas.microsoft.com/office/infopath/2007/PartnerControls"/>
    </lcf76f155ced4ddcb4097134ff3c332f>
    <TaxCatchAll xmlns="e95ad531-ab4a-4f51-9391-6b0deb9426fd" xsi:nil="true"/>
    <_Flow_SignoffStatus xmlns="4e3ac08c-e7ec-44f4-a7e6-099a21e9ee05" xsi:nil="true"/>
  </documentManagement>
</p:properties>
</file>

<file path=customXml/itemProps1.xml><?xml version="1.0" encoding="utf-8"?>
<ds:datastoreItem xmlns:ds="http://schemas.openxmlformats.org/officeDocument/2006/customXml" ds:itemID="{64FE88D8-2FEF-45C4-86AC-44F54BF7F932}">
  <ds:schemaRefs>
    <ds:schemaRef ds:uri="http://schemas.microsoft.com/sharepoint/v3/contenttype/forms"/>
  </ds:schemaRefs>
</ds:datastoreItem>
</file>

<file path=customXml/itemProps2.xml><?xml version="1.0" encoding="utf-8"?>
<ds:datastoreItem xmlns:ds="http://schemas.openxmlformats.org/officeDocument/2006/customXml" ds:itemID="{7808BBDA-7EB4-4928-9688-718605CF9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ac08c-e7ec-44f4-a7e6-099a21e9ee05"/>
    <ds:schemaRef ds:uri="e95ad531-ab4a-4f51-9391-6b0deb942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AA8F4-2F02-48A0-99C5-B44BC6A5DFAB}">
  <ds:schemaRefs>
    <ds:schemaRef ds:uri="http://schemas.microsoft.com/office/2006/metadata/properties"/>
    <ds:schemaRef ds:uri="http://schemas.microsoft.com/office/infopath/2007/PartnerControls"/>
    <ds:schemaRef ds:uri="4e3ac08c-e7ec-44f4-a7e6-099a21e9ee05"/>
    <ds:schemaRef ds:uri="e95ad531-ab4a-4f51-9391-6b0deb9426fd"/>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NMBU</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Guerrero</dc:creator>
  <cp:lastModifiedBy>Ricardo Guerrero</cp:lastModifiedBy>
  <cp:revision>3</cp:revision>
  <cp:lastPrinted>2025-04-24T11:14:00Z</cp:lastPrinted>
  <dcterms:created xsi:type="dcterms:W3CDTF">2025-04-25T10:32:00Z</dcterms:created>
  <dcterms:modified xsi:type="dcterms:W3CDTF">2025-04-25T16:16:00Z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for Microsoft 365</vt:lpwstr>
  </property>
  <property fmtid="{D5CDD505-2E9C-101B-9397-08002B2CF9AE}" pid="4" name="LastSaved">
    <vt:filetime>2025-04-09T00:00:00Z</vt:filetime>
  </property>
  <property fmtid="{D5CDD505-2E9C-101B-9397-08002B2CF9AE}" pid="5" name="MSIP_Label_d0484126-3486-41a9-802e-7f1e2277276c_ActionId">
    <vt:lpwstr>bb8182f0-0d50-482f-aa66-1f4df14b740f</vt:lpwstr>
  </property>
  <property fmtid="{D5CDD505-2E9C-101B-9397-08002B2CF9AE}" pid="6" name="MSIP_Label_d0484126-3486-41a9-802e-7f1e2277276c_ContentBits">
    <vt:lpwstr>0</vt:lpwstr>
  </property>
  <property fmtid="{D5CDD505-2E9C-101B-9397-08002B2CF9AE}" pid="7" name="MSIP_Label_d0484126-3486-41a9-802e-7f1e2277276c_Enabled">
    <vt:lpwstr>true</vt:lpwstr>
  </property>
  <property fmtid="{D5CDD505-2E9C-101B-9397-08002B2CF9AE}" pid="8" name="MSIP_Label_d0484126-3486-41a9-802e-7f1e2277276c_Method">
    <vt:lpwstr>Standard</vt:lpwstr>
  </property>
  <property fmtid="{D5CDD505-2E9C-101B-9397-08002B2CF9AE}" pid="9" name="MSIP_Label_d0484126-3486-41a9-802e-7f1e2277276c_Name">
    <vt:lpwstr>d0484126-3486-41a9-802e-7f1e2277276c</vt:lpwstr>
  </property>
  <property fmtid="{D5CDD505-2E9C-101B-9397-08002B2CF9AE}" pid="10" name="MSIP_Label_d0484126-3486-41a9-802e-7f1e2277276c_SetDate">
    <vt:lpwstr>2025-04-09T08:37:56Z</vt:lpwstr>
  </property>
  <property fmtid="{D5CDD505-2E9C-101B-9397-08002B2CF9AE}" pid="11" name="MSIP_Label_d0484126-3486-41a9-802e-7f1e2277276c_SiteId">
    <vt:lpwstr>eec01f8e-737f-43e3-9ed5-f8a59913bd82</vt:lpwstr>
  </property>
  <property fmtid="{D5CDD505-2E9C-101B-9397-08002B2CF9AE}" pid="12" name="MSIP_Label_d0484126-3486-41a9-802e-7f1e2277276c_Tag">
    <vt:lpwstr>10, 3, 0, 1</vt:lpwstr>
  </property>
  <property fmtid="{D5CDD505-2E9C-101B-9397-08002B2CF9AE}" pid="13" name="Producer">
    <vt:lpwstr>Microsoft® Word for Microsoft 365</vt:lpwstr>
  </property>
  <property fmtid="{D5CDD505-2E9C-101B-9397-08002B2CF9AE}" pid="14" name="ContentTypeId">
    <vt:lpwstr>0x010100EAA4868101B56A46AC7C02B1C35B1387</vt:lpwstr>
  </property>
  <property fmtid="{D5CDD505-2E9C-101B-9397-08002B2CF9AE}" pid="15" name="MediaServiceImageTags">
    <vt:lpwstr/>
  </property>
</Properties>
</file>