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C8E0" w14:textId="77777777" w:rsidR="00727B33" w:rsidRDefault="00727B33" w:rsidP="0000537A">
      <w:pPr>
        <w:pStyle w:val="Ttulo3"/>
        <w:jc w:val="center"/>
        <w:rPr>
          <w:rStyle w:val="Textoennegrita"/>
          <w:rFonts w:ascii="Aptos" w:hAnsi="Aptos"/>
          <w:b/>
          <w:bCs/>
          <w:sz w:val="22"/>
          <w:szCs w:val="22"/>
          <w:lang w:val="en-US"/>
        </w:rPr>
      </w:pPr>
      <w:r w:rsidRPr="00336ECA">
        <w:rPr>
          <w:rStyle w:val="Textoennegrita"/>
          <w:rFonts w:ascii="Aptos" w:hAnsi="Aptos"/>
          <w:b/>
          <w:bCs/>
          <w:sz w:val="22"/>
          <w:szCs w:val="22"/>
          <w:lang w:val="en-US"/>
        </w:rPr>
        <w:t xml:space="preserve">Unlocking Local Potential: </w:t>
      </w:r>
      <w:proofErr w:type="gramStart"/>
      <w:r w:rsidRPr="00336ECA">
        <w:rPr>
          <w:rStyle w:val="Textoennegrita"/>
          <w:rFonts w:ascii="Aptos" w:hAnsi="Aptos"/>
          <w:b/>
          <w:bCs/>
          <w:sz w:val="22"/>
          <w:szCs w:val="22"/>
          <w:lang w:val="en-US"/>
        </w:rPr>
        <w:t>How</w:t>
      </w:r>
      <w:proofErr w:type="gramEnd"/>
      <w:r w:rsidRPr="00336ECA">
        <w:rPr>
          <w:rStyle w:val="Textoennegrita"/>
          <w:rFonts w:ascii="Aptos" w:hAnsi="Aptos"/>
          <w:b/>
          <w:bCs/>
          <w:sz w:val="22"/>
          <w:szCs w:val="22"/>
          <w:lang w:val="en-US"/>
        </w:rPr>
        <w:t xml:space="preserve"> Quasi-Sovereigns and Thematic Bonds can Power Sustainable Development in LAC</w:t>
      </w:r>
    </w:p>
    <w:p w14:paraId="6F89504D" w14:textId="77777777" w:rsidR="003C1782" w:rsidRDefault="003C1782" w:rsidP="0000537A">
      <w:pPr>
        <w:pStyle w:val="Ttulo3"/>
        <w:jc w:val="center"/>
        <w:rPr>
          <w:rStyle w:val="Textoennegrita"/>
          <w:rFonts w:ascii="Aptos" w:hAnsi="Aptos"/>
          <w:b/>
          <w:bCs/>
          <w:sz w:val="22"/>
          <w:szCs w:val="22"/>
          <w:lang w:val="en-US"/>
        </w:rPr>
      </w:pPr>
    </w:p>
    <w:p w14:paraId="368DEDCF" w14:textId="5AD6DF42" w:rsidR="003C1782" w:rsidRDefault="003C1782" w:rsidP="0000537A">
      <w:pPr>
        <w:pStyle w:val="Ttulo3"/>
        <w:jc w:val="center"/>
        <w:rPr>
          <w:rStyle w:val="Textoennegrita"/>
          <w:rFonts w:ascii="Aptos" w:hAnsi="Aptos"/>
          <w:b/>
          <w:bCs/>
          <w:sz w:val="22"/>
          <w:szCs w:val="22"/>
          <w:lang w:val="en-US"/>
        </w:rPr>
      </w:pPr>
      <w:r>
        <w:rPr>
          <w:rStyle w:val="Textoennegrita"/>
          <w:rFonts w:ascii="Aptos" w:hAnsi="Aptos"/>
          <w:b/>
          <w:bCs/>
          <w:sz w:val="22"/>
          <w:szCs w:val="22"/>
          <w:lang w:val="en-US"/>
        </w:rPr>
        <w:t xml:space="preserve">Website and registration: </w:t>
      </w:r>
      <w:hyperlink r:id="rId10" w:history="1">
        <w:r w:rsidRPr="00417AC6">
          <w:rPr>
            <w:rStyle w:val="Hipervnculo"/>
            <w:rFonts w:ascii="Aptos" w:hAnsi="Aptos"/>
            <w:sz w:val="22"/>
            <w:szCs w:val="22"/>
            <w:lang w:val="en-US"/>
          </w:rPr>
          <w:t>https://www.caf.com/en/currently/events/unlocking-local-potential-how-quasi-sovereigns-and-thematic-bonds-can-power-sustainable-development-in-lac/</w:t>
        </w:r>
      </w:hyperlink>
    </w:p>
    <w:p w14:paraId="7F60EF38" w14:textId="77777777" w:rsidR="003C1782" w:rsidRPr="00336ECA" w:rsidRDefault="003C1782" w:rsidP="0000537A">
      <w:pPr>
        <w:pStyle w:val="Ttulo3"/>
        <w:jc w:val="center"/>
        <w:rPr>
          <w:rStyle w:val="Textoennegrita"/>
          <w:rFonts w:ascii="Aptos" w:hAnsi="Aptos"/>
          <w:b/>
          <w:bCs/>
          <w:sz w:val="22"/>
          <w:szCs w:val="22"/>
          <w:lang w:val="en-US"/>
        </w:rPr>
      </w:pPr>
    </w:p>
    <w:p w14:paraId="54B10FCC" w14:textId="77777777" w:rsidR="007C4D5B" w:rsidRDefault="007C4D5B" w:rsidP="00336ECA">
      <w:pPr>
        <w:pStyle w:val="NormalWeb"/>
        <w:spacing w:before="0" w:beforeAutospacing="0" w:after="0" w:afterAutospacing="0"/>
        <w:rPr>
          <w:rFonts w:ascii="Aptos" w:hAnsi="Aptos"/>
          <w:b/>
          <w:bCs/>
          <w:sz w:val="22"/>
          <w:szCs w:val="22"/>
          <w:lang w:val="en-US"/>
        </w:rPr>
      </w:pPr>
    </w:p>
    <w:p w14:paraId="6E2A25BF" w14:textId="06C78AF2" w:rsidR="00727B33" w:rsidRPr="003F69F1" w:rsidRDefault="00727B33" w:rsidP="00336ECA">
      <w:pPr>
        <w:pStyle w:val="NormalWeb"/>
        <w:spacing w:before="0" w:beforeAutospacing="0" w:after="0" w:afterAutospacing="0"/>
        <w:rPr>
          <w:rFonts w:ascii="Aptos" w:hAnsi="Aptos"/>
          <w:b/>
          <w:bCs/>
          <w:sz w:val="22"/>
          <w:szCs w:val="22"/>
          <w:lang w:val="en-US"/>
        </w:rPr>
      </w:pPr>
      <w:r w:rsidRPr="00336ECA">
        <w:rPr>
          <w:rFonts w:ascii="Aptos" w:hAnsi="Aptos"/>
          <w:b/>
          <w:bCs/>
          <w:sz w:val="22"/>
          <w:szCs w:val="22"/>
          <w:lang w:val="en-US"/>
        </w:rPr>
        <w:t>Date</w:t>
      </w:r>
      <w:r w:rsidRPr="00336ECA">
        <w:rPr>
          <w:rFonts w:ascii="Aptos" w:hAnsi="Aptos"/>
          <w:sz w:val="22"/>
          <w:szCs w:val="22"/>
          <w:lang w:val="en-US"/>
        </w:rPr>
        <w:t xml:space="preserve">: April </w:t>
      </w:r>
      <w:r w:rsidR="003F69F1">
        <w:rPr>
          <w:rFonts w:ascii="Aptos" w:hAnsi="Aptos"/>
          <w:sz w:val="22"/>
          <w:szCs w:val="22"/>
          <w:lang w:val="en-US"/>
        </w:rPr>
        <w:t>30</w:t>
      </w:r>
      <w:r w:rsidRPr="00336ECA">
        <w:rPr>
          <w:rFonts w:ascii="Aptos" w:hAnsi="Aptos"/>
          <w:sz w:val="22"/>
          <w:szCs w:val="22"/>
          <w:lang w:val="en-US"/>
        </w:rPr>
        <w:t xml:space="preserve">th, 2025 </w:t>
      </w:r>
    </w:p>
    <w:p w14:paraId="5AC41945" w14:textId="4B85CA9F" w:rsidR="00C85A58" w:rsidRDefault="00C85A58" w:rsidP="00336ECA">
      <w:pPr>
        <w:pStyle w:val="NormalWeb"/>
        <w:spacing w:before="0" w:beforeAutospacing="0" w:after="0" w:afterAutospacing="0"/>
        <w:rPr>
          <w:rFonts w:ascii="Aptos" w:hAnsi="Aptos"/>
          <w:b/>
          <w:bCs/>
          <w:sz w:val="22"/>
          <w:szCs w:val="22"/>
          <w:lang w:val="en-US"/>
        </w:rPr>
      </w:pPr>
      <w:r>
        <w:rPr>
          <w:rFonts w:ascii="Aptos" w:hAnsi="Aptos"/>
          <w:b/>
          <w:bCs/>
          <w:sz w:val="22"/>
          <w:szCs w:val="22"/>
          <w:lang w:val="en-US"/>
        </w:rPr>
        <w:t xml:space="preserve">Time: </w:t>
      </w:r>
      <w:r w:rsidRPr="00C85A58">
        <w:rPr>
          <w:rFonts w:ascii="Aptos" w:hAnsi="Aptos"/>
          <w:sz w:val="22"/>
          <w:szCs w:val="22"/>
          <w:lang w:val="en-US"/>
        </w:rPr>
        <w:t>16:45 to 18:00</w:t>
      </w:r>
    </w:p>
    <w:p w14:paraId="0A237F3C" w14:textId="6BC71BDE" w:rsidR="00727B33" w:rsidRPr="00336ECA" w:rsidRDefault="00727B33" w:rsidP="00336ECA">
      <w:pPr>
        <w:pStyle w:val="NormalWeb"/>
        <w:spacing w:before="0" w:beforeAutospacing="0" w:after="0" w:afterAutospacing="0"/>
        <w:rPr>
          <w:rFonts w:ascii="Aptos" w:hAnsi="Aptos"/>
          <w:sz w:val="22"/>
          <w:szCs w:val="22"/>
          <w:lang w:val="en-US"/>
        </w:rPr>
      </w:pPr>
      <w:r w:rsidRPr="00336ECA">
        <w:rPr>
          <w:rFonts w:ascii="Aptos" w:hAnsi="Aptos"/>
          <w:b/>
          <w:bCs/>
          <w:sz w:val="22"/>
          <w:szCs w:val="22"/>
          <w:lang w:val="en-US"/>
        </w:rPr>
        <w:t>Venue:</w:t>
      </w:r>
      <w:r w:rsidRPr="00336ECA">
        <w:rPr>
          <w:rFonts w:ascii="Aptos" w:hAnsi="Aptos"/>
          <w:sz w:val="22"/>
          <w:szCs w:val="22"/>
          <w:lang w:val="en-US"/>
        </w:rPr>
        <w:t xml:space="preserve"> </w:t>
      </w:r>
      <w:r w:rsidR="00C85A58">
        <w:rPr>
          <w:rFonts w:ascii="Aptos" w:hAnsi="Aptos"/>
          <w:sz w:val="22"/>
          <w:szCs w:val="22"/>
          <w:lang w:val="en-US"/>
        </w:rPr>
        <w:t xml:space="preserve">Room CR-D </w:t>
      </w:r>
      <w:r w:rsidRPr="00336ECA">
        <w:rPr>
          <w:rFonts w:ascii="Aptos" w:hAnsi="Aptos"/>
          <w:sz w:val="22"/>
          <w:szCs w:val="22"/>
          <w:lang w:val="en-US"/>
        </w:rPr>
        <w:t>UN HQ, New York</w:t>
      </w:r>
    </w:p>
    <w:p w14:paraId="544FBDAE" w14:textId="79D0E705" w:rsidR="007C4D5B" w:rsidRDefault="00727B33" w:rsidP="00C85A58">
      <w:pPr>
        <w:pStyle w:val="NormalWeb"/>
        <w:spacing w:before="0" w:beforeAutospacing="0" w:after="0" w:afterAutospacing="0"/>
        <w:rPr>
          <w:rFonts w:ascii="Aptos" w:hAnsi="Aptos"/>
          <w:sz w:val="22"/>
          <w:szCs w:val="22"/>
          <w:lang w:val="en-US"/>
        </w:rPr>
      </w:pPr>
      <w:r w:rsidRPr="00336ECA">
        <w:rPr>
          <w:rFonts w:ascii="Aptos" w:hAnsi="Aptos"/>
          <w:b/>
          <w:bCs/>
          <w:sz w:val="22"/>
          <w:szCs w:val="22"/>
          <w:lang w:val="en-US"/>
        </w:rPr>
        <w:t>Organized by:</w:t>
      </w:r>
      <w:r w:rsidRPr="00336ECA">
        <w:rPr>
          <w:rFonts w:ascii="Aptos" w:hAnsi="Aptos"/>
          <w:sz w:val="22"/>
          <w:szCs w:val="22"/>
          <w:lang w:val="en-US"/>
        </w:rPr>
        <w:t xml:space="preserve"> CAF and GGGI</w:t>
      </w:r>
    </w:p>
    <w:p w14:paraId="2F7C0ED4" w14:textId="77777777" w:rsidR="00C85A58" w:rsidRDefault="00C85A58" w:rsidP="00C85A58">
      <w:pPr>
        <w:pStyle w:val="NormalWeb"/>
        <w:spacing w:before="0" w:beforeAutospacing="0" w:after="0" w:afterAutospacing="0"/>
        <w:rPr>
          <w:rFonts w:ascii="Aptos" w:hAnsi="Aptos"/>
          <w:sz w:val="22"/>
          <w:szCs w:val="22"/>
          <w:lang w:val="en-US"/>
        </w:rPr>
      </w:pPr>
    </w:p>
    <w:p w14:paraId="752737F1" w14:textId="27B7E16C" w:rsidR="00727B33" w:rsidRPr="00336ECA" w:rsidRDefault="00727B33" w:rsidP="00336ECA">
      <w:pPr>
        <w:pStyle w:val="NormalWeb"/>
        <w:jc w:val="both"/>
        <w:rPr>
          <w:rFonts w:ascii="Aptos" w:hAnsi="Aptos"/>
          <w:sz w:val="22"/>
          <w:szCs w:val="22"/>
          <w:lang w:val="en-US"/>
        </w:rPr>
      </w:pPr>
      <w:r w:rsidRPr="00336ECA">
        <w:rPr>
          <w:rFonts w:ascii="Aptos" w:hAnsi="Aptos"/>
          <w:sz w:val="22"/>
          <w:szCs w:val="22"/>
          <w:lang w:val="en-US"/>
        </w:rPr>
        <w:t>The Fourth International Conference on Financing for Development (FfD4) highlights the urgency of scaling innovative financing to meet the Sustainable Development Goals (SDGs). The Addis Ababa Action Agenda continues to serve as a guiding framework, emphasizing the need to align financial flows with sustainable development objectives. One of the most prominent messages emerging from FfD4 is the strategic importance of national development banks (NDBs) and other quasi-sovereign entities as essential actors in mobilizing domestic public resources and bridging financing gaps at the local level.</w:t>
      </w:r>
    </w:p>
    <w:p w14:paraId="7C9A1B26" w14:textId="77777777" w:rsidR="00727B33" w:rsidRPr="00336ECA" w:rsidRDefault="00727B33" w:rsidP="00336ECA">
      <w:pPr>
        <w:pStyle w:val="NormalWeb"/>
        <w:jc w:val="both"/>
        <w:rPr>
          <w:rFonts w:ascii="Aptos" w:hAnsi="Aptos"/>
          <w:sz w:val="22"/>
          <w:szCs w:val="22"/>
          <w:lang w:val="en-US"/>
        </w:rPr>
      </w:pPr>
      <w:r w:rsidRPr="00336ECA">
        <w:rPr>
          <w:rFonts w:ascii="Aptos" w:hAnsi="Aptos"/>
          <w:sz w:val="22"/>
          <w:szCs w:val="22"/>
          <w:lang w:val="en-US"/>
        </w:rPr>
        <w:t>In Latin America and the Caribbean (LAC), these institutions—ranging from NDBs to subnational governments—are uniquely positioned to respond to national climate and development priorities. Yet, their full potential remains largely untapped. Thematic bonds—such as green, SDG, and sustainability-linked bonds—have proven to be powerful tools for channeling capital into sustainable investments. While the region has seen growth in sovereign thematic issuances and innovative instruments like SLBs and debt-for-nature swaps, quasi-sovereign participation remains limited.</w:t>
      </w:r>
    </w:p>
    <w:p w14:paraId="3F1071B9" w14:textId="77777777" w:rsidR="00727B33" w:rsidRPr="00336ECA" w:rsidRDefault="00727B33" w:rsidP="00336ECA">
      <w:pPr>
        <w:pStyle w:val="NormalWeb"/>
        <w:jc w:val="both"/>
        <w:rPr>
          <w:rFonts w:ascii="Aptos" w:hAnsi="Aptos"/>
          <w:sz w:val="22"/>
          <w:szCs w:val="22"/>
          <w:lang w:val="en-US"/>
        </w:rPr>
      </w:pPr>
      <w:r w:rsidRPr="00336ECA">
        <w:rPr>
          <w:rFonts w:ascii="Aptos" w:hAnsi="Aptos"/>
          <w:sz w:val="22"/>
          <w:szCs w:val="22"/>
          <w:lang w:val="en-US"/>
        </w:rPr>
        <w:t>To date, international thematic bond issuances by quasi-sovereigns in LAC have totaled just USD 8.94 billion across 51 bonds, representing only 23% of the region’s USD 210.39 billion thematic bond market. This gap represents not only a challenge but a transformational opportunity: to unlock local capital, strengthen domestic markets, and accelerate progress on Nationally Determined Contributions (NDCs) and SDGs by empowering quasi-sovereign issuers.</w:t>
      </w:r>
    </w:p>
    <w:p w14:paraId="74E795DA" w14:textId="77777777" w:rsidR="00727B33" w:rsidRPr="00827ACA" w:rsidRDefault="00727B33" w:rsidP="00727B33">
      <w:pPr>
        <w:pStyle w:val="NormalWeb"/>
        <w:rPr>
          <w:rFonts w:ascii="Aptos" w:hAnsi="Aptos"/>
          <w:b/>
          <w:bCs/>
          <w:sz w:val="22"/>
          <w:szCs w:val="22"/>
          <w:lang w:val="en-US"/>
        </w:rPr>
      </w:pPr>
      <w:r w:rsidRPr="00827ACA">
        <w:rPr>
          <w:rFonts w:ascii="Aptos" w:hAnsi="Aptos"/>
          <w:b/>
          <w:bCs/>
          <w:sz w:val="22"/>
          <w:szCs w:val="22"/>
          <w:lang w:val="en-US"/>
        </w:rPr>
        <w:t>CAF and GGGI’s Role</w:t>
      </w:r>
    </w:p>
    <w:p w14:paraId="736CCF9E" w14:textId="77777777" w:rsidR="00727B33" w:rsidRPr="00336ECA" w:rsidRDefault="00727B33" w:rsidP="00217DB7">
      <w:pPr>
        <w:pStyle w:val="NormalWeb"/>
        <w:jc w:val="both"/>
        <w:rPr>
          <w:rFonts w:ascii="Aptos" w:hAnsi="Aptos"/>
          <w:sz w:val="22"/>
          <w:szCs w:val="22"/>
          <w:lang w:val="en-US"/>
        </w:rPr>
      </w:pPr>
      <w:r w:rsidRPr="00336ECA">
        <w:rPr>
          <w:rFonts w:ascii="Aptos" w:hAnsi="Aptos"/>
          <w:sz w:val="22"/>
          <w:szCs w:val="22"/>
          <w:lang w:val="en-US"/>
        </w:rPr>
        <w:t xml:space="preserve">As a technical partner with a strong regional footprint, </w:t>
      </w:r>
      <w:r w:rsidRPr="00217DB7">
        <w:rPr>
          <w:rFonts w:ascii="Aptos" w:hAnsi="Aptos"/>
          <w:b/>
          <w:bCs/>
          <w:sz w:val="22"/>
          <w:szCs w:val="22"/>
          <w:lang w:val="en-US"/>
        </w:rPr>
        <w:t>GGGI</w:t>
      </w:r>
      <w:r w:rsidRPr="00336ECA">
        <w:rPr>
          <w:rFonts w:ascii="Aptos" w:hAnsi="Aptos"/>
          <w:sz w:val="22"/>
          <w:szCs w:val="22"/>
          <w:lang w:val="en-US"/>
        </w:rPr>
        <w:t xml:space="preserve"> has supported numerous sovereign and quasi-sovereign entities in accessing sustainable financing vehicles. It brings deep experience in providing transactional technical assistance to thematic bond issuers across public, private, and financial sectors in the LAC region, helping strengthen institutional capacity and readiness to engage in sustainable finance markets.</w:t>
      </w:r>
    </w:p>
    <w:p w14:paraId="3065D151" w14:textId="77777777" w:rsidR="00727B33" w:rsidRPr="00336ECA" w:rsidRDefault="00727B33" w:rsidP="00217DB7">
      <w:pPr>
        <w:pStyle w:val="NormalWeb"/>
        <w:jc w:val="both"/>
        <w:rPr>
          <w:rFonts w:ascii="Aptos" w:hAnsi="Aptos"/>
          <w:sz w:val="22"/>
          <w:szCs w:val="22"/>
          <w:lang w:val="en-US"/>
        </w:rPr>
      </w:pPr>
      <w:r w:rsidRPr="00440CEC">
        <w:rPr>
          <w:rFonts w:ascii="Aptos" w:hAnsi="Aptos"/>
          <w:b/>
          <w:bCs/>
          <w:sz w:val="22"/>
          <w:szCs w:val="22"/>
          <w:lang w:val="en-US"/>
        </w:rPr>
        <w:lastRenderedPageBreak/>
        <w:t>CAF</w:t>
      </w:r>
      <w:r w:rsidRPr="00336ECA">
        <w:rPr>
          <w:rFonts w:ascii="Aptos" w:hAnsi="Aptos"/>
          <w:sz w:val="22"/>
          <w:szCs w:val="22"/>
          <w:lang w:val="en-US"/>
        </w:rPr>
        <w:t>, in its role as a regional development bank, is committed to unlocking local sustainable finance ecosystems. It has structured specialized credit facilities for climate and development finance and contributed to improving enabling conditions in the region. Building on its newly launched Sustainable Finance Framework, CAF aims to scale up replicable solutions that support countries and subnational entities in aligning their financing with sustainability goals.</w:t>
      </w:r>
    </w:p>
    <w:p w14:paraId="361464B8" w14:textId="77777777" w:rsidR="00824AB4" w:rsidRDefault="00727B33" w:rsidP="00217DB7">
      <w:pPr>
        <w:pStyle w:val="NormalWeb"/>
        <w:jc w:val="both"/>
        <w:rPr>
          <w:rFonts w:ascii="Aptos" w:hAnsi="Aptos"/>
          <w:sz w:val="22"/>
          <w:szCs w:val="22"/>
          <w:lang w:val="en-US"/>
        </w:rPr>
      </w:pPr>
      <w:r w:rsidRPr="00336ECA">
        <w:rPr>
          <w:rFonts w:ascii="Aptos" w:hAnsi="Aptos"/>
          <w:sz w:val="22"/>
          <w:szCs w:val="22"/>
          <w:lang w:val="en-US"/>
        </w:rPr>
        <w:t xml:space="preserve">CAF can support quasi-sovereign issuers by: </w:t>
      </w:r>
    </w:p>
    <w:p w14:paraId="7783C622" w14:textId="77777777" w:rsidR="00824AB4" w:rsidRDefault="00727B33" w:rsidP="00440CEC">
      <w:pPr>
        <w:pStyle w:val="NormalWeb"/>
        <w:numPr>
          <w:ilvl w:val="0"/>
          <w:numId w:val="33"/>
        </w:numPr>
        <w:jc w:val="both"/>
        <w:rPr>
          <w:rFonts w:ascii="Aptos" w:hAnsi="Aptos"/>
          <w:sz w:val="22"/>
          <w:szCs w:val="22"/>
          <w:lang w:val="en-US"/>
        </w:rPr>
      </w:pPr>
      <w:r w:rsidRPr="00336ECA">
        <w:rPr>
          <w:rFonts w:ascii="Aptos" w:hAnsi="Aptos"/>
          <w:sz w:val="22"/>
          <w:szCs w:val="22"/>
          <w:lang w:val="en-US"/>
        </w:rPr>
        <w:t xml:space="preserve">Developing national and subnational sustainable finance taxonomies and frameworks </w:t>
      </w:r>
    </w:p>
    <w:p w14:paraId="7A25A48A" w14:textId="5D579F48" w:rsidR="00824AB4" w:rsidRDefault="00727B33" w:rsidP="00440CEC">
      <w:pPr>
        <w:pStyle w:val="NormalWeb"/>
        <w:numPr>
          <w:ilvl w:val="0"/>
          <w:numId w:val="33"/>
        </w:numPr>
        <w:jc w:val="both"/>
        <w:rPr>
          <w:rFonts w:ascii="Aptos" w:hAnsi="Aptos"/>
          <w:sz w:val="22"/>
          <w:szCs w:val="22"/>
          <w:lang w:val="en-US"/>
        </w:rPr>
      </w:pPr>
      <w:r w:rsidRPr="00336ECA">
        <w:rPr>
          <w:rFonts w:ascii="Aptos" w:hAnsi="Aptos"/>
          <w:sz w:val="22"/>
          <w:szCs w:val="22"/>
          <w:lang w:val="en-US"/>
        </w:rPr>
        <w:t xml:space="preserve">Structuring thematic bonds aligned with international standards and local priorities </w:t>
      </w:r>
    </w:p>
    <w:p w14:paraId="0241E0C9" w14:textId="14ECDF7A" w:rsidR="00824AB4" w:rsidRDefault="00727B33" w:rsidP="00440CEC">
      <w:pPr>
        <w:pStyle w:val="NormalWeb"/>
        <w:numPr>
          <w:ilvl w:val="0"/>
          <w:numId w:val="33"/>
        </w:numPr>
        <w:jc w:val="both"/>
        <w:rPr>
          <w:rFonts w:ascii="Aptos" w:hAnsi="Aptos"/>
          <w:sz w:val="22"/>
          <w:szCs w:val="22"/>
          <w:lang w:val="en-US"/>
        </w:rPr>
      </w:pPr>
      <w:r w:rsidRPr="00336ECA">
        <w:rPr>
          <w:rFonts w:ascii="Aptos" w:hAnsi="Aptos"/>
          <w:sz w:val="22"/>
          <w:szCs w:val="22"/>
          <w:lang w:val="en-US"/>
        </w:rPr>
        <w:t xml:space="preserve">Acting as an </w:t>
      </w:r>
      <w:proofErr w:type="gramStart"/>
      <w:r w:rsidRPr="00336ECA">
        <w:rPr>
          <w:rFonts w:ascii="Aptos" w:hAnsi="Aptos"/>
          <w:sz w:val="22"/>
          <w:szCs w:val="22"/>
          <w:lang w:val="en-US"/>
        </w:rPr>
        <w:t>anchor investor</w:t>
      </w:r>
      <w:proofErr w:type="gramEnd"/>
      <w:r w:rsidRPr="00336ECA">
        <w:rPr>
          <w:rFonts w:ascii="Aptos" w:hAnsi="Aptos"/>
          <w:sz w:val="22"/>
          <w:szCs w:val="22"/>
          <w:lang w:val="en-US"/>
        </w:rPr>
        <w:t xml:space="preserve"> to increase market confidence and attract private capital </w:t>
      </w:r>
    </w:p>
    <w:p w14:paraId="4D1BE013" w14:textId="40D64C8E" w:rsidR="00727B33" w:rsidRPr="00336ECA" w:rsidRDefault="00727B33" w:rsidP="00440CEC">
      <w:pPr>
        <w:pStyle w:val="NormalWeb"/>
        <w:numPr>
          <w:ilvl w:val="0"/>
          <w:numId w:val="33"/>
        </w:numPr>
        <w:jc w:val="both"/>
        <w:rPr>
          <w:rFonts w:ascii="Aptos" w:hAnsi="Aptos"/>
          <w:sz w:val="22"/>
          <w:szCs w:val="22"/>
          <w:lang w:val="en-US"/>
        </w:rPr>
      </w:pPr>
      <w:r w:rsidRPr="00336ECA">
        <w:rPr>
          <w:rFonts w:ascii="Aptos" w:hAnsi="Aptos"/>
          <w:sz w:val="22"/>
          <w:szCs w:val="22"/>
          <w:lang w:val="en-US"/>
        </w:rPr>
        <w:t>Co-developing enabling policy environments and institutional capabilities for long-term sustainability</w:t>
      </w:r>
    </w:p>
    <w:p w14:paraId="417015F7" w14:textId="77777777" w:rsidR="00727B33" w:rsidRPr="00336ECA" w:rsidRDefault="00727B33" w:rsidP="00440CEC">
      <w:pPr>
        <w:pStyle w:val="NormalWeb"/>
        <w:jc w:val="both"/>
        <w:rPr>
          <w:rFonts w:ascii="Aptos" w:hAnsi="Aptos"/>
          <w:sz w:val="22"/>
          <w:szCs w:val="22"/>
          <w:lang w:val="en-US"/>
        </w:rPr>
      </w:pPr>
      <w:r w:rsidRPr="00336ECA">
        <w:rPr>
          <w:rFonts w:ascii="Aptos" w:hAnsi="Aptos"/>
          <w:sz w:val="22"/>
          <w:szCs w:val="22"/>
          <w:lang w:val="en-US"/>
        </w:rPr>
        <w:t xml:space="preserve">CAF's work with Banco de Desarrollo </w:t>
      </w:r>
      <w:proofErr w:type="spellStart"/>
      <w:r w:rsidRPr="00336ECA">
        <w:rPr>
          <w:rFonts w:ascii="Aptos" w:hAnsi="Aptos"/>
          <w:sz w:val="22"/>
          <w:szCs w:val="22"/>
          <w:lang w:val="en-US"/>
        </w:rPr>
        <w:t>Productivo</w:t>
      </w:r>
      <w:proofErr w:type="spellEnd"/>
      <w:r w:rsidRPr="00336ECA">
        <w:rPr>
          <w:rFonts w:ascii="Aptos" w:hAnsi="Aptos"/>
          <w:sz w:val="22"/>
          <w:szCs w:val="22"/>
          <w:lang w:val="en-US"/>
        </w:rPr>
        <w:t xml:space="preserve"> (BDP) in Bolivia marks an important step in supporting quasi-sovereign issuers in the region. This experience serves as a foundation for broader engagement, and CAF is now strategically positioned to become a regional enabler of next-generation sustainable finance solutions.</w:t>
      </w:r>
    </w:p>
    <w:p w14:paraId="04076F23" w14:textId="77777777" w:rsidR="00727B33" w:rsidRPr="003D45F2" w:rsidRDefault="00727B33" w:rsidP="00C31B95">
      <w:pPr>
        <w:pStyle w:val="NormalWeb"/>
        <w:jc w:val="both"/>
        <w:rPr>
          <w:rFonts w:ascii="Aptos" w:hAnsi="Aptos"/>
          <w:b/>
          <w:bCs/>
          <w:sz w:val="22"/>
          <w:szCs w:val="22"/>
          <w:lang w:val="en-US"/>
        </w:rPr>
      </w:pPr>
      <w:r w:rsidRPr="003D45F2">
        <w:rPr>
          <w:rFonts w:ascii="Aptos" w:hAnsi="Aptos"/>
          <w:b/>
          <w:bCs/>
          <w:sz w:val="22"/>
          <w:szCs w:val="22"/>
          <w:lang w:val="en-US"/>
        </w:rPr>
        <w:t>Objectives</w:t>
      </w:r>
    </w:p>
    <w:p w14:paraId="581D6369" w14:textId="77777777" w:rsidR="00824AB4" w:rsidRDefault="00727B33" w:rsidP="00C31B95">
      <w:pPr>
        <w:pStyle w:val="NormalWeb"/>
        <w:numPr>
          <w:ilvl w:val="0"/>
          <w:numId w:val="27"/>
        </w:numPr>
        <w:jc w:val="both"/>
        <w:rPr>
          <w:rFonts w:ascii="Aptos" w:hAnsi="Aptos"/>
          <w:sz w:val="22"/>
          <w:szCs w:val="22"/>
          <w:lang w:val="en-US"/>
        </w:rPr>
      </w:pPr>
      <w:r w:rsidRPr="00336ECA">
        <w:rPr>
          <w:rFonts w:ascii="Aptos" w:hAnsi="Aptos"/>
          <w:sz w:val="22"/>
          <w:szCs w:val="22"/>
          <w:lang w:val="en-US"/>
        </w:rPr>
        <w:t>Demonstrate the catalytic role of quasi-</w:t>
      </w:r>
      <w:proofErr w:type="gramStart"/>
      <w:r w:rsidRPr="00336ECA">
        <w:rPr>
          <w:rFonts w:ascii="Aptos" w:hAnsi="Aptos"/>
          <w:sz w:val="22"/>
          <w:szCs w:val="22"/>
          <w:lang w:val="en-US"/>
        </w:rPr>
        <w:t>sovereigns—</w:t>
      </w:r>
      <w:proofErr w:type="gramEnd"/>
      <w:r w:rsidRPr="00336ECA">
        <w:rPr>
          <w:rFonts w:ascii="Aptos" w:hAnsi="Aptos"/>
          <w:sz w:val="22"/>
          <w:szCs w:val="22"/>
          <w:lang w:val="en-US"/>
        </w:rPr>
        <w:t xml:space="preserve">including NDBs and subnational entities—in mobilizing resources for sustainable development </w:t>
      </w:r>
    </w:p>
    <w:p w14:paraId="581ADBC6" w14:textId="703B7875" w:rsidR="00103D83" w:rsidRPr="00336ECA" w:rsidRDefault="00727B33" w:rsidP="00C31B95">
      <w:pPr>
        <w:pStyle w:val="NormalWeb"/>
        <w:numPr>
          <w:ilvl w:val="0"/>
          <w:numId w:val="27"/>
        </w:numPr>
        <w:jc w:val="both"/>
        <w:rPr>
          <w:rFonts w:ascii="Aptos" w:hAnsi="Aptos"/>
          <w:sz w:val="22"/>
          <w:szCs w:val="22"/>
          <w:lang w:val="en-US"/>
        </w:rPr>
      </w:pPr>
      <w:r w:rsidRPr="00336ECA">
        <w:rPr>
          <w:rFonts w:ascii="Aptos" w:hAnsi="Aptos"/>
          <w:sz w:val="22"/>
          <w:szCs w:val="22"/>
          <w:lang w:val="en-US"/>
        </w:rPr>
        <w:t xml:space="preserve">Identify enabling conditions and institutional capacities required to foster thematic bond issuances at the subnational level </w:t>
      </w:r>
    </w:p>
    <w:p w14:paraId="30C0687D" w14:textId="56A44B48" w:rsidR="00103D83" w:rsidRPr="00336ECA" w:rsidRDefault="00727B33" w:rsidP="00C31B95">
      <w:pPr>
        <w:pStyle w:val="NormalWeb"/>
        <w:numPr>
          <w:ilvl w:val="0"/>
          <w:numId w:val="27"/>
        </w:numPr>
        <w:jc w:val="both"/>
        <w:rPr>
          <w:rFonts w:ascii="Aptos" w:hAnsi="Aptos"/>
          <w:sz w:val="22"/>
          <w:szCs w:val="22"/>
          <w:lang w:val="en-US"/>
        </w:rPr>
      </w:pPr>
      <w:r w:rsidRPr="00336ECA">
        <w:rPr>
          <w:rFonts w:ascii="Aptos" w:hAnsi="Aptos"/>
          <w:sz w:val="22"/>
          <w:szCs w:val="22"/>
          <w:lang w:val="en-US"/>
        </w:rPr>
        <w:t xml:space="preserve">Showcase successful models and technical assistance strategies that have supported quasi-sovereign </w:t>
      </w:r>
      <w:proofErr w:type="gramStart"/>
      <w:r w:rsidRPr="00336ECA">
        <w:rPr>
          <w:rFonts w:ascii="Aptos" w:hAnsi="Aptos"/>
          <w:sz w:val="22"/>
          <w:szCs w:val="22"/>
          <w:lang w:val="en-US"/>
        </w:rPr>
        <w:t>issuers</w:t>
      </w:r>
      <w:proofErr w:type="gramEnd"/>
      <w:r w:rsidRPr="00336ECA">
        <w:rPr>
          <w:rFonts w:ascii="Aptos" w:hAnsi="Aptos"/>
          <w:sz w:val="22"/>
          <w:szCs w:val="22"/>
          <w:lang w:val="en-US"/>
        </w:rPr>
        <w:t xml:space="preserve"> in the region </w:t>
      </w:r>
    </w:p>
    <w:p w14:paraId="6B693870" w14:textId="77777777" w:rsidR="003D45F2" w:rsidRDefault="00727B33" w:rsidP="00C31B95">
      <w:pPr>
        <w:pStyle w:val="NormalWeb"/>
        <w:numPr>
          <w:ilvl w:val="0"/>
          <w:numId w:val="27"/>
        </w:numPr>
        <w:jc w:val="both"/>
        <w:rPr>
          <w:rFonts w:ascii="Aptos" w:hAnsi="Aptos"/>
          <w:sz w:val="22"/>
          <w:szCs w:val="22"/>
          <w:lang w:val="en-US"/>
        </w:rPr>
      </w:pPr>
      <w:r w:rsidRPr="003D45F2">
        <w:rPr>
          <w:rFonts w:ascii="Aptos" w:hAnsi="Aptos"/>
          <w:sz w:val="22"/>
          <w:szCs w:val="22"/>
          <w:lang w:val="en-US"/>
        </w:rPr>
        <w:t xml:space="preserve">Explore innovative approaches and partnerships to unlock domestic investment vehicles that advance NDCs and SDGs </w:t>
      </w:r>
    </w:p>
    <w:p w14:paraId="2C3F535B" w14:textId="2C945D5A" w:rsidR="00727B33" w:rsidRPr="003D45F2" w:rsidRDefault="00727B33" w:rsidP="00C31B95">
      <w:pPr>
        <w:pStyle w:val="NormalWeb"/>
        <w:numPr>
          <w:ilvl w:val="0"/>
          <w:numId w:val="27"/>
        </w:numPr>
        <w:jc w:val="both"/>
        <w:rPr>
          <w:rFonts w:ascii="Aptos" w:hAnsi="Aptos"/>
          <w:sz w:val="22"/>
          <w:szCs w:val="22"/>
          <w:lang w:val="en-US"/>
        </w:rPr>
      </w:pPr>
      <w:r w:rsidRPr="003D45F2">
        <w:rPr>
          <w:rFonts w:ascii="Aptos" w:hAnsi="Aptos"/>
          <w:sz w:val="22"/>
          <w:szCs w:val="22"/>
          <w:lang w:val="en-US"/>
        </w:rPr>
        <w:t>Highlight CAF’s strategic role in supporting the design, structuring, and de-risking of sustainable finance solutions for quasi-sovereign actors</w:t>
      </w:r>
    </w:p>
    <w:p w14:paraId="146D8208" w14:textId="77777777" w:rsidR="00727B33" w:rsidRPr="003D45F2" w:rsidRDefault="00727B33" w:rsidP="00727B33">
      <w:pPr>
        <w:pStyle w:val="NormalWeb"/>
        <w:rPr>
          <w:rFonts w:ascii="Aptos" w:hAnsi="Aptos"/>
          <w:b/>
          <w:bCs/>
          <w:sz w:val="22"/>
          <w:szCs w:val="22"/>
          <w:lang w:val="en-US"/>
        </w:rPr>
      </w:pPr>
      <w:r w:rsidRPr="003D45F2">
        <w:rPr>
          <w:rFonts w:ascii="Aptos" w:hAnsi="Aptos"/>
          <w:b/>
          <w:bCs/>
          <w:sz w:val="22"/>
          <w:szCs w:val="22"/>
          <w:lang w:val="en-US"/>
        </w:rPr>
        <w:t>Key Topics</w:t>
      </w:r>
    </w:p>
    <w:p w14:paraId="2D701E04" w14:textId="77777777" w:rsidR="003D45F2" w:rsidRDefault="00727B33" w:rsidP="004A0C98">
      <w:pPr>
        <w:pStyle w:val="NormalWeb"/>
        <w:numPr>
          <w:ilvl w:val="0"/>
          <w:numId w:val="28"/>
        </w:numPr>
        <w:rPr>
          <w:rFonts w:ascii="Aptos" w:hAnsi="Aptos"/>
          <w:sz w:val="22"/>
          <w:szCs w:val="22"/>
          <w:lang w:val="en-US"/>
        </w:rPr>
      </w:pPr>
      <w:r w:rsidRPr="00336ECA">
        <w:rPr>
          <w:rFonts w:ascii="Aptos" w:hAnsi="Aptos"/>
          <w:sz w:val="22"/>
          <w:szCs w:val="22"/>
          <w:lang w:val="en-US"/>
        </w:rPr>
        <w:t xml:space="preserve">Emerging trends and gaps in the LAC thematic bond market </w:t>
      </w:r>
    </w:p>
    <w:p w14:paraId="1B42DEF4" w14:textId="77777777" w:rsidR="003D45F2" w:rsidRDefault="00727B33" w:rsidP="004A0C98">
      <w:pPr>
        <w:pStyle w:val="NormalWeb"/>
        <w:numPr>
          <w:ilvl w:val="0"/>
          <w:numId w:val="28"/>
        </w:numPr>
        <w:rPr>
          <w:rFonts w:ascii="Aptos" w:hAnsi="Aptos"/>
          <w:sz w:val="22"/>
          <w:szCs w:val="22"/>
          <w:lang w:val="en-US"/>
        </w:rPr>
      </w:pPr>
      <w:r w:rsidRPr="00336ECA">
        <w:rPr>
          <w:rFonts w:ascii="Aptos" w:hAnsi="Aptos"/>
          <w:sz w:val="22"/>
          <w:szCs w:val="22"/>
          <w:lang w:val="en-US"/>
        </w:rPr>
        <w:t xml:space="preserve">Institutional readiness and regulatory frameworks for quasi-sovereign participation </w:t>
      </w:r>
    </w:p>
    <w:p w14:paraId="48424D2C" w14:textId="77777777" w:rsidR="003D45F2" w:rsidRDefault="00727B33" w:rsidP="002E5FEC">
      <w:pPr>
        <w:pStyle w:val="NormalWeb"/>
        <w:numPr>
          <w:ilvl w:val="0"/>
          <w:numId w:val="28"/>
        </w:numPr>
        <w:rPr>
          <w:rFonts w:ascii="Aptos" w:hAnsi="Aptos"/>
          <w:sz w:val="22"/>
          <w:szCs w:val="22"/>
          <w:lang w:val="en-US"/>
        </w:rPr>
      </w:pPr>
      <w:r w:rsidRPr="003D45F2">
        <w:rPr>
          <w:rFonts w:ascii="Aptos" w:hAnsi="Aptos"/>
          <w:sz w:val="22"/>
          <w:szCs w:val="22"/>
          <w:lang w:val="en-US"/>
        </w:rPr>
        <w:t xml:space="preserve">Opportunities to scale local investment vehicles aligned with climate and development goals </w:t>
      </w:r>
    </w:p>
    <w:p w14:paraId="70A18363" w14:textId="77777777" w:rsidR="003D45F2" w:rsidRDefault="00727B33" w:rsidP="0067226D">
      <w:pPr>
        <w:pStyle w:val="NormalWeb"/>
        <w:numPr>
          <w:ilvl w:val="0"/>
          <w:numId w:val="28"/>
        </w:numPr>
        <w:rPr>
          <w:rFonts w:ascii="Aptos" w:hAnsi="Aptos"/>
          <w:sz w:val="22"/>
          <w:szCs w:val="22"/>
          <w:lang w:val="en-US"/>
        </w:rPr>
      </w:pPr>
      <w:r w:rsidRPr="003D45F2">
        <w:rPr>
          <w:rFonts w:ascii="Aptos" w:hAnsi="Aptos"/>
          <w:sz w:val="22"/>
          <w:szCs w:val="22"/>
          <w:lang w:val="en-US"/>
        </w:rPr>
        <w:t xml:space="preserve">Case studies of successful quasi-sovereign issuances and lessons learned </w:t>
      </w:r>
    </w:p>
    <w:p w14:paraId="1268E97C" w14:textId="77777777" w:rsidR="00B27026" w:rsidRDefault="00727B33" w:rsidP="0014538F">
      <w:pPr>
        <w:pStyle w:val="NormalWeb"/>
        <w:numPr>
          <w:ilvl w:val="0"/>
          <w:numId w:val="28"/>
        </w:numPr>
        <w:rPr>
          <w:rFonts w:ascii="Aptos" w:hAnsi="Aptos"/>
          <w:sz w:val="22"/>
          <w:szCs w:val="22"/>
          <w:lang w:val="en-US"/>
        </w:rPr>
      </w:pPr>
      <w:r w:rsidRPr="003D45F2">
        <w:rPr>
          <w:rFonts w:ascii="Aptos" w:hAnsi="Aptos"/>
          <w:sz w:val="22"/>
          <w:szCs w:val="22"/>
          <w:lang w:val="en-US"/>
        </w:rPr>
        <w:t>The role of MDBs, technical partners, and anchor investors in enabling market growth</w:t>
      </w:r>
    </w:p>
    <w:p w14:paraId="48223AAF" w14:textId="595881F0" w:rsidR="00727B33" w:rsidRDefault="00727B33" w:rsidP="0014538F">
      <w:pPr>
        <w:pStyle w:val="NormalWeb"/>
        <w:numPr>
          <w:ilvl w:val="0"/>
          <w:numId w:val="28"/>
        </w:numPr>
        <w:rPr>
          <w:rFonts w:ascii="Aptos" w:hAnsi="Aptos"/>
          <w:sz w:val="22"/>
          <w:szCs w:val="22"/>
          <w:lang w:val="en-US"/>
        </w:rPr>
      </w:pPr>
      <w:r w:rsidRPr="003D45F2">
        <w:rPr>
          <w:rFonts w:ascii="Aptos" w:hAnsi="Aptos"/>
          <w:sz w:val="22"/>
          <w:szCs w:val="22"/>
          <w:lang w:val="en-US"/>
        </w:rPr>
        <w:t>Forward-looking models for replicable and scalable sustainable finance solutions</w:t>
      </w:r>
    </w:p>
    <w:p w14:paraId="0C1BB1ED" w14:textId="77777777" w:rsidR="00727B33" w:rsidRPr="00B27026" w:rsidRDefault="00727B33" w:rsidP="00103D83">
      <w:pPr>
        <w:pStyle w:val="NormalWeb"/>
        <w:rPr>
          <w:rFonts w:ascii="Aptos" w:hAnsi="Aptos"/>
          <w:b/>
          <w:bCs/>
          <w:sz w:val="22"/>
          <w:szCs w:val="22"/>
        </w:rPr>
      </w:pPr>
      <w:proofErr w:type="spellStart"/>
      <w:r w:rsidRPr="00B27026">
        <w:rPr>
          <w:rFonts w:ascii="Aptos" w:hAnsi="Aptos"/>
          <w:b/>
          <w:bCs/>
          <w:sz w:val="22"/>
          <w:szCs w:val="22"/>
        </w:rPr>
        <w:t>Expected</w:t>
      </w:r>
      <w:proofErr w:type="spellEnd"/>
      <w:r w:rsidRPr="00B27026">
        <w:rPr>
          <w:rFonts w:ascii="Aptos" w:hAnsi="Aptos"/>
          <w:b/>
          <w:bCs/>
          <w:sz w:val="22"/>
          <w:szCs w:val="22"/>
        </w:rPr>
        <w:t xml:space="preserve"> </w:t>
      </w:r>
      <w:proofErr w:type="spellStart"/>
      <w:r w:rsidRPr="00B27026">
        <w:rPr>
          <w:rFonts w:ascii="Aptos" w:hAnsi="Aptos"/>
          <w:b/>
          <w:bCs/>
          <w:sz w:val="22"/>
          <w:szCs w:val="22"/>
        </w:rPr>
        <w:t>Outcomes</w:t>
      </w:r>
      <w:proofErr w:type="spellEnd"/>
    </w:p>
    <w:p w14:paraId="323A0802" w14:textId="77777777" w:rsidR="00B27026" w:rsidRDefault="00727B33" w:rsidP="00824AB4">
      <w:pPr>
        <w:pStyle w:val="NormalWeb"/>
        <w:numPr>
          <w:ilvl w:val="0"/>
          <w:numId w:val="30"/>
        </w:numPr>
        <w:jc w:val="both"/>
        <w:rPr>
          <w:rFonts w:ascii="Aptos" w:hAnsi="Aptos"/>
          <w:sz w:val="22"/>
          <w:szCs w:val="22"/>
          <w:lang w:val="en-US"/>
        </w:rPr>
      </w:pPr>
      <w:r w:rsidRPr="00336ECA">
        <w:rPr>
          <w:rFonts w:ascii="Aptos" w:hAnsi="Aptos"/>
          <w:sz w:val="22"/>
          <w:szCs w:val="22"/>
          <w:lang w:val="en-US"/>
        </w:rPr>
        <w:t xml:space="preserve">Strengthened understanding of the transformative potential of quasi-sovereigns in sustainable finance </w:t>
      </w:r>
    </w:p>
    <w:p w14:paraId="6A47D7A8" w14:textId="77777777" w:rsidR="00B27026" w:rsidRDefault="00727B33" w:rsidP="00824AB4">
      <w:pPr>
        <w:pStyle w:val="NormalWeb"/>
        <w:numPr>
          <w:ilvl w:val="0"/>
          <w:numId w:val="30"/>
        </w:numPr>
        <w:jc w:val="both"/>
        <w:rPr>
          <w:rFonts w:ascii="Aptos" w:hAnsi="Aptos"/>
          <w:sz w:val="22"/>
          <w:szCs w:val="22"/>
          <w:lang w:val="en-US"/>
        </w:rPr>
      </w:pPr>
      <w:r w:rsidRPr="00B27026">
        <w:rPr>
          <w:rFonts w:ascii="Aptos" w:hAnsi="Aptos"/>
          <w:sz w:val="22"/>
          <w:szCs w:val="22"/>
          <w:lang w:val="en-US"/>
        </w:rPr>
        <w:t xml:space="preserve">Shared insights on enabling conditions and support strategies to unlock their participation in thematic bond markets </w:t>
      </w:r>
    </w:p>
    <w:p w14:paraId="332DF3AF" w14:textId="77777777" w:rsidR="00B27026" w:rsidRDefault="00727B33" w:rsidP="00824AB4">
      <w:pPr>
        <w:pStyle w:val="NormalWeb"/>
        <w:numPr>
          <w:ilvl w:val="0"/>
          <w:numId w:val="30"/>
        </w:numPr>
        <w:jc w:val="both"/>
        <w:rPr>
          <w:rFonts w:ascii="Aptos" w:hAnsi="Aptos"/>
          <w:sz w:val="22"/>
          <w:szCs w:val="22"/>
          <w:lang w:val="en-US"/>
        </w:rPr>
      </w:pPr>
      <w:r w:rsidRPr="00B27026">
        <w:rPr>
          <w:rFonts w:ascii="Aptos" w:hAnsi="Aptos"/>
          <w:sz w:val="22"/>
          <w:szCs w:val="22"/>
          <w:lang w:val="en-US"/>
        </w:rPr>
        <w:lastRenderedPageBreak/>
        <w:t xml:space="preserve">Identification of collaborative pathways between MDBs, technical partners, and quasi-sovereign actors </w:t>
      </w:r>
    </w:p>
    <w:p w14:paraId="1D857BA9" w14:textId="2E2DFF96" w:rsidR="00727B33" w:rsidRDefault="00727B33" w:rsidP="00824AB4">
      <w:pPr>
        <w:pStyle w:val="NormalWeb"/>
        <w:numPr>
          <w:ilvl w:val="0"/>
          <w:numId w:val="30"/>
        </w:numPr>
        <w:jc w:val="both"/>
        <w:rPr>
          <w:rFonts w:ascii="Aptos" w:hAnsi="Aptos"/>
          <w:sz w:val="22"/>
          <w:szCs w:val="22"/>
          <w:lang w:val="en-US"/>
        </w:rPr>
      </w:pPr>
      <w:r w:rsidRPr="00B27026">
        <w:rPr>
          <w:rFonts w:ascii="Aptos" w:hAnsi="Aptos"/>
          <w:sz w:val="22"/>
          <w:szCs w:val="22"/>
          <w:lang w:val="en-US"/>
        </w:rPr>
        <w:t>Concrete proposals for pilot programs or partnerships in the lead-up to FfD4 that scale local finance for sustainable development</w:t>
      </w:r>
    </w:p>
    <w:p w14:paraId="36C97BB8" w14:textId="77777777" w:rsidR="0047384B" w:rsidRDefault="0047384B" w:rsidP="0047384B">
      <w:pPr>
        <w:pStyle w:val="NormalWeb"/>
        <w:jc w:val="both"/>
        <w:rPr>
          <w:rFonts w:ascii="Aptos" w:hAnsi="Aptos"/>
          <w:sz w:val="22"/>
          <w:szCs w:val="22"/>
          <w:lang w:val="en-US"/>
        </w:rPr>
      </w:pPr>
    </w:p>
    <w:p w14:paraId="218A51B1" w14:textId="77777777" w:rsidR="00A076BD" w:rsidRDefault="00A076BD" w:rsidP="0047384B">
      <w:pPr>
        <w:pStyle w:val="NormalWeb"/>
        <w:jc w:val="both"/>
        <w:rPr>
          <w:rFonts w:ascii="Aptos" w:hAnsi="Aptos"/>
          <w:sz w:val="22"/>
          <w:szCs w:val="22"/>
          <w:lang w:val="en-US"/>
        </w:rPr>
      </w:pPr>
    </w:p>
    <w:p w14:paraId="2F64C997" w14:textId="77777777" w:rsidR="00A076BD" w:rsidRDefault="00A076BD" w:rsidP="0047384B">
      <w:pPr>
        <w:pStyle w:val="NormalWeb"/>
        <w:jc w:val="both"/>
        <w:rPr>
          <w:rFonts w:ascii="Aptos" w:hAnsi="Aptos"/>
          <w:sz w:val="22"/>
          <w:szCs w:val="22"/>
          <w:lang w:val="en-US"/>
        </w:rPr>
      </w:pPr>
    </w:p>
    <w:p w14:paraId="4C4F73A5" w14:textId="77777777" w:rsidR="00A076BD" w:rsidRDefault="00A076BD" w:rsidP="0047384B">
      <w:pPr>
        <w:pStyle w:val="NormalWeb"/>
        <w:jc w:val="both"/>
        <w:rPr>
          <w:rFonts w:ascii="Aptos" w:hAnsi="Aptos"/>
          <w:sz w:val="22"/>
          <w:szCs w:val="22"/>
          <w:lang w:val="en-US"/>
        </w:rPr>
      </w:pPr>
    </w:p>
    <w:p w14:paraId="69A0EB33" w14:textId="77777777" w:rsidR="00A076BD" w:rsidRDefault="00A076BD" w:rsidP="0047384B">
      <w:pPr>
        <w:pStyle w:val="NormalWeb"/>
        <w:jc w:val="both"/>
        <w:rPr>
          <w:rFonts w:ascii="Aptos" w:hAnsi="Aptos"/>
          <w:sz w:val="22"/>
          <w:szCs w:val="22"/>
          <w:lang w:val="en-US"/>
        </w:rPr>
      </w:pPr>
    </w:p>
    <w:p w14:paraId="100F3A31" w14:textId="77777777" w:rsidR="00A076BD" w:rsidRDefault="00A076BD" w:rsidP="0047384B">
      <w:pPr>
        <w:pStyle w:val="NormalWeb"/>
        <w:jc w:val="both"/>
        <w:rPr>
          <w:rFonts w:ascii="Aptos" w:hAnsi="Aptos"/>
          <w:sz w:val="22"/>
          <w:szCs w:val="22"/>
          <w:lang w:val="en-US"/>
        </w:rPr>
      </w:pPr>
    </w:p>
    <w:p w14:paraId="6D663FCB" w14:textId="77777777" w:rsidR="000D36B5" w:rsidRDefault="000D36B5" w:rsidP="000D36B5">
      <w:pPr>
        <w:spacing w:after="0" w:line="240" w:lineRule="auto"/>
        <w:jc w:val="center"/>
        <w:rPr>
          <w:rFonts w:asciiTheme="majorHAnsi" w:hAnsiTheme="majorHAnsi" w:cstheme="majorHAnsi"/>
          <w:b/>
          <w:bCs/>
          <w:sz w:val="24"/>
          <w:szCs w:val="24"/>
          <w:lang w:val="en-US"/>
        </w:rPr>
      </w:pPr>
      <w:r w:rsidRPr="00AE5A5B">
        <w:rPr>
          <w:rFonts w:asciiTheme="majorHAnsi" w:hAnsiTheme="majorHAnsi" w:cstheme="majorHAnsi"/>
          <w:b/>
          <w:bCs/>
          <w:sz w:val="24"/>
          <w:szCs w:val="24"/>
          <w:lang w:val="en-US"/>
        </w:rPr>
        <w:t>Agenda</w:t>
      </w:r>
    </w:p>
    <w:p w14:paraId="73D8623B" w14:textId="77777777" w:rsidR="003C741D" w:rsidRPr="00AE5A5B" w:rsidRDefault="003C741D" w:rsidP="000D36B5">
      <w:pPr>
        <w:spacing w:after="0" w:line="240" w:lineRule="auto"/>
        <w:jc w:val="center"/>
        <w:rPr>
          <w:rFonts w:asciiTheme="majorHAnsi" w:hAnsiTheme="majorHAnsi" w:cstheme="majorHAnsi"/>
          <w:b/>
          <w:bCs/>
          <w:sz w:val="24"/>
          <w:szCs w:val="24"/>
          <w:lang w:val="en-US"/>
        </w:rPr>
      </w:pPr>
    </w:p>
    <w:tbl>
      <w:tblPr>
        <w:tblW w:w="1008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4860"/>
        <w:gridCol w:w="3870"/>
      </w:tblGrid>
      <w:tr w:rsidR="009A6DE4" w:rsidRPr="00951494" w14:paraId="0D4087D2" w14:textId="77777777" w:rsidTr="00220F91">
        <w:trPr>
          <w:trHeight w:val="440"/>
        </w:trPr>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3864" w:themeFill="accent1" w:themeFillShade="80"/>
            <w:vAlign w:val="center"/>
            <w:hideMark/>
          </w:tcPr>
          <w:p w14:paraId="0F19BBE8" w14:textId="77777777" w:rsidR="009A6DE4" w:rsidRPr="00021F3D" w:rsidRDefault="009A6DE4" w:rsidP="00220F91">
            <w:pPr>
              <w:spacing w:after="0" w:line="240" w:lineRule="auto"/>
              <w:jc w:val="center"/>
              <w:textAlignment w:val="baseline"/>
              <w:rPr>
                <w:rFonts w:eastAsia="Times New Roman" w:cs="Segoe UI"/>
                <w:b/>
                <w:bCs/>
                <w:kern w:val="0"/>
                <w:sz w:val="24"/>
                <w:szCs w:val="24"/>
                <w14:ligatures w14:val="none"/>
              </w:rPr>
            </w:pPr>
            <w:bookmarkStart w:id="0" w:name="_Hlk169103590"/>
            <w:r w:rsidRPr="00021F3D">
              <w:rPr>
                <w:rFonts w:eastAsia="Times New Roman" w:cs="Segoe UI"/>
                <w:b/>
                <w:bCs/>
                <w:kern w:val="0"/>
                <w:sz w:val="24"/>
                <w:szCs w:val="24"/>
                <w14:ligatures w14:val="none"/>
              </w:rPr>
              <w:t>Time</w:t>
            </w:r>
          </w:p>
        </w:tc>
        <w:tc>
          <w:tcPr>
            <w:tcW w:w="4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3864" w:themeFill="accent1" w:themeFillShade="80"/>
            <w:vAlign w:val="center"/>
            <w:hideMark/>
          </w:tcPr>
          <w:p w14:paraId="694A64F5" w14:textId="77777777" w:rsidR="009A6DE4" w:rsidRPr="00021F3D" w:rsidRDefault="009A6DE4" w:rsidP="00220F91">
            <w:pPr>
              <w:spacing w:after="0" w:line="240" w:lineRule="auto"/>
              <w:jc w:val="center"/>
              <w:textAlignment w:val="baseline"/>
              <w:rPr>
                <w:rFonts w:eastAsia="Times New Roman" w:cs="Segoe UI"/>
                <w:b/>
                <w:bCs/>
                <w:kern w:val="0"/>
                <w:sz w:val="24"/>
                <w:szCs w:val="24"/>
                <w14:ligatures w14:val="none"/>
              </w:rPr>
            </w:pPr>
            <w:proofErr w:type="spellStart"/>
            <w:r w:rsidRPr="00021F3D">
              <w:rPr>
                <w:rFonts w:eastAsia="Times New Roman" w:cs="Segoe UI"/>
                <w:b/>
                <w:bCs/>
                <w:kern w:val="0"/>
                <w:sz w:val="24"/>
                <w:szCs w:val="24"/>
                <w14:ligatures w14:val="none"/>
              </w:rPr>
              <w:t>Presentation</w:t>
            </w:r>
            <w:proofErr w:type="spellEnd"/>
            <w:r w:rsidRPr="00021F3D">
              <w:rPr>
                <w:rFonts w:eastAsia="Times New Roman" w:cs="Segoe UI"/>
                <w:b/>
                <w:bCs/>
                <w:kern w:val="0"/>
                <w:sz w:val="24"/>
                <w:szCs w:val="24"/>
                <w14:ligatures w14:val="none"/>
              </w:rPr>
              <w:t>/</w:t>
            </w:r>
            <w:proofErr w:type="spellStart"/>
            <w:r w:rsidRPr="00021F3D">
              <w:rPr>
                <w:rFonts w:eastAsia="Times New Roman" w:cs="Segoe UI"/>
                <w:b/>
                <w:bCs/>
                <w:kern w:val="0"/>
                <w:sz w:val="24"/>
                <w:szCs w:val="24"/>
                <w14:ligatures w14:val="none"/>
              </w:rPr>
              <w:t>Topic</w:t>
            </w:r>
            <w:proofErr w:type="spellEnd"/>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3864" w:themeFill="accent1" w:themeFillShade="80"/>
            <w:vAlign w:val="center"/>
            <w:hideMark/>
          </w:tcPr>
          <w:p w14:paraId="660FF540" w14:textId="77777777" w:rsidR="009A6DE4" w:rsidRPr="00021F3D" w:rsidRDefault="009A6DE4" w:rsidP="00220F91">
            <w:pPr>
              <w:spacing w:after="0" w:line="240" w:lineRule="auto"/>
              <w:jc w:val="center"/>
              <w:textAlignment w:val="baseline"/>
              <w:rPr>
                <w:rFonts w:eastAsia="Times New Roman" w:cs="Segoe UI"/>
                <w:b/>
                <w:bCs/>
                <w:kern w:val="0"/>
                <w:sz w:val="24"/>
                <w:szCs w:val="24"/>
                <w14:ligatures w14:val="none"/>
              </w:rPr>
            </w:pPr>
            <w:proofErr w:type="spellStart"/>
            <w:r>
              <w:rPr>
                <w:rFonts w:eastAsia="Times New Roman" w:cs="Segoe UI"/>
                <w:b/>
                <w:bCs/>
                <w:kern w:val="0"/>
                <w:sz w:val="24"/>
                <w:szCs w:val="24"/>
                <w14:ligatures w14:val="none"/>
              </w:rPr>
              <w:t>Speakers</w:t>
            </w:r>
            <w:proofErr w:type="spellEnd"/>
          </w:p>
        </w:tc>
      </w:tr>
      <w:bookmarkEnd w:id="0"/>
      <w:tr w:rsidR="009A6DE4" w:rsidRPr="003C1782" w14:paraId="586F8D5A" w14:textId="77777777" w:rsidTr="00220F91">
        <w:trPr>
          <w:trHeight w:val="440"/>
        </w:trPr>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hideMark/>
          </w:tcPr>
          <w:p w14:paraId="7FA74885" w14:textId="165E98C5" w:rsidR="009A6DE4" w:rsidRPr="00951494" w:rsidRDefault="006D1559" w:rsidP="00220F91">
            <w:pPr>
              <w:spacing w:after="0" w:line="240" w:lineRule="auto"/>
              <w:jc w:val="center"/>
              <w:textAlignment w:val="baseline"/>
              <w:rPr>
                <w:rFonts w:eastAsia="Times New Roman" w:cs="Segoe UI"/>
                <w:kern w:val="0"/>
                <w14:ligatures w14:val="none"/>
              </w:rPr>
            </w:pPr>
            <w:r>
              <w:rPr>
                <w:rFonts w:eastAsia="Times New Roman" w:cs="Segoe UI"/>
                <w:kern w:val="0"/>
                <w14:ligatures w14:val="none"/>
              </w:rPr>
              <w:t>10</w:t>
            </w:r>
            <w:r w:rsidR="009A6DE4" w:rsidRPr="00951494">
              <w:rPr>
                <w:rFonts w:eastAsia="Times New Roman" w:cs="Segoe UI"/>
                <w:kern w:val="0"/>
                <w14:ligatures w14:val="none"/>
              </w:rPr>
              <w:t xml:space="preserve"> minutes</w:t>
            </w:r>
          </w:p>
        </w:tc>
        <w:tc>
          <w:tcPr>
            <w:tcW w:w="4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hideMark/>
          </w:tcPr>
          <w:p w14:paraId="4F961039" w14:textId="77777777" w:rsidR="009A6DE4" w:rsidRPr="00951494" w:rsidRDefault="009A6DE4" w:rsidP="00220F91">
            <w:pPr>
              <w:spacing w:after="0" w:line="240" w:lineRule="auto"/>
              <w:textAlignment w:val="baseline"/>
              <w:rPr>
                <w:rFonts w:eastAsia="Times New Roman" w:cs="Segoe UI"/>
                <w:kern w:val="0"/>
                <w:lang w:val="en-US"/>
                <w14:ligatures w14:val="none"/>
              </w:rPr>
            </w:pPr>
            <w:r>
              <w:rPr>
                <w:rFonts w:eastAsia="Times New Roman" w:cs="Segoe UI"/>
                <w:kern w:val="0"/>
                <w:lang w:val="en-US"/>
                <w14:ligatures w14:val="none"/>
              </w:rPr>
              <w:t>Opening remarks: w</w:t>
            </w:r>
            <w:r w:rsidRPr="00951494">
              <w:rPr>
                <w:rFonts w:eastAsia="Times New Roman" w:cs="Segoe UI"/>
                <w:kern w:val="0"/>
                <w:lang w:val="en-US"/>
                <w14:ligatures w14:val="none"/>
              </w:rPr>
              <w:t xml:space="preserve">elcome and introduction to the panel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hideMark/>
          </w:tcPr>
          <w:p w14:paraId="4AF948ED" w14:textId="5DD810DE" w:rsidR="009A6DE4" w:rsidRPr="006D6CE2" w:rsidRDefault="000872C3" w:rsidP="000872C3">
            <w:pPr>
              <w:spacing w:after="0" w:line="240" w:lineRule="auto"/>
              <w:textAlignment w:val="baseline"/>
              <w:rPr>
                <w:rFonts w:eastAsia="Times New Roman" w:cs="Segoe UI"/>
                <w:kern w:val="0"/>
                <w:lang w:val="en-US"/>
                <w14:ligatures w14:val="none"/>
              </w:rPr>
            </w:pPr>
            <w:r>
              <w:rPr>
                <w:rFonts w:eastAsia="Times New Roman" w:cs="Segoe UI"/>
                <w:kern w:val="0"/>
                <w:lang w:val="en-US"/>
                <w14:ligatures w14:val="none"/>
              </w:rPr>
              <w:t xml:space="preserve">Mr. Gianpiero Leoncini, Executive Vice-president, CAF </w:t>
            </w:r>
            <w:r w:rsidR="003C741D">
              <w:rPr>
                <w:rFonts w:eastAsia="Times New Roman" w:cs="Segoe UI"/>
                <w:kern w:val="0"/>
                <w:lang w:val="en-US"/>
                <w14:ligatures w14:val="none"/>
              </w:rPr>
              <w:t>–</w:t>
            </w:r>
            <w:r>
              <w:rPr>
                <w:rFonts w:eastAsia="Times New Roman" w:cs="Segoe UI"/>
                <w:kern w:val="0"/>
                <w:lang w:val="en-US"/>
                <w14:ligatures w14:val="none"/>
              </w:rPr>
              <w:t xml:space="preserve"> De</w:t>
            </w:r>
            <w:r w:rsidR="003C741D">
              <w:rPr>
                <w:rFonts w:eastAsia="Times New Roman" w:cs="Segoe UI"/>
                <w:kern w:val="0"/>
                <w:lang w:val="en-US"/>
                <w14:ligatures w14:val="none"/>
              </w:rPr>
              <w:t>velopment Bank of Latin America and the Caribbean</w:t>
            </w:r>
          </w:p>
        </w:tc>
      </w:tr>
      <w:tr w:rsidR="009A6DE4" w:rsidRPr="002C55A2" w14:paraId="3053E3B5" w14:textId="77777777" w:rsidTr="00215FB7">
        <w:trPr>
          <w:trHeight w:val="5615"/>
        </w:trPr>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8EAD0E" w14:textId="77777777" w:rsidR="009A6DE4" w:rsidRPr="00C2101F" w:rsidRDefault="009A6DE4" w:rsidP="00220F91">
            <w:pPr>
              <w:spacing w:after="0" w:line="240" w:lineRule="auto"/>
              <w:jc w:val="center"/>
              <w:textAlignment w:val="baseline"/>
              <w:rPr>
                <w:rFonts w:eastAsia="Times New Roman" w:cs="Segoe UI"/>
                <w:kern w:val="0"/>
                <w14:ligatures w14:val="none"/>
              </w:rPr>
            </w:pPr>
            <w:r>
              <w:rPr>
                <w:rFonts w:eastAsia="Times New Roman" w:cs="Segoe UI"/>
                <w:kern w:val="0"/>
                <w14:ligatures w14:val="none"/>
              </w:rPr>
              <w:t>60 minutes</w:t>
            </w:r>
          </w:p>
        </w:tc>
        <w:tc>
          <w:tcPr>
            <w:tcW w:w="4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91D97C" w14:textId="77777777" w:rsidR="009A6DE4" w:rsidRDefault="009A6DE4" w:rsidP="00220F91">
            <w:pPr>
              <w:spacing w:after="0" w:line="240" w:lineRule="auto"/>
              <w:textAlignment w:val="baseline"/>
              <w:rPr>
                <w:rFonts w:eastAsia="Times New Roman" w:cs="Segoe UI"/>
                <w:kern w:val="0"/>
                <w:lang w:val="en-US"/>
                <w14:ligatures w14:val="none"/>
              </w:rPr>
            </w:pPr>
            <w:r>
              <w:rPr>
                <w:rFonts w:eastAsia="Times New Roman" w:cs="Segoe UI"/>
                <w:kern w:val="0"/>
                <w:lang w:val="en-US"/>
                <w14:ligatures w14:val="none"/>
              </w:rPr>
              <w:t xml:space="preserve">Panel topics: </w:t>
            </w:r>
          </w:p>
          <w:p w14:paraId="1E867863" w14:textId="77777777" w:rsidR="00FB67AA" w:rsidRPr="004049A2" w:rsidRDefault="00FB67AA" w:rsidP="00220F91">
            <w:pPr>
              <w:spacing w:after="0" w:line="240" w:lineRule="auto"/>
              <w:textAlignment w:val="baseline"/>
              <w:rPr>
                <w:rFonts w:eastAsia="Times New Roman" w:cs="Segoe UI"/>
                <w:kern w:val="0"/>
                <w:lang w:val="en-US"/>
                <w14:ligatures w14:val="none"/>
              </w:rPr>
            </w:pPr>
          </w:p>
          <w:p w14:paraId="1C515D5D" w14:textId="77777777" w:rsidR="009A6DE4" w:rsidRDefault="009A6DE4" w:rsidP="009A6DE4">
            <w:pPr>
              <w:pStyle w:val="Prrafodelista"/>
              <w:numPr>
                <w:ilvl w:val="0"/>
                <w:numId w:val="35"/>
              </w:numPr>
              <w:spacing w:after="0" w:line="240" w:lineRule="auto"/>
              <w:textAlignment w:val="baseline"/>
              <w:rPr>
                <w:rFonts w:eastAsia="Times New Roman" w:cstheme="minorHAnsi"/>
                <w:kern w:val="0"/>
                <w:lang w:val="en-US"/>
                <w14:ligatures w14:val="none"/>
              </w:rPr>
            </w:pPr>
            <w:r>
              <w:rPr>
                <w:rFonts w:eastAsia="Times New Roman" w:cstheme="minorHAnsi"/>
                <w:kern w:val="0"/>
                <w:lang w:val="en-US"/>
                <w14:ligatures w14:val="none"/>
              </w:rPr>
              <w:t>The strategic role of MDBs as enablers of sustainable investments in emerging economies.</w:t>
            </w:r>
          </w:p>
          <w:p w14:paraId="15D45C0E" w14:textId="77777777" w:rsidR="005B7A5A" w:rsidRDefault="005B7A5A" w:rsidP="005B7A5A">
            <w:pPr>
              <w:spacing w:after="0" w:line="240" w:lineRule="auto"/>
              <w:textAlignment w:val="baseline"/>
              <w:rPr>
                <w:rFonts w:eastAsia="Times New Roman" w:cstheme="minorHAnsi"/>
                <w:kern w:val="0"/>
                <w:lang w:val="en-US"/>
                <w14:ligatures w14:val="none"/>
              </w:rPr>
            </w:pPr>
          </w:p>
          <w:p w14:paraId="185AD5CD" w14:textId="77777777" w:rsidR="00C3658D" w:rsidRDefault="00C3658D" w:rsidP="005B7A5A">
            <w:pPr>
              <w:spacing w:after="0" w:line="240" w:lineRule="auto"/>
              <w:textAlignment w:val="baseline"/>
              <w:rPr>
                <w:rFonts w:eastAsia="Times New Roman" w:cstheme="minorHAnsi"/>
                <w:kern w:val="0"/>
                <w:lang w:val="en-US"/>
                <w14:ligatures w14:val="none"/>
              </w:rPr>
            </w:pPr>
          </w:p>
          <w:p w14:paraId="69C8A099" w14:textId="43806D6D" w:rsidR="005B7A5A" w:rsidRPr="005B7A5A" w:rsidRDefault="005B7A5A" w:rsidP="005B7A5A">
            <w:pPr>
              <w:pStyle w:val="Prrafodelista"/>
              <w:numPr>
                <w:ilvl w:val="0"/>
                <w:numId w:val="35"/>
              </w:numPr>
              <w:spacing w:after="0" w:line="240" w:lineRule="auto"/>
              <w:textAlignment w:val="baseline"/>
              <w:rPr>
                <w:rFonts w:eastAsia="Times New Roman" w:cstheme="minorHAnsi"/>
                <w:kern w:val="0"/>
                <w:lang w:val="en-US"/>
                <w14:ligatures w14:val="none"/>
              </w:rPr>
            </w:pPr>
            <w:r>
              <w:rPr>
                <w:rFonts w:eastAsia="Times New Roman" w:cstheme="minorHAnsi"/>
                <w:kern w:val="0"/>
                <w:lang w:val="en-US"/>
                <w14:ligatures w14:val="none"/>
              </w:rPr>
              <w:t xml:space="preserve">The </w:t>
            </w:r>
            <w:r w:rsidRPr="005B7A5A">
              <w:rPr>
                <w:rFonts w:eastAsia="Times New Roman" w:cstheme="minorHAnsi"/>
                <w:kern w:val="0"/>
                <w:lang w:val="en-US"/>
                <w14:ligatures w14:val="none"/>
              </w:rPr>
              <w:t>evolving landscape of green and social bonds, regulatory developments, and market</w:t>
            </w:r>
            <w:r>
              <w:rPr>
                <w:rFonts w:eastAsia="Times New Roman" w:cstheme="minorHAnsi"/>
                <w:kern w:val="0"/>
                <w:lang w:val="en-US"/>
                <w14:ligatures w14:val="none"/>
              </w:rPr>
              <w:t xml:space="preserve"> </w:t>
            </w:r>
            <w:r w:rsidRPr="005B7A5A">
              <w:rPr>
                <w:rFonts w:eastAsia="Times New Roman" w:cstheme="minorHAnsi"/>
                <w:kern w:val="0"/>
                <w:lang w:val="en-US"/>
                <w14:ligatures w14:val="none"/>
              </w:rPr>
              <w:t>expectations.</w:t>
            </w:r>
          </w:p>
          <w:p w14:paraId="5A406C0C" w14:textId="77777777" w:rsidR="009A6DE4" w:rsidRPr="0021195F" w:rsidRDefault="009A6DE4" w:rsidP="00220F91">
            <w:pPr>
              <w:spacing w:after="0" w:line="240" w:lineRule="auto"/>
              <w:textAlignment w:val="baseline"/>
              <w:rPr>
                <w:rFonts w:eastAsia="Times New Roman" w:cs="Segoe UI"/>
                <w:kern w:val="0"/>
                <w:lang w:val="en-US"/>
                <w14:ligatures w14:val="none"/>
              </w:rPr>
            </w:pPr>
          </w:p>
          <w:p w14:paraId="239D1B09" w14:textId="77777777" w:rsidR="00507814" w:rsidRDefault="00507814" w:rsidP="009A6DE4">
            <w:pPr>
              <w:pStyle w:val="Prrafodelista"/>
              <w:numPr>
                <w:ilvl w:val="0"/>
                <w:numId w:val="35"/>
              </w:numPr>
              <w:spacing w:after="0" w:line="240" w:lineRule="auto"/>
              <w:textAlignment w:val="baseline"/>
              <w:rPr>
                <w:rFonts w:eastAsia="Times New Roman" w:cstheme="minorHAnsi"/>
                <w:kern w:val="0"/>
                <w:lang w:val="en-US"/>
                <w14:ligatures w14:val="none"/>
              </w:rPr>
            </w:pPr>
            <w:r>
              <w:rPr>
                <w:rFonts w:eastAsia="Times New Roman" w:cs="Segoe UI"/>
                <w:kern w:val="0"/>
                <w:lang w:val="en-US"/>
                <w14:ligatures w14:val="none"/>
              </w:rPr>
              <w:t>Enabling Conditions and credit enhancement facilities to scale up sustainable financing in emerging markets</w:t>
            </w:r>
            <w:r w:rsidRPr="00B65DD4">
              <w:rPr>
                <w:rFonts w:eastAsia="Times New Roman" w:cstheme="minorHAnsi"/>
                <w:kern w:val="0"/>
                <w:lang w:val="en-US"/>
                <w14:ligatures w14:val="none"/>
              </w:rPr>
              <w:t xml:space="preserve"> </w:t>
            </w:r>
          </w:p>
          <w:p w14:paraId="5D22FA64" w14:textId="77777777" w:rsidR="00507814" w:rsidRPr="00507814" w:rsidRDefault="00507814" w:rsidP="00507814">
            <w:pPr>
              <w:pStyle w:val="Prrafodelista"/>
              <w:rPr>
                <w:rFonts w:eastAsia="Times New Roman" w:cstheme="minorHAnsi"/>
                <w:kern w:val="0"/>
                <w:lang w:val="en-US"/>
                <w14:ligatures w14:val="none"/>
              </w:rPr>
            </w:pPr>
          </w:p>
          <w:p w14:paraId="747DF959" w14:textId="10443475" w:rsidR="009A6DE4" w:rsidRDefault="009A6DE4" w:rsidP="009A6DE4">
            <w:pPr>
              <w:pStyle w:val="Prrafodelista"/>
              <w:numPr>
                <w:ilvl w:val="0"/>
                <w:numId w:val="35"/>
              </w:numPr>
              <w:spacing w:after="0" w:line="240" w:lineRule="auto"/>
              <w:textAlignment w:val="baseline"/>
              <w:rPr>
                <w:rFonts w:eastAsia="Times New Roman" w:cstheme="minorHAnsi"/>
                <w:kern w:val="0"/>
                <w:lang w:val="en-US"/>
                <w14:ligatures w14:val="none"/>
              </w:rPr>
            </w:pPr>
            <w:r w:rsidRPr="00B65DD4">
              <w:rPr>
                <w:rFonts w:eastAsia="Times New Roman" w:cstheme="minorHAnsi"/>
                <w:kern w:val="0"/>
                <w:lang w:val="en-US"/>
                <w14:ligatures w14:val="none"/>
              </w:rPr>
              <w:t xml:space="preserve">Leveraging international cooperation and </w:t>
            </w:r>
            <w:r>
              <w:rPr>
                <w:rFonts w:eastAsia="Times New Roman" w:cstheme="minorHAnsi"/>
                <w:kern w:val="0"/>
                <w:lang w:val="en-US"/>
                <w14:ligatures w14:val="none"/>
              </w:rPr>
              <w:t>specialized technical assistance to mobilize sustainable financing in emerging economies.</w:t>
            </w:r>
          </w:p>
          <w:p w14:paraId="1FD3C83D" w14:textId="77777777" w:rsidR="009A6DE4" w:rsidRPr="0021195F" w:rsidRDefault="009A6DE4" w:rsidP="00220F91">
            <w:pPr>
              <w:spacing w:after="0" w:line="240" w:lineRule="auto"/>
              <w:textAlignment w:val="baseline"/>
              <w:rPr>
                <w:rFonts w:eastAsia="Times New Roman" w:cs="Segoe UI"/>
                <w:kern w:val="0"/>
                <w:lang w:val="en-US"/>
                <w14:ligatures w14:val="none"/>
              </w:rPr>
            </w:pPr>
          </w:p>
          <w:p w14:paraId="13135653" w14:textId="315D89A1" w:rsidR="009A6DE4" w:rsidRPr="00215FB7" w:rsidRDefault="009A6DE4" w:rsidP="00215FB7">
            <w:pPr>
              <w:pStyle w:val="Prrafodelista"/>
              <w:numPr>
                <w:ilvl w:val="0"/>
                <w:numId w:val="35"/>
              </w:numPr>
              <w:spacing w:after="0" w:line="240" w:lineRule="auto"/>
              <w:textAlignment w:val="baseline"/>
              <w:rPr>
                <w:rFonts w:eastAsia="Times New Roman" w:cs="Segoe UI"/>
                <w:kern w:val="0"/>
                <w:lang w:val="en-US"/>
                <w14:ligatures w14:val="none"/>
              </w:rPr>
            </w:pPr>
            <w:r>
              <w:rPr>
                <w:rFonts w:eastAsia="Times New Roman" w:cs="Segoe UI"/>
                <w:kern w:val="0"/>
                <w:lang w:val="en-US"/>
                <w14:ligatures w14:val="none"/>
              </w:rPr>
              <w:t>Success Story of Quasi sovereign issuances in LAC</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E374BC" w14:textId="77777777" w:rsidR="009A6DE4" w:rsidRDefault="009A6DE4" w:rsidP="00220F91">
            <w:pPr>
              <w:pStyle w:val="Prrafodelista"/>
              <w:spacing w:after="0" w:line="240" w:lineRule="auto"/>
              <w:ind w:left="360"/>
              <w:textAlignment w:val="baseline"/>
              <w:rPr>
                <w:rFonts w:eastAsia="Times New Roman" w:cs="Segoe UI"/>
                <w:kern w:val="0"/>
                <w:lang w:val="en-US"/>
                <w14:ligatures w14:val="none"/>
              </w:rPr>
            </w:pPr>
          </w:p>
          <w:p w14:paraId="5518CA40" w14:textId="77777777" w:rsidR="00FB67AA" w:rsidRDefault="00FB67AA" w:rsidP="00220F91">
            <w:pPr>
              <w:pStyle w:val="Prrafodelista"/>
              <w:spacing w:after="0" w:line="240" w:lineRule="auto"/>
              <w:ind w:left="360"/>
              <w:textAlignment w:val="baseline"/>
              <w:rPr>
                <w:rFonts w:eastAsia="Times New Roman" w:cs="Segoe UI"/>
                <w:kern w:val="0"/>
                <w:lang w:val="en-US"/>
                <w14:ligatures w14:val="none"/>
              </w:rPr>
            </w:pPr>
          </w:p>
          <w:p w14:paraId="175D9AC1" w14:textId="3BFE13C0" w:rsidR="003C0D13" w:rsidRDefault="00161A7B" w:rsidP="003C0D13">
            <w:pPr>
              <w:pStyle w:val="Prrafodelista"/>
              <w:numPr>
                <w:ilvl w:val="0"/>
                <w:numId w:val="36"/>
              </w:numPr>
              <w:spacing w:after="0" w:line="240" w:lineRule="auto"/>
              <w:textAlignment w:val="baseline"/>
              <w:rPr>
                <w:rFonts w:eastAsia="Times New Roman" w:cs="Segoe UI"/>
                <w:kern w:val="0"/>
                <w:lang w:val="en-US"/>
                <w14:ligatures w14:val="none"/>
              </w:rPr>
            </w:pPr>
            <w:r w:rsidRPr="006E1ED5">
              <w:rPr>
                <w:rFonts w:eastAsia="Times New Roman" w:cs="Segoe UI"/>
                <w:kern w:val="0"/>
                <w:lang w:val="en-US"/>
                <w14:ligatures w14:val="none"/>
              </w:rPr>
              <w:t>Mrs. Maria Paz</w:t>
            </w:r>
            <w:r w:rsidR="000872C3">
              <w:rPr>
                <w:rFonts w:eastAsia="Times New Roman" w:cs="Segoe UI"/>
                <w:kern w:val="0"/>
                <w:lang w:val="en-US"/>
                <w14:ligatures w14:val="none"/>
              </w:rPr>
              <w:t xml:space="preserve"> Uribe</w:t>
            </w:r>
            <w:r w:rsidRPr="006E1ED5">
              <w:rPr>
                <w:rFonts w:eastAsia="Times New Roman" w:cs="Segoe UI"/>
                <w:kern w:val="0"/>
                <w:lang w:val="en-US"/>
                <w14:ligatures w14:val="none"/>
              </w:rPr>
              <w:t>, Principal Executive</w:t>
            </w:r>
            <w:r w:rsidR="006E1ED5" w:rsidRPr="006E1ED5">
              <w:rPr>
                <w:rFonts w:eastAsia="Times New Roman" w:cs="Segoe UI"/>
                <w:kern w:val="0"/>
                <w:lang w:val="en-US"/>
                <w14:ligatures w14:val="none"/>
              </w:rPr>
              <w:t>, F</w:t>
            </w:r>
            <w:r w:rsidR="006E1ED5">
              <w:rPr>
                <w:rFonts w:eastAsia="Times New Roman" w:cs="Segoe UI"/>
                <w:kern w:val="0"/>
                <w:lang w:val="en-US"/>
                <w14:ligatures w14:val="none"/>
              </w:rPr>
              <w:t xml:space="preserve">inancial Policy and International Issuances Division, </w:t>
            </w:r>
            <w:r w:rsidR="003C741D">
              <w:rPr>
                <w:rFonts w:eastAsia="Times New Roman" w:cs="Segoe UI"/>
                <w:kern w:val="0"/>
                <w:lang w:val="en-US"/>
                <w14:ligatures w14:val="none"/>
              </w:rPr>
              <w:t>CAF – Development Bank of Latin America and the Caribbean</w:t>
            </w:r>
          </w:p>
          <w:p w14:paraId="05DE52C8" w14:textId="77777777" w:rsidR="00C3658D" w:rsidRDefault="00C3658D" w:rsidP="00C3658D">
            <w:pPr>
              <w:pStyle w:val="Prrafodelista"/>
              <w:spacing w:after="0" w:line="240" w:lineRule="auto"/>
              <w:ind w:left="360"/>
              <w:textAlignment w:val="baseline"/>
              <w:rPr>
                <w:rFonts w:eastAsia="Times New Roman" w:cs="Segoe UI"/>
                <w:kern w:val="0"/>
                <w:lang w:val="en-US"/>
                <w14:ligatures w14:val="none"/>
              </w:rPr>
            </w:pPr>
          </w:p>
          <w:p w14:paraId="2C7EC89C" w14:textId="679CCA36" w:rsidR="00C3658D" w:rsidRDefault="00C3658D" w:rsidP="003C0D13">
            <w:pPr>
              <w:pStyle w:val="Prrafodelista"/>
              <w:numPr>
                <w:ilvl w:val="0"/>
                <w:numId w:val="36"/>
              </w:numPr>
              <w:spacing w:after="0" w:line="240" w:lineRule="auto"/>
              <w:textAlignment w:val="baseline"/>
              <w:rPr>
                <w:rFonts w:eastAsia="Times New Roman" w:cs="Segoe UI"/>
                <w:kern w:val="0"/>
                <w:lang w:val="en-US"/>
                <w14:ligatures w14:val="none"/>
              </w:rPr>
            </w:pPr>
            <w:r>
              <w:rPr>
                <w:rFonts w:eastAsia="Times New Roman" w:cs="Segoe UI"/>
                <w:kern w:val="0"/>
                <w:lang w:val="en-US"/>
                <w14:ligatures w14:val="none"/>
              </w:rPr>
              <w:t>S&amp;P Global Ratings representative</w:t>
            </w:r>
          </w:p>
          <w:p w14:paraId="3F6CC167" w14:textId="77777777" w:rsidR="00ED64DB" w:rsidRPr="00433FBA" w:rsidRDefault="00ED64DB" w:rsidP="00433FBA">
            <w:pPr>
              <w:rPr>
                <w:rFonts w:eastAsia="Times New Roman" w:cs="Segoe UI"/>
                <w:kern w:val="0"/>
                <w:lang w:val="en-US"/>
                <w14:ligatures w14:val="none"/>
              </w:rPr>
            </w:pPr>
          </w:p>
          <w:p w14:paraId="0878BB8B" w14:textId="77777777" w:rsidR="003C741D" w:rsidRDefault="00C3658D" w:rsidP="003C741D">
            <w:pPr>
              <w:pStyle w:val="Prrafodelista"/>
              <w:numPr>
                <w:ilvl w:val="0"/>
                <w:numId w:val="36"/>
              </w:numPr>
              <w:rPr>
                <w:rFonts w:eastAsia="Times New Roman" w:cs="Segoe UI"/>
                <w:kern w:val="0"/>
                <w:lang w:val="en-US"/>
                <w14:ligatures w14:val="none"/>
              </w:rPr>
            </w:pPr>
            <w:r w:rsidRPr="00C3658D">
              <w:rPr>
                <w:rFonts w:eastAsia="Times New Roman" w:cs="Segoe UI"/>
                <w:kern w:val="0"/>
                <w:lang w:val="en-US"/>
                <w14:ligatures w14:val="none"/>
              </w:rPr>
              <w:t>Mr. Kevin Bender,</w:t>
            </w:r>
            <w:r>
              <w:rPr>
                <w:rFonts w:eastAsia="Times New Roman" w:cs="Segoe UI"/>
                <w:kern w:val="0"/>
                <w:lang w:val="en-US"/>
                <w14:ligatures w14:val="none"/>
              </w:rPr>
              <w:t xml:space="preserve"> </w:t>
            </w:r>
            <w:r w:rsidR="00215FB7">
              <w:rPr>
                <w:rFonts w:eastAsia="Times New Roman" w:cs="Segoe UI"/>
                <w:kern w:val="0"/>
                <w:lang w:val="en-US"/>
                <w14:ligatures w14:val="none"/>
              </w:rPr>
              <w:t>Director Greening Sovereign Debt, The Nature Conservancy</w:t>
            </w:r>
          </w:p>
          <w:p w14:paraId="3CF68F22" w14:textId="77777777" w:rsidR="003C741D" w:rsidRDefault="003C741D" w:rsidP="003C741D">
            <w:pPr>
              <w:pStyle w:val="Prrafodelista"/>
              <w:ind w:left="360"/>
              <w:rPr>
                <w:rFonts w:eastAsia="Times New Roman" w:cs="Segoe UI"/>
                <w:kern w:val="0"/>
                <w:lang w:val="en-US"/>
                <w14:ligatures w14:val="none"/>
              </w:rPr>
            </w:pPr>
          </w:p>
          <w:p w14:paraId="36512460" w14:textId="77777777" w:rsidR="003C741D" w:rsidRDefault="009A6DE4" w:rsidP="003C741D">
            <w:pPr>
              <w:pStyle w:val="Prrafodelista"/>
              <w:numPr>
                <w:ilvl w:val="0"/>
                <w:numId w:val="36"/>
              </w:numPr>
              <w:rPr>
                <w:rFonts w:eastAsia="Times New Roman" w:cs="Segoe UI"/>
                <w:kern w:val="0"/>
                <w:lang w:val="en-US"/>
                <w14:ligatures w14:val="none"/>
              </w:rPr>
            </w:pPr>
            <w:r w:rsidRPr="003C741D">
              <w:rPr>
                <w:rFonts w:eastAsia="Times New Roman" w:cs="Segoe UI"/>
                <w:kern w:val="0"/>
                <w:lang w:val="en-US"/>
                <w14:ligatures w14:val="none"/>
              </w:rPr>
              <w:t>Mr. Randall Hooker, Sustainable Finance Officer for LAC, GGGI</w:t>
            </w:r>
          </w:p>
          <w:p w14:paraId="61ED5535" w14:textId="77777777" w:rsidR="003C741D" w:rsidRPr="003C741D" w:rsidRDefault="003C741D" w:rsidP="003C741D">
            <w:pPr>
              <w:pStyle w:val="Prrafodelista"/>
              <w:rPr>
                <w:rFonts w:eastAsia="Times New Roman" w:cs="Segoe UI"/>
                <w:kern w:val="0"/>
                <w:lang w:val="en-US"/>
                <w14:ligatures w14:val="none"/>
              </w:rPr>
            </w:pPr>
          </w:p>
          <w:p w14:paraId="1203A169" w14:textId="30CCA7E1" w:rsidR="009A6DE4" w:rsidRPr="003C741D" w:rsidRDefault="00ED64DB" w:rsidP="003C741D">
            <w:pPr>
              <w:pStyle w:val="Prrafodelista"/>
              <w:numPr>
                <w:ilvl w:val="0"/>
                <w:numId w:val="36"/>
              </w:numPr>
              <w:rPr>
                <w:rFonts w:eastAsia="Times New Roman" w:cs="Segoe UI"/>
                <w:kern w:val="0"/>
                <w:lang w:val="en-US"/>
                <w14:ligatures w14:val="none"/>
              </w:rPr>
            </w:pPr>
            <w:r w:rsidRPr="003C741D">
              <w:rPr>
                <w:rFonts w:eastAsia="Times New Roman" w:cs="Segoe UI"/>
                <w:kern w:val="0"/>
                <w:lang w:val="en-US"/>
                <w14:ligatures w14:val="none"/>
              </w:rPr>
              <w:t xml:space="preserve">Representative </w:t>
            </w:r>
            <w:r w:rsidR="003C741D" w:rsidRPr="003C741D">
              <w:rPr>
                <w:rFonts w:eastAsia="Times New Roman" w:cs="Segoe UI"/>
                <w:kern w:val="0"/>
                <w:lang w:val="en-US"/>
                <w14:ligatures w14:val="none"/>
              </w:rPr>
              <w:t>from Mexico*</w:t>
            </w:r>
          </w:p>
        </w:tc>
      </w:tr>
      <w:tr w:rsidR="009A6DE4" w:rsidRPr="003C1782" w14:paraId="4B40CA93" w14:textId="77777777" w:rsidTr="00220F91">
        <w:trPr>
          <w:trHeight w:val="440"/>
        </w:trPr>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D5350D3" w14:textId="77777777" w:rsidR="009A6DE4" w:rsidRPr="00951494" w:rsidRDefault="009A6DE4" w:rsidP="00220F91">
            <w:pPr>
              <w:spacing w:after="0" w:line="240" w:lineRule="auto"/>
              <w:jc w:val="center"/>
              <w:textAlignment w:val="baseline"/>
              <w:rPr>
                <w:rFonts w:eastAsia="Times New Roman" w:cs="Segoe UI"/>
                <w:b/>
                <w:bCs/>
                <w:kern w:val="0"/>
                <w14:ligatures w14:val="none"/>
              </w:rPr>
            </w:pPr>
            <w:r w:rsidRPr="00951494">
              <w:rPr>
                <w:rFonts w:eastAsia="Times New Roman" w:cs="Segoe UI"/>
                <w:b/>
                <w:bCs/>
                <w:kern w:val="0"/>
                <w14:ligatures w14:val="none"/>
              </w:rPr>
              <w:t>5 minutes</w:t>
            </w:r>
          </w:p>
        </w:tc>
        <w:tc>
          <w:tcPr>
            <w:tcW w:w="87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20507FBA" w14:textId="2B5A72C4" w:rsidR="009A6DE4" w:rsidRPr="00951494" w:rsidRDefault="009A6DE4" w:rsidP="00220F91">
            <w:pPr>
              <w:spacing w:after="0" w:line="240" w:lineRule="auto"/>
              <w:jc w:val="center"/>
              <w:textAlignment w:val="baseline"/>
              <w:rPr>
                <w:rFonts w:eastAsia="Times New Roman" w:cs="Segoe UI"/>
                <w:b/>
                <w:bCs/>
                <w:kern w:val="0"/>
                <w:lang w:val="en-US"/>
                <w14:ligatures w14:val="none"/>
              </w:rPr>
            </w:pPr>
            <w:r w:rsidRPr="00951494">
              <w:rPr>
                <w:rFonts w:eastAsia="Times New Roman" w:cs="Segoe UI"/>
                <w:b/>
                <w:bCs/>
                <w:kern w:val="0"/>
                <w:lang w:val="en-US"/>
                <w14:ligatures w14:val="none"/>
              </w:rPr>
              <w:t>Wrap up and final remarks by Moderator</w:t>
            </w:r>
          </w:p>
        </w:tc>
      </w:tr>
    </w:tbl>
    <w:p w14:paraId="7FF6303A" w14:textId="77777777" w:rsidR="0047384B" w:rsidRPr="00B27026" w:rsidRDefault="0047384B" w:rsidP="0047384B">
      <w:pPr>
        <w:pStyle w:val="NormalWeb"/>
        <w:jc w:val="both"/>
        <w:rPr>
          <w:rFonts w:ascii="Aptos" w:hAnsi="Aptos"/>
          <w:sz w:val="22"/>
          <w:szCs w:val="22"/>
          <w:lang w:val="en-US"/>
        </w:rPr>
      </w:pPr>
    </w:p>
    <w:p w14:paraId="19DB518D" w14:textId="3C541EF9" w:rsidR="00353F9A" w:rsidRPr="00336ECA" w:rsidRDefault="00353F9A" w:rsidP="00C76299">
      <w:pPr>
        <w:pStyle w:val="NormalWeb"/>
        <w:jc w:val="both"/>
        <w:rPr>
          <w:rFonts w:ascii="Aptos" w:hAnsi="Aptos"/>
          <w:sz w:val="22"/>
          <w:szCs w:val="22"/>
          <w:lang w:val="en-US"/>
        </w:rPr>
      </w:pPr>
    </w:p>
    <w:sectPr w:rsidR="00353F9A" w:rsidRPr="00336EC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94D0A" w14:textId="77777777" w:rsidR="000E2136" w:rsidRDefault="000E2136" w:rsidP="008B0966">
      <w:pPr>
        <w:spacing w:after="0" w:line="240" w:lineRule="auto"/>
      </w:pPr>
      <w:r>
        <w:separator/>
      </w:r>
    </w:p>
  </w:endnote>
  <w:endnote w:type="continuationSeparator" w:id="0">
    <w:p w14:paraId="12475804" w14:textId="77777777" w:rsidR="000E2136" w:rsidRDefault="000E2136" w:rsidP="008B0966">
      <w:pPr>
        <w:spacing w:after="0" w:line="240" w:lineRule="auto"/>
      </w:pPr>
      <w:r>
        <w:continuationSeparator/>
      </w:r>
    </w:p>
  </w:endnote>
  <w:endnote w:type="continuationNotice" w:id="1">
    <w:p w14:paraId="15B9769A" w14:textId="77777777" w:rsidR="000E2136" w:rsidRDefault="000E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93D2" w14:textId="6630A1D8" w:rsidR="008B0966" w:rsidRDefault="008B09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97BE" w14:textId="77777777" w:rsidR="00967C84" w:rsidRDefault="00967C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906" w14:textId="4C655311" w:rsidR="008B0966" w:rsidRDefault="008B09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580E" w14:textId="77777777" w:rsidR="000E2136" w:rsidRDefault="000E2136" w:rsidP="008B0966">
      <w:pPr>
        <w:spacing w:after="0" w:line="240" w:lineRule="auto"/>
      </w:pPr>
      <w:r>
        <w:separator/>
      </w:r>
    </w:p>
  </w:footnote>
  <w:footnote w:type="continuationSeparator" w:id="0">
    <w:p w14:paraId="7AA02927" w14:textId="77777777" w:rsidR="000E2136" w:rsidRDefault="000E2136" w:rsidP="008B0966">
      <w:pPr>
        <w:spacing w:after="0" w:line="240" w:lineRule="auto"/>
      </w:pPr>
      <w:r>
        <w:continuationSeparator/>
      </w:r>
    </w:p>
  </w:footnote>
  <w:footnote w:type="continuationNotice" w:id="1">
    <w:p w14:paraId="592B7838" w14:textId="77777777" w:rsidR="000E2136" w:rsidRDefault="000E2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DDCF" w14:textId="77777777" w:rsidR="00967C84" w:rsidRDefault="00967C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D405" w14:textId="77777777" w:rsidR="00967C84" w:rsidRDefault="00967C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B6BD" w14:textId="77777777" w:rsidR="00967C84" w:rsidRDefault="00967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5CE"/>
    <w:multiLevelType w:val="hybridMultilevel"/>
    <w:tmpl w:val="122210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C75EBC"/>
    <w:multiLevelType w:val="hybridMultilevel"/>
    <w:tmpl w:val="2C66C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E7CDB"/>
    <w:multiLevelType w:val="multilevel"/>
    <w:tmpl w:val="5EE2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11CB0"/>
    <w:multiLevelType w:val="multilevel"/>
    <w:tmpl w:val="9B0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5B77"/>
    <w:multiLevelType w:val="hybridMultilevel"/>
    <w:tmpl w:val="6C847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C076E"/>
    <w:multiLevelType w:val="hybridMultilevel"/>
    <w:tmpl w:val="8C1C7EB4"/>
    <w:lvl w:ilvl="0" w:tplc="4ED6CE7A">
      <w:start w:val="1"/>
      <w:numFmt w:val="decimal"/>
      <w:lvlText w:val="%1."/>
      <w:lvlJc w:val="left"/>
      <w:pPr>
        <w:ind w:left="1020" w:hanging="360"/>
      </w:pPr>
    </w:lvl>
    <w:lvl w:ilvl="1" w:tplc="C0B0BE18">
      <w:start w:val="1"/>
      <w:numFmt w:val="decimal"/>
      <w:lvlText w:val="%2."/>
      <w:lvlJc w:val="left"/>
      <w:pPr>
        <w:ind w:left="1020" w:hanging="360"/>
      </w:pPr>
    </w:lvl>
    <w:lvl w:ilvl="2" w:tplc="4C0836D6">
      <w:start w:val="1"/>
      <w:numFmt w:val="decimal"/>
      <w:lvlText w:val="%3."/>
      <w:lvlJc w:val="left"/>
      <w:pPr>
        <w:ind w:left="1020" w:hanging="360"/>
      </w:pPr>
    </w:lvl>
    <w:lvl w:ilvl="3" w:tplc="04DE1666">
      <w:start w:val="1"/>
      <w:numFmt w:val="decimal"/>
      <w:lvlText w:val="%4."/>
      <w:lvlJc w:val="left"/>
      <w:pPr>
        <w:ind w:left="1020" w:hanging="360"/>
      </w:pPr>
    </w:lvl>
    <w:lvl w:ilvl="4" w:tplc="9D42803E">
      <w:start w:val="1"/>
      <w:numFmt w:val="decimal"/>
      <w:lvlText w:val="%5."/>
      <w:lvlJc w:val="left"/>
      <w:pPr>
        <w:ind w:left="1020" w:hanging="360"/>
      </w:pPr>
    </w:lvl>
    <w:lvl w:ilvl="5" w:tplc="43265CA6">
      <w:start w:val="1"/>
      <w:numFmt w:val="decimal"/>
      <w:lvlText w:val="%6."/>
      <w:lvlJc w:val="left"/>
      <w:pPr>
        <w:ind w:left="1020" w:hanging="360"/>
      </w:pPr>
    </w:lvl>
    <w:lvl w:ilvl="6" w:tplc="C31E0BF4">
      <w:start w:val="1"/>
      <w:numFmt w:val="decimal"/>
      <w:lvlText w:val="%7."/>
      <w:lvlJc w:val="left"/>
      <w:pPr>
        <w:ind w:left="1020" w:hanging="360"/>
      </w:pPr>
    </w:lvl>
    <w:lvl w:ilvl="7" w:tplc="0448BF68">
      <w:start w:val="1"/>
      <w:numFmt w:val="decimal"/>
      <w:lvlText w:val="%8."/>
      <w:lvlJc w:val="left"/>
      <w:pPr>
        <w:ind w:left="1020" w:hanging="360"/>
      </w:pPr>
    </w:lvl>
    <w:lvl w:ilvl="8" w:tplc="A8125D04">
      <w:start w:val="1"/>
      <w:numFmt w:val="decimal"/>
      <w:lvlText w:val="%9."/>
      <w:lvlJc w:val="left"/>
      <w:pPr>
        <w:ind w:left="1020" w:hanging="360"/>
      </w:pPr>
    </w:lvl>
  </w:abstractNum>
  <w:abstractNum w:abstractNumId="6" w15:restartNumberingAfterBreak="0">
    <w:nsid w:val="0DEF362A"/>
    <w:multiLevelType w:val="hybridMultilevel"/>
    <w:tmpl w:val="BEF8A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FA5D36"/>
    <w:multiLevelType w:val="multilevel"/>
    <w:tmpl w:val="4ED21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01CEC"/>
    <w:multiLevelType w:val="multilevel"/>
    <w:tmpl w:val="8FC89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611717"/>
    <w:multiLevelType w:val="multilevel"/>
    <w:tmpl w:val="0B4E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93487"/>
    <w:multiLevelType w:val="hybridMultilevel"/>
    <w:tmpl w:val="72049B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434EA9"/>
    <w:multiLevelType w:val="multilevel"/>
    <w:tmpl w:val="CD5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2342F"/>
    <w:multiLevelType w:val="multilevel"/>
    <w:tmpl w:val="7C94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75CAF"/>
    <w:multiLevelType w:val="multilevel"/>
    <w:tmpl w:val="DF90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02398"/>
    <w:multiLevelType w:val="multilevel"/>
    <w:tmpl w:val="65C2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A3330"/>
    <w:multiLevelType w:val="multilevel"/>
    <w:tmpl w:val="F7C6F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9A58B2"/>
    <w:multiLevelType w:val="multilevel"/>
    <w:tmpl w:val="C81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8699A"/>
    <w:multiLevelType w:val="multilevel"/>
    <w:tmpl w:val="F9C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33CC5"/>
    <w:multiLevelType w:val="multilevel"/>
    <w:tmpl w:val="1830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A84F28"/>
    <w:multiLevelType w:val="multilevel"/>
    <w:tmpl w:val="0FE2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6097C"/>
    <w:multiLevelType w:val="multilevel"/>
    <w:tmpl w:val="1C46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DD60F7"/>
    <w:multiLevelType w:val="multilevel"/>
    <w:tmpl w:val="43D4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43728"/>
    <w:multiLevelType w:val="multilevel"/>
    <w:tmpl w:val="761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847CD"/>
    <w:multiLevelType w:val="multilevel"/>
    <w:tmpl w:val="0E8ED4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F65FF"/>
    <w:multiLevelType w:val="multilevel"/>
    <w:tmpl w:val="87483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2442D"/>
    <w:multiLevelType w:val="multilevel"/>
    <w:tmpl w:val="6698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0447F"/>
    <w:multiLevelType w:val="multilevel"/>
    <w:tmpl w:val="E90A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165393"/>
    <w:multiLevelType w:val="multilevel"/>
    <w:tmpl w:val="894A728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83DEE"/>
    <w:multiLevelType w:val="multilevel"/>
    <w:tmpl w:val="026C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5D79DF"/>
    <w:multiLevelType w:val="multilevel"/>
    <w:tmpl w:val="711E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46FA3"/>
    <w:multiLevelType w:val="multilevel"/>
    <w:tmpl w:val="2C7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55CAD"/>
    <w:multiLevelType w:val="multilevel"/>
    <w:tmpl w:val="32B4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C3522"/>
    <w:multiLevelType w:val="multilevel"/>
    <w:tmpl w:val="2A9A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143D4"/>
    <w:multiLevelType w:val="multilevel"/>
    <w:tmpl w:val="E09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A53A8"/>
    <w:multiLevelType w:val="hybridMultilevel"/>
    <w:tmpl w:val="3C6ECB46"/>
    <w:lvl w:ilvl="0" w:tplc="706C5152">
      <w:numFmt w:val="bullet"/>
      <w:lvlText w:val="•"/>
      <w:lvlJc w:val="left"/>
      <w:pPr>
        <w:ind w:left="720" w:hanging="360"/>
      </w:pPr>
      <w:rPr>
        <w:rFonts w:ascii="Aptos" w:eastAsia="Times New Roman" w:hAnsi="Apto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9503738"/>
    <w:multiLevelType w:val="multilevel"/>
    <w:tmpl w:val="F4C0FE3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949788">
    <w:abstractNumId w:val="2"/>
  </w:num>
  <w:num w:numId="2" w16cid:durableId="282349091">
    <w:abstractNumId w:val="7"/>
  </w:num>
  <w:num w:numId="3" w16cid:durableId="540677739">
    <w:abstractNumId w:val="30"/>
  </w:num>
  <w:num w:numId="4" w16cid:durableId="729157322">
    <w:abstractNumId w:val="19"/>
  </w:num>
  <w:num w:numId="5" w16cid:durableId="56822466">
    <w:abstractNumId w:val="11"/>
  </w:num>
  <w:num w:numId="6" w16cid:durableId="435827950">
    <w:abstractNumId w:val="32"/>
  </w:num>
  <w:num w:numId="7" w16cid:durableId="673842701">
    <w:abstractNumId w:val="25"/>
  </w:num>
  <w:num w:numId="8" w16cid:durableId="671298642">
    <w:abstractNumId w:val="24"/>
  </w:num>
  <w:num w:numId="9" w16cid:durableId="1527013397">
    <w:abstractNumId w:val="33"/>
  </w:num>
  <w:num w:numId="10" w16cid:durableId="1990743500">
    <w:abstractNumId w:val="10"/>
  </w:num>
  <w:num w:numId="11" w16cid:durableId="255017142">
    <w:abstractNumId w:val="18"/>
  </w:num>
  <w:num w:numId="12" w16cid:durableId="1764957791">
    <w:abstractNumId w:val="27"/>
  </w:num>
  <w:num w:numId="13" w16cid:durableId="1777286848">
    <w:abstractNumId w:val="29"/>
  </w:num>
  <w:num w:numId="14" w16cid:durableId="754284739">
    <w:abstractNumId w:val="13"/>
  </w:num>
  <w:num w:numId="15" w16cid:durableId="616372243">
    <w:abstractNumId w:val="8"/>
  </w:num>
  <w:num w:numId="16" w16cid:durableId="1316103282">
    <w:abstractNumId w:val="20"/>
  </w:num>
  <w:num w:numId="17" w16cid:durableId="2050757627">
    <w:abstractNumId w:val="12"/>
  </w:num>
  <w:num w:numId="18" w16cid:durableId="1938052370">
    <w:abstractNumId w:val="15"/>
  </w:num>
  <w:num w:numId="19" w16cid:durableId="506216335">
    <w:abstractNumId w:val="26"/>
  </w:num>
  <w:num w:numId="20" w16cid:durableId="1620187895">
    <w:abstractNumId w:val="3"/>
  </w:num>
  <w:num w:numId="21" w16cid:durableId="1682128266">
    <w:abstractNumId w:val="5"/>
  </w:num>
  <w:num w:numId="22" w16cid:durableId="2021083936">
    <w:abstractNumId w:val="17"/>
  </w:num>
  <w:num w:numId="23" w16cid:durableId="229853504">
    <w:abstractNumId w:val="22"/>
  </w:num>
  <w:num w:numId="24" w16cid:durableId="953749151">
    <w:abstractNumId w:val="21"/>
  </w:num>
  <w:num w:numId="25" w16cid:durableId="1949317330">
    <w:abstractNumId w:val="0"/>
  </w:num>
  <w:num w:numId="26" w16cid:durableId="1125585356">
    <w:abstractNumId w:val="9"/>
  </w:num>
  <w:num w:numId="27" w16cid:durableId="79105839">
    <w:abstractNumId w:val="31"/>
  </w:num>
  <w:num w:numId="28" w16cid:durableId="589434559">
    <w:abstractNumId w:val="14"/>
  </w:num>
  <w:num w:numId="29" w16cid:durableId="726149960">
    <w:abstractNumId w:val="28"/>
  </w:num>
  <w:num w:numId="30" w16cid:durableId="546063021">
    <w:abstractNumId w:val="16"/>
  </w:num>
  <w:num w:numId="31" w16cid:durableId="844830559">
    <w:abstractNumId w:val="23"/>
  </w:num>
  <w:num w:numId="32" w16cid:durableId="2976381">
    <w:abstractNumId w:val="1"/>
  </w:num>
  <w:num w:numId="33" w16cid:durableId="1824589711">
    <w:abstractNumId w:val="34"/>
  </w:num>
  <w:num w:numId="34" w16cid:durableId="964458288">
    <w:abstractNumId w:val="35"/>
  </w:num>
  <w:num w:numId="35" w16cid:durableId="1430540737">
    <w:abstractNumId w:val="6"/>
  </w:num>
  <w:num w:numId="36" w16cid:durableId="1159999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7"/>
    <w:rsid w:val="000025CB"/>
    <w:rsid w:val="0000537A"/>
    <w:rsid w:val="000063C5"/>
    <w:rsid w:val="00007781"/>
    <w:rsid w:val="0001355C"/>
    <w:rsid w:val="00017F02"/>
    <w:rsid w:val="000224C0"/>
    <w:rsid w:val="0002626A"/>
    <w:rsid w:val="000365AE"/>
    <w:rsid w:val="00036B02"/>
    <w:rsid w:val="00055310"/>
    <w:rsid w:val="000558C9"/>
    <w:rsid w:val="00060DB3"/>
    <w:rsid w:val="00063BAC"/>
    <w:rsid w:val="000733C7"/>
    <w:rsid w:val="00080EAB"/>
    <w:rsid w:val="000872C3"/>
    <w:rsid w:val="0009714F"/>
    <w:rsid w:val="000A2059"/>
    <w:rsid w:val="000B066F"/>
    <w:rsid w:val="000B08EF"/>
    <w:rsid w:val="000B25F4"/>
    <w:rsid w:val="000B3186"/>
    <w:rsid w:val="000B6B08"/>
    <w:rsid w:val="000B7D85"/>
    <w:rsid w:val="000D0489"/>
    <w:rsid w:val="000D36B5"/>
    <w:rsid w:val="000D487D"/>
    <w:rsid w:val="000E2136"/>
    <w:rsid w:val="000E593B"/>
    <w:rsid w:val="000F21CB"/>
    <w:rsid w:val="000F2F20"/>
    <w:rsid w:val="00103D83"/>
    <w:rsid w:val="0010488C"/>
    <w:rsid w:val="00105CF3"/>
    <w:rsid w:val="0010610C"/>
    <w:rsid w:val="001073ED"/>
    <w:rsid w:val="001167F9"/>
    <w:rsid w:val="001265D4"/>
    <w:rsid w:val="001355C5"/>
    <w:rsid w:val="001356AB"/>
    <w:rsid w:val="00151B36"/>
    <w:rsid w:val="001529E3"/>
    <w:rsid w:val="00153DFA"/>
    <w:rsid w:val="00161A7B"/>
    <w:rsid w:val="00162C5D"/>
    <w:rsid w:val="00171D0C"/>
    <w:rsid w:val="00177C34"/>
    <w:rsid w:val="00180DFB"/>
    <w:rsid w:val="00195C22"/>
    <w:rsid w:val="001969C5"/>
    <w:rsid w:val="001A09F5"/>
    <w:rsid w:val="001B4B03"/>
    <w:rsid w:val="001B7482"/>
    <w:rsid w:val="001C689F"/>
    <w:rsid w:val="001C76E2"/>
    <w:rsid w:val="001D62D4"/>
    <w:rsid w:val="001F1644"/>
    <w:rsid w:val="001F1683"/>
    <w:rsid w:val="001F4E1C"/>
    <w:rsid w:val="001F5FDC"/>
    <w:rsid w:val="001F76AB"/>
    <w:rsid w:val="00200E8E"/>
    <w:rsid w:val="00202007"/>
    <w:rsid w:val="002044A4"/>
    <w:rsid w:val="00207446"/>
    <w:rsid w:val="00211101"/>
    <w:rsid w:val="0021137E"/>
    <w:rsid w:val="002128E3"/>
    <w:rsid w:val="00215FB7"/>
    <w:rsid w:val="00217DB7"/>
    <w:rsid w:val="0022676D"/>
    <w:rsid w:val="00226DA6"/>
    <w:rsid w:val="00227940"/>
    <w:rsid w:val="00230201"/>
    <w:rsid w:val="00232589"/>
    <w:rsid w:val="002328C0"/>
    <w:rsid w:val="00253AF4"/>
    <w:rsid w:val="002614C7"/>
    <w:rsid w:val="002640DF"/>
    <w:rsid w:val="002B37DA"/>
    <w:rsid w:val="002B3ABD"/>
    <w:rsid w:val="002B52A8"/>
    <w:rsid w:val="002C139C"/>
    <w:rsid w:val="002D5E09"/>
    <w:rsid w:val="002D7C50"/>
    <w:rsid w:val="002E5F62"/>
    <w:rsid w:val="002E70A6"/>
    <w:rsid w:val="002F1918"/>
    <w:rsid w:val="002F6147"/>
    <w:rsid w:val="002F6A9C"/>
    <w:rsid w:val="00302BBC"/>
    <w:rsid w:val="003061FE"/>
    <w:rsid w:val="003111C3"/>
    <w:rsid w:val="00324D3D"/>
    <w:rsid w:val="003315AF"/>
    <w:rsid w:val="00334250"/>
    <w:rsid w:val="00336ECA"/>
    <w:rsid w:val="00353B1B"/>
    <w:rsid w:val="00353F9A"/>
    <w:rsid w:val="00357D50"/>
    <w:rsid w:val="00360B6A"/>
    <w:rsid w:val="00362E27"/>
    <w:rsid w:val="00375A9D"/>
    <w:rsid w:val="00380C98"/>
    <w:rsid w:val="00396906"/>
    <w:rsid w:val="003A147A"/>
    <w:rsid w:val="003A1A41"/>
    <w:rsid w:val="003A76A4"/>
    <w:rsid w:val="003B1D02"/>
    <w:rsid w:val="003B3D73"/>
    <w:rsid w:val="003B3F11"/>
    <w:rsid w:val="003B48DD"/>
    <w:rsid w:val="003B72CB"/>
    <w:rsid w:val="003C0D13"/>
    <w:rsid w:val="003C1782"/>
    <w:rsid w:val="003C741D"/>
    <w:rsid w:val="003D0581"/>
    <w:rsid w:val="003D1023"/>
    <w:rsid w:val="003D1C1B"/>
    <w:rsid w:val="003D45F2"/>
    <w:rsid w:val="003D479E"/>
    <w:rsid w:val="003D7E3C"/>
    <w:rsid w:val="003E3907"/>
    <w:rsid w:val="003F0F61"/>
    <w:rsid w:val="003F69F1"/>
    <w:rsid w:val="00402691"/>
    <w:rsid w:val="00416DA0"/>
    <w:rsid w:val="00423DAF"/>
    <w:rsid w:val="00430C01"/>
    <w:rsid w:val="00433FBA"/>
    <w:rsid w:val="00440CEC"/>
    <w:rsid w:val="0044454A"/>
    <w:rsid w:val="00450730"/>
    <w:rsid w:val="00450838"/>
    <w:rsid w:val="004538E3"/>
    <w:rsid w:val="00467482"/>
    <w:rsid w:val="00470809"/>
    <w:rsid w:val="0047384B"/>
    <w:rsid w:val="00475772"/>
    <w:rsid w:val="00477262"/>
    <w:rsid w:val="00490B02"/>
    <w:rsid w:val="00490B79"/>
    <w:rsid w:val="00491091"/>
    <w:rsid w:val="00491EDF"/>
    <w:rsid w:val="004A0C98"/>
    <w:rsid w:val="004A18A1"/>
    <w:rsid w:val="004B7149"/>
    <w:rsid w:val="004B7D92"/>
    <w:rsid w:val="004C640D"/>
    <w:rsid w:val="004E5135"/>
    <w:rsid w:val="004F60A0"/>
    <w:rsid w:val="00507814"/>
    <w:rsid w:val="00515693"/>
    <w:rsid w:val="00517903"/>
    <w:rsid w:val="00517BCD"/>
    <w:rsid w:val="005211B8"/>
    <w:rsid w:val="005306E4"/>
    <w:rsid w:val="00530FAB"/>
    <w:rsid w:val="005362EC"/>
    <w:rsid w:val="00536D57"/>
    <w:rsid w:val="00553E89"/>
    <w:rsid w:val="00565D2E"/>
    <w:rsid w:val="0056633F"/>
    <w:rsid w:val="00570EC7"/>
    <w:rsid w:val="00573554"/>
    <w:rsid w:val="00581F93"/>
    <w:rsid w:val="00583A84"/>
    <w:rsid w:val="005856F7"/>
    <w:rsid w:val="005A45A1"/>
    <w:rsid w:val="005A7B2A"/>
    <w:rsid w:val="005B508E"/>
    <w:rsid w:val="005B6EAC"/>
    <w:rsid w:val="005B7A5A"/>
    <w:rsid w:val="005C22DD"/>
    <w:rsid w:val="005C5E41"/>
    <w:rsid w:val="005C7274"/>
    <w:rsid w:val="005D747D"/>
    <w:rsid w:val="005E02AD"/>
    <w:rsid w:val="005F0091"/>
    <w:rsid w:val="005F6B27"/>
    <w:rsid w:val="00600883"/>
    <w:rsid w:val="00603266"/>
    <w:rsid w:val="00630CF1"/>
    <w:rsid w:val="006630BA"/>
    <w:rsid w:val="00664FE6"/>
    <w:rsid w:val="00673CB4"/>
    <w:rsid w:val="00692315"/>
    <w:rsid w:val="00693196"/>
    <w:rsid w:val="00695094"/>
    <w:rsid w:val="006B476B"/>
    <w:rsid w:val="006B74F3"/>
    <w:rsid w:val="006C2FED"/>
    <w:rsid w:val="006C6A94"/>
    <w:rsid w:val="006D1559"/>
    <w:rsid w:val="006D421D"/>
    <w:rsid w:val="006D695E"/>
    <w:rsid w:val="006D6A78"/>
    <w:rsid w:val="006E0065"/>
    <w:rsid w:val="006E1ED5"/>
    <w:rsid w:val="006E39AD"/>
    <w:rsid w:val="006F4B80"/>
    <w:rsid w:val="006F7333"/>
    <w:rsid w:val="007022FE"/>
    <w:rsid w:val="00723F85"/>
    <w:rsid w:val="00724940"/>
    <w:rsid w:val="00726BCD"/>
    <w:rsid w:val="00727B33"/>
    <w:rsid w:val="007326A2"/>
    <w:rsid w:val="00733A7A"/>
    <w:rsid w:val="00744E28"/>
    <w:rsid w:val="007504D0"/>
    <w:rsid w:val="0075408C"/>
    <w:rsid w:val="00755A65"/>
    <w:rsid w:val="00766B97"/>
    <w:rsid w:val="00773143"/>
    <w:rsid w:val="007912FB"/>
    <w:rsid w:val="007928C6"/>
    <w:rsid w:val="007931E7"/>
    <w:rsid w:val="007B2A01"/>
    <w:rsid w:val="007B5C3C"/>
    <w:rsid w:val="007C108F"/>
    <w:rsid w:val="007C4D5B"/>
    <w:rsid w:val="007E43B6"/>
    <w:rsid w:val="007F240E"/>
    <w:rsid w:val="007F5312"/>
    <w:rsid w:val="007F5530"/>
    <w:rsid w:val="00821DD9"/>
    <w:rsid w:val="00824AB4"/>
    <w:rsid w:val="00824B66"/>
    <w:rsid w:val="00827ACA"/>
    <w:rsid w:val="00876AFE"/>
    <w:rsid w:val="00880C28"/>
    <w:rsid w:val="00881B16"/>
    <w:rsid w:val="008853EE"/>
    <w:rsid w:val="00895187"/>
    <w:rsid w:val="0089738B"/>
    <w:rsid w:val="008973D8"/>
    <w:rsid w:val="00897CAF"/>
    <w:rsid w:val="008A30E2"/>
    <w:rsid w:val="008A50AD"/>
    <w:rsid w:val="008B0966"/>
    <w:rsid w:val="008C2F50"/>
    <w:rsid w:val="008C5B8B"/>
    <w:rsid w:val="008C79A6"/>
    <w:rsid w:val="008D7F24"/>
    <w:rsid w:val="008E340B"/>
    <w:rsid w:val="008F2555"/>
    <w:rsid w:val="008F269C"/>
    <w:rsid w:val="008F2BE2"/>
    <w:rsid w:val="00901496"/>
    <w:rsid w:val="009064C4"/>
    <w:rsid w:val="00924BE5"/>
    <w:rsid w:val="00924DBA"/>
    <w:rsid w:val="00932DDF"/>
    <w:rsid w:val="0093654E"/>
    <w:rsid w:val="009439DF"/>
    <w:rsid w:val="00954F96"/>
    <w:rsid w:val="009645C5"/>
    <w:rsid w:val="00967C84"/>
    <w:rsid w:val="00973045"/>
    <w:rsid w:val="00994F5D"/>
    <w:rsid w:val="009A0CC0"/>
    <w:rsid w:val="009A0E06"/>
    <w:rsid w:val="009A6DE4"/>
    <w:rsid w:val="009B1B30"/>
    <w:rsid w:val="009B4CD6"/>
    <w:rsid w:val="009C405F"/>
    <w:rsid w:val="009C655E"/>
    <w:rsid w:val="009C6C52"/>
    <w:rsid w:val="009D1F94"/>
    <w:rsid w:val="009D2213"/>
    <w:rsid w:val="009D6EC5"/>
    <w:rsid w:val="009E5755"/>
    <w:rsid w:val="009F74B6"/>
    <w:rsid w:val="00A076BD"/>
    <w:rsid w:val="00A13F4F"/>
    <w:rsid w:val="00A17DB2"/>
    <w:rsid w:val="00A32D61"/>
    <w:rsid w:val="00A35045"/>
    <w:rsid w:val="00A36BAD"/>
    <w:rsid w:val="00A4309C"/>
    <w:rsid w:val="00A4312D"/>
    <w:rsid w:val="00A45B1E"/>
    <w:rsid w:val="00A5562B"/>
    <w:rsid w:val="00A61C98"/>
    <w:rsid w:val="00A63B6B"/>
    <w:rsid w:val="00A72BA9"/>
    <w:rsid w:val="00A76C4D"/>
    <w:rsid w:val="00A8739F"/>
    <w:rsid w:val="00A96F4E"/>
    <w:rsid w:val="00AA1995"/>
    <w:rsid w:val="00AA729A"/>
    <w:rsid w:val="00AB09DD"/>
    <w:rsid w:val="00AB2DF9"/>
    <w:rsid w:val="00AB50F4"/>
    <w:rsid w:val="00AB5308"/>
    <w:rsid w:val="00AB7F66"/>
    <w:rsid w:val="00AC430B"/>
    <w:rsid w:val="00AC44C0"/>
    <w:rsid w:val="00AD18D2"/>
    <w:rsid w:val="00AD55AC"/>
    <w:rsid w:val="00AD75C4"/>
    <w:rsid w:val="00AE006E"/>
    <w:rsid w:val="00AE0FE5"/>
    <w:rsid w:val="00AE5851"/>
    <w:rsid w:val="00AE605E"/>
    <w:rsid w:val="00B02D97"/>
    <w:rsid w:val="00B13676"/>
    <w:rsid w:val="00B27026"/>
    <w:rsid w:val="00B3037C"/>
    <w:rsid w:val="00B5146B"/>
    <w:rsid w:val="00B60B39"/>
    <w:rsid w:val="00B63564"/>
    <w:rsid w:val="00B649B1"/>
    <w:rsid w:val="00B65FC1"/>
    <w:rsid w:val="00B703A7"/>
    <w:rsid w:val="00B83289"/>
    <w:rsid w:val="00B87A03"/>
    <w:rsid w:val="00B915EE"/>
    <w:rsid w:val="00B95DED"/>
    <w:rsid w:val="00BA0174"/>
    <w:rsid w:val="00BA3979"/>
    <w:rsid w:val="00BA4909"/>
    <w:rsid w:val="00BA527E"/>
    <w:rsid w:val="00BA5ED7"/>
    <w:rsid w:val="00BB775D"/>
    <w:rsid w:val="00BD0FB2"/>
    <w:rsid w:val="00BD2431"/>
    <w:rsid w:val="00C030F3"/>
    <w:rsid w:val="00C0465E"/>
    <w:rsid w:val="00C06F97"/>
    <w:rsid w:val="00C0713D"/>
    <w:rsid w:val="00C1198D"/>
    <w:rsid w:val="00C11F0C"/>
    <w:rsid w:val="00C121EC"/>
    <w:rsid w:val="00C14488"/>
    <w:rsid w:val="00C21EF4"/>
    <w:rsid w:val="00C26827"/>
    <w:rsid w:val="00C31B95"/>
    <w:rsid w:val="00C3658D"/>
    <w:rsid w:val="00C42028"/>
    <w:rsid w:val="00C42A79"/>
    <w:rsid w:val="00C528E1"/>
    <w:rsid w:val="00C60E93"/>
    <w:rsid w:val="00C621F5"/>
    <w:rsid w:val="00C646E6"/>
    <w:rsid w:val="00C76299"/>
    <w:rsid w:val="00C82C08"/>
    <w:rsid w:val="00C8499D"/>
    <w:rsid w:val="00C85A58"/>
    <w:rsid w:val="00C908F4"/>
    <w:rsid w:val="00C91A48"/>
    <w:rsid w:val="00C92698"/>
    <w:rsid w:val="00CA20AF"/>
    <w:rsid w:val="00CA71E1"/>
    <w:rsid w:val="00CA7B69"/>
    <w:rsid w:val="00CB0BE6"/>
    <w:rsid w:val="00CB1154"/>
    <w:rsid w:val="00CB1639"/>
    <w:rsid w:val="00CC23D2"/>
    <w:rsid w:val="00CD3B26"/>
    <w:rsid w:val="00CE0320"/>
    <w:rsid w:val="00CE5EEF"/>
    <w:rsid w:val="00CF5491"/>
    <w:rsid w:val="00CF7821"/>
    <w:rsid w:val="00D07FD1"/>
    <w:rsid w:val="00D12493"/>
    <w:rsid w:val="00D21784"/>
    <w:rsid w:val="00D223F6"/>
    <w:rsid w:val="00D3771B"/>
    <w:rsid w:val="00D403BF"/>
    <w:rsid w:val="00D411ED"/>
    <w:rsid w:val="00D41BF7"/>
    <w:rsid w:val="00D45F87"/>
    <w:rsid w:val="00D461A6"/>
    <w:rsid w:val="00D46575"/>
    <w:rsid w:val="00D55A18"/>
    <w:rsid w:val="00D5752F"/>
    <w:rsid w:val="00D57845"/>
    <w:rsid w:val="00D6411C"/>
    <w:rsid w:val="00D6549E"/>
    <w:rsid w:val="00D70E0E"/>
    <w:rsid w:val="00D7302B"/>
    <w:rsid w:val="00D8395A"/>
    <w:rsid w:val="00D870A8"/>
    <w:rsid w:val="00DA034A"/>
    <w:rsid w:val="00DB0E1E"/>
    <w:rsid w:val="00DB55F3"/>
    <w:rsid w:val="00DB6C1C"/>
    <w:rsid w:val="00DB7788"/>
    <w:rsid w:val="00DC5477"/>
    <w:rsid w:val="00DC5869"/>
    <w:rsid w:val="00DC77ED"/>
    <w:rsid w:val="00DC7A68"/>
    <w:rsid w:val="00DC7F5A"/>
    <w:rsid w:val="00DD0E6C"/>
    <w:rsid w:val="00DE2024"/>
    <w:rsid w:val="00DF127A"/>
    <w:rsid w:val="00DF223B"/>
    <w:rsid w:val="00E0032A"/>
    <w:rsid w:val="00E06D65"/>
    <w:rsid w:val="00E14461"/>
    <w:rsid w:val="00E164E7"/>
    <w:rsid w:val="00E16BC6"/>
    <w:rsid w:val="00E17195"/>
    <w:rsid w:val="00E249D8"/>
    <w:rsid w:val="00E345FC"/>
    <w:rsid w:val="00E34BAB"/>
    <w:rsid w:val="00E60F1E"/>
    <w:rsid w:val="00E70972"/>
    <w:rsid w:val="00E86D3F"/>
    <w:rsid w:val="00E92B70"/>
    <w:rsid w:val="00EA4AB4"/>
    <w:rsid w:val="00EB0591"/>
    <w:rsid w:val="00EB062C"/>
    <w:rsid w:val="00ED64DB"/>
    <w:rsid w:val="00EE30A9"/>
    <w:rsid w:val="00EE46CC"/>
    <w:rsid w:val="00EF3E28"/>
    <w:rsid w:val="00F032D6"/>
    <w:rsid w:val="00F040FF"/>
    <w:rsid w:val="00F0731A"/>
    <w:rsid w:val="00F1693C"/>
    <w:rsid w:val="00F17781"/>
    <w:rsid w:val="00F272B4"/>
    <w:rsid w:val="00F31545"/>
    <w:rsid w:val="00F43BBD"/>
    <w:rsid w:val="00F524F1"/>
    <w:rsid w:val="00F52A59"/>
    <w:rsid w:val="00F57674"/>
    <w:rsid w:val="00F7272B"/>
    <w:rsid w:val="00F72F6F"/>
    <w:rsid w:val="00F76C73"/>
    <w:rsid w:val="00F811BE"/>
    <w:rsid w:val="00F87700"/>
    <w:rsid w:val="00F9367D"/>
    <w:rsid w:val="00F96EDF"/>
    <w:rsid w:val="00FA13FE"/>
    <w:rsid w:val="00FA4565"/>
    <w:rsid w:val="00FB2A5B"/>
    <w:rsid w:val="00FB3FEC"/>
    <w:rsid w:val="00FB4C2A"/>
    <w:rsid w:val="00FB67AA"/>
    <w:rsid w:val="00FC39F1"/>
    <w:rsid w:val="00FC45FA"/>
    <w:rsid w:val="00FC488F"/>
    <w:rsid w:val="00FC65B4"/>
    <w:rsid w:val="00FD2546"/>
    <w:rsid w:val="00FE3EFC"/>
    <w:rsid w:val="00FE57F2"/>
    <w:rsid w:val="00FF7A24"/>
    <w:rsid w:val="041059EA"/>
    <w:rsid w:val="06211FF3"/>
    <w:rsid w:val="2E11EFAE"/>
    <w:rsid w:val="51C7EF1C"/>
    <w:rsid w:val="6C74307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DE90"/>
  <w15:chartTrackingRefBased/>
  <w15:docId w15:val="{E8933C07-CBD2-40D0-BF04-E8BCCCCC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E390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3907"/>
    <w:rPr>
      <w:rFonts w:ascii="Times New Roman" w:eastAsia="Times New Roman" w:hAnsi="Times New Roman" w:cs="Times New Roman"/>
      <w:b/>
      <w:bCs/>
      <w:kern w:val="0"/>
      <w:sz w:val="27"/>
      <w:szCs w:val="27"/>
      <w:lang w:eastAsia="es-CO"/>
      <w14:ligatures w14:val="none"/>
    </w:rPr>
  </w:style>
  <w:style w:type="paragraph" w:styleId="NormalWeb">
    <w:name w:val="Normal (Web)"/>
    <w:basedOn w:val="Normal"/>
    <w:uiPriority w:val="99"/>
    <w:unhideWhenUsed/>
    <w:rsid w:val="003E390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3E3907"/>
    <w:rPr>
      <w:b/>
      <w:bCs/>
    </w:rPr>
  </w:style>
  <w:style w:type="character" w:styleId="nfasis">
    <w:name w:val="Emphasis"/>
    <w:basedOn w:val="Fuentedeprrafopredeter"/>
    <w:uiPriority w:val="20"/>
    <w:qFormat/>
    <w:rsid w:val="00924BE5"/>
    <w:rPr>
      <w:i/>
      <w:iCs/>
    </w:rPr>
  </w:style>
  <w:style w:type="paragraph" w:styleId="Piedepgina">
    <w:name w:val="footer"/>
    <w:basedOn w:val="Normal"/>
    <w:link w:val="PiedepginaCar"/>
    <w:uiPriority w:val="99"/>
    <w:unhideWhenUsed/>
    <w:rsid w:val="008B09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0966"/>
  </w:style>
  <w:style w:type="paragraph" w:styleId="Revisin">
    <w:name w:val="Revision"/>
    <w:hidden/>
    <w:uiPriority w:val="99"/>
    <w:semiHidden/>
    <w:rsid w:val="008B0966"/>
    <w:pPr>
      <w:spacing w:after="0" w:line="240" w:lineRule="auto"/>
    </w:pPr>
  </w:style>
  <w:style w:type="character" w:styleId="Refdecomentario">
    <w:name w:val="annotation reference"/>
    <w:basedOn w:val="Fuentedeprrafopredeter"/>
    <w:uiPriority w:val="99"/>
    <w:semiHidden/>
    <w:unhideWhenUsed/>
    <w:rsid w:val="008B0966"/>
    <w:rPr>
      <w:sz w:val="16"/>
      <w:szCs w:val="16"/>
    </w:rPr>
  </w:style>
  <w:style w:type="paragraph" w:styleId="Textocomentario">
    <w:name w:val="annotation text"/>
    <w:basedOn w:val="Normal"/>
    <w:link w:val="TextocomentarioCar"/>
    <w:uiPriority w:val="99"/>
    <w:unhideWhenUsed/>
    <w:rsid w:val="008B0966"/>
    <w:pPr>
      <w:spacing w:line="240" w:lineRule="auto"/>
    </w:pPr>
    <w:rPr>
      <w:sz w:val="20"/>
      <w:szCs w:val="20"/>
    </w:rPr>
  </w:style>
  <w:style w:type="character" w:customStyle="1" w:styleId="TextocomentarioCar">
    <w:name w:val="Texto comentario Car"/>
    <w:basedOn w:val="Fuentedeprrafopredeter"/>
    <w:link w:val="Textocomentario"/>
    <w:uiPriority w:val="99"/>
    <w:rsid w:val="008B0966"/>
    <w:rPr>
      <w:sz w:val="20"/>
      <w:szCs w:val="20"/>
    </w:rPr>
  </w:style>
  <w:style w:type="paragraph" w:styleId="Asuntodelcomentario">
    <w:name w:val="annotation subject"/>
    <w:basedOn w:val="Textocomentario"/>
    <w:next w:val="Textocomentario"/>
    <w:link w:val="AsuntodelcomentarioCar"/>
    <w:uiPriority w:val="99"/>
    <w:semiHidden/>
    <w:unhideWhenUsed/>
    <w:rsid w:val="008B0966"/>
    <w:rPr>
      <w:b/>
      <w:bCs/>
    </w:rPr>
  </w:style>
  <w:style w:type="character" w:customStyle="1" w:styleId="AsuntodelcomentarioCar">
    <w:name w:val="Asunto del comentario Car"/>
    <w:basedOn w:val="TextocomentarioCar"/>
    <w:link w:val="Asuntodelcomentario"/>
    <w:uiPriority w:val="99"/>
    <w:semiHidden/>
    <w:rsid w:val="008B0966"/>
    <w:rPr>
      <w:b/>
      <w:bCs/>
      <w:sz w:val="20"/>
      <w:szCs w:val="20"/>
    </w:rPr>
  </w:style>
  <w:style w:type="character" w:customStyle="1" w:styleId="cf01">
    <w:name w:val="cf01"/>
    <w:basedOn w:val="Fuentedeprrafopredeter"/>
    <w:rsid w:val="00FE57F2"/>
    <w:rPr>
      <w:rFonts w:ascii="Segoe UI" w:hAnsi="Segoe UI" w:cs="Segoe UI" w:hint="default"/>
      <w:sz w:val="18"/>
      <w:szCs w:val="18"/>
    </w:rPr>
  </w:style>
  <w:style w:type="paragraph" w:styleId="Encabezado">
    <w:name w:val="header"/>
    <w:basedOn w:val="Normal"/>
    <w:link w:val="EncabezadoCar"/>
    <w:uiPriority w:val="99"/>
    <w:unhideWhenUsed/>
    <w:rsid w:val="00334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4250"/>
  </w:style>
  <w:style w:type="paragraph" w:styleId="Prrafodelista">
    <w:name w:val="List Paragraph"/>
    <w:basedOn w:val="Normal"/>
    <w:uiPriority w:val="34"/>
    <w:qFormat/>
    <w:rsid w:val="001969C5"/>
    <w:pPr>
      <w:ind w:left="720"/>
      <w:contextualSpacing/>
    </w:pPr>
  </w:style>
  <w:style w:type="character" w:styleId="Hipervnculo">
    <w:name w:val="Hyperlink"/>
    <w:basedOn w:val="Fuentedeprrafopredeter"/>
    <w:uiPriority w:val="99"/>
    <w:unhideWhenUsed/>
    <w:rsid w:val="00517903"/>
    <w:rPr>
      <w:color w:val="0000FF"/>
      <w:u w:val="single"/>
    </w:rPr>
  </w:style>
  <w:style w:type="character" w:styleId="Mencinsinresolver">
    <w:name w:val="Unresolved Mention"/>
    <w:basedOn w:val="Fuentedeprrafopredeter"/>
    <w:uiPriority w:val="99"/>
    <w:semiHidden/>
    <w:unhideWhenUsed/>
    <w:rsid w:val="003B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3744">
      <w:bodyDiv w:val="1"/>
      <w:marLeft w:val="0"/>
      <w:marRight w:val="0"/>
      <w:marTop w:val="0"/>
      <w:marBottom w:val="0"/>
      <w:divBdr>
        <w:top w:val="none" w:sz="0" w:space="0" w:color="auto"/>
        <w:left w:val="none" w:sz="0" w:space="0" w:color="auto"/>
        <w:bottom w:val="none" w:sz="0" w:space="0" w:color="auto"/>
        <w:right w:val="none" w:sz="0" w:space="0" w:color="auto"/>
      </w:divBdr>
    </w:div>
    <w:div w:id="521364233">
      <w:bodyDiv w:val="1"/>
      <w:marLeft w:val="0"/>
      <w:marRight w:val="0"/>
      <w:marTop w:val="0"/>
      <w:marBottom w:val="0"/>
      <w:divBdr>
        <w:top w:val="none" w:sz="0" w:space="0" w:color="auto"/>
        <w:left w:val="none" w:sz="0" w:space="0" w:color="auto"/>
        <w:bottom w:val="none" w:sz="0" w:space="0" w:color="auto"/>
        <w:right w:val="none" w:sz="0" w:space="0" w:color="auto"/>
      </w:divBdr>
    </w:div>
    <w:div w:id="528766123">
      <w:bodyDiv w:val="1"/>
      <w:marLeft w:val="0"/>
      <w:marRight w:val="0"/>
      <w:marTop w:val="0"/>
      <w:marBottom w:val="0"/>
      <w:divBdr>
        <w:top w:val="none" w:sz="0" w:space="0" w:color="auto"/>
        <w:left w:val="none" w:sz="0" w:space="0" w:color="auto"/>
        <w:bottom w:val="none" w:sz="0" w:space="0" w:color="auto"/>
        <w:right w:val="none" w:sz="0" w:space="0" w:color="auto"/>
      </w:divBdr>
    </w:div>
    <w:div w:id="648290550">
      <w:bodyDiv w:val="1"/>
      <w:marLeft w:val="0"/>
      <w:marRight w:val="0"/>
      <w:marTop w:val="0"/>
      <w:marBottom w:val="0"/>
      <w:divBdr>
        <w:top w:val="none" w:sz="0" w:space="0" w:color="auto"/>
        <w:left w:val="none" w:sz="0" w:space="0" w:color="auto"/>
        <w:bottom w:val="none" w:sz="0" w:space="0" w:color="auto"/>
        <w:right w:val="none" w:sz="0" w:space="0" w:color="auto"/>
      </w:divBdr>
    </w:div>
    <w:div w:id="714889414">
      <w:bodyDiv w:val="1"/>
      <w:marLeft w:val="0"/>
      <w:marRight w:val="0"/>
      <w:marTop w:val="0"/>
      <w:marBottom w:val="0"/>
      <w:divBdr>
        <w:top w:val="none" w:sz="0" w:space="0" w:color="auto"/>
        <w:left w:val="none" w:sz="0" w:space="0" w:color="auto"/>
        <w:bottom w:val="none" w:sz="0" w:space="0" w:color="auto"/>
        <w:right w:val="none" w:sz="0" w:space="0" w:color="auto"/>
      </w:divBdr>
    </w:div>
    <w:div w:id="745415305">
      <w:bodyDiv w:val="1"/>
      <w:marLeft w:val="0"/>
      <w:marRight w:val="0"/>
      <w:marTop w:val="0"/>
      <w:marBottom w:val="0"/>
      <w:divBdr>
        <w:top w:val="none" w:sz="0" w:space="0" w:color="auto"/>
        <w:left w:val="none" w:sz="0" w:space="0" w:color="auto"/>
        <w:bottom w:val="none" w:sz="0" w:space="0" w:color="auto"/>
        <w:right w:val="none" w:sz="0" w:space="0" w:color="auto"/>
      </w:divBdr>
    </w:div>
    <w:div w:id="785730880">
      <w:bodyDiv w:val="1"/>
      <w:marLeft w:val="0"/>
      <w:marRight w:val="0"/>
      <w:marTop w:val="0"/>
      <w:marBottom w:val="0"/>
      <w:divBdr>
        <w:top w:val="none" w:sz="0" w:space="0" w:color="auto"/>
        <w:left w:val="none" w:sz="0" w:space="0" w:color="auto"/>
        <w:bottom w:val="none" w:sz="0" w:space="0" w:color="auto"/>
        <w:right w:val="none" w:sz="0" w:space="0" w:color="auto"/>
      </w:divBdr>
    </w:div>
    <w:div w:id="820345785">
      <w:bodyDiv w:val="1"/>
      <w:marLeft w:val="0"/>
      <w:marRight w:val="0"/>
      <w:marTop w:val="0"/>
      <w:marBottom w:val="0"/>
      <w:divBdr>
        <w:top w:val="none" w:sz="0" w:space="0" w:color="auto"/>
        <w:left w:val="none" w:sz="0" w:space="0" w:color="auto"/>
        <w:bottom w:val="none" w:sz="0" w:space="0" w:color="auto"/>
        <w:right w:val="none" w:sz="0" w:space="0" w:color="auto"/>
      </w:divBdr>
    </w:div>
    <w:div w:id="845050990">
      <w:bodyDiv w:val="1"/>
      <w:marLeft w:val="0"/>
      <w:marRight w:val="0"/>
      <w:marTop w:val="0"/>
      <w:marBottom w:val="0"/>
      <w:divBdr>
        <w:top w:val="none" w:sz="0" w:space="0" w:color="auto"/>
        <w:left w:val="none" w:sz="0" w:space="0" w:color="auto"/>
        <w:bottom w:val="none" w:sz="0" w:space="0" w:color="auto"/>
        <w:right w:val="none" w:sz="0" w:space="0" w:color="auto"/>
      </w:divBdr>
    </w:div>
    <w:div w:id="1197159928">
      <w:bodyDiv w:val="1"/>
      <w:marLeft w:val="0"/>
      <w:marRight w:val="0"/>
      <w:marTop w:val="0"/>
      <w:marBottom w:val="0"/>
      <w:divBdr>
        <w:top w:val="none" w:sz="0" w:space="0" w:color="auto"/>
        <w:left w:val="none" w:sz="0" w:space="0" w:color="auto"/>
        <w:bottom w:val="none" w:sz="0" w:space="0" w:color="auto"/>
        <w:right w:val="none" w:sz="0" w:space="0" w:color="auto"/>
      </w:divBdr>
    </w:div>
    <w:div w:id="1278678901">
      <w:bodyDiv w:val="1"/>
      <w:marLeft w:val="0"/>
      <w:marRight w:val="0"/>
      <w:marTop w:val="0"/>
      <w:marBottom w:val="0"/>
      <w:divBdr>
        <w:top w:val="none" w:sz="0" w:space="0" w:color="auto"/>
        <w:left w:val="none" w:sz="0" w:space="0" w:color="auto"/>
        <w:bottom w:val="none" w:sz="0" w:space="0" w:color="auto"/>
        <w:right w:val="none" w:sz="0" w:space="0" w:color="auto"/>
      </w:divBdr>
    </w:div>
    <w:div w:id="1366491208">
      <w:bodyDiv w:val="1"/>
      <w:marLeft w:val="0"/>
      <w:marRight w:val="0"/>
      <w:marTop w:val="0"/>
      <w:marBottom w:val="0"/>
      <w:divBdr>
        <w:top w:val="none" w:sz="0" w:space="0" w:color="auto"/>
        <w:left w:val="none" w:sz="0" w:space="0" w:color="auto"/>
        <w:bottom w:val="none" w:sz="0" w:space="0" w:color="auto"/>
        <w:right w:val="none" w:sz="0" w:space="0" w:color="auto"/>
      </w:divBdr>
    </w:div>
    <w:div w:id="1407536778">
      <w:bodyDiv w:val="1"/>
      <w:marLeft w:val="0"/>
      <w:marRight w:val="0"/>
      <w:marTop w:val="0"/>
      <w:marBottom w:val="0"/>
      <w:divBdr>
        <w:top w:val="none" w:sz="0" w:space="0" w:color="auto"/>
        <w:left w:val="none" w:sz="0" w:space="0" w:color="auto"/>
        <w:bottom w:val="none" w:sz="0" w:space="0" w:color="auto"/>
        <w:right w:val="none" w:sz="0" w:space="0" w:color="auto"/>
      </w:divBdr>
    </w:div>
    <w:div w:id="1496997590">
      <w:bodyDiv w:val="1"/>
      <w:marLeft w:val="0"/>
      <w:marRight w:val="0"/>
      <w:marTop w:val="0"/>
      <w:marBottom w:val="0"/>
      <w:divBdr>
        <w:top w:val="none" w:sz="0" w:space="0" w:color="auto"/>
        <w:left w:val="none" w:sz="0" w:space="0" w:color="auto"/>
        <w:bottom w:val="none" w:sz="0" w:space="0" w:color="auto"/>
        <w:right w:val="none" w:sz="0" w:space="0" w:color="auto"/>
      </w:divBdr>
    </w:div>
    <w:div w:id="1601642624">
      <w:bodyDiv w:val="1"/>
      <w:marLeft w:val="0"/>
      <w:marRight w:val="0"/>
      <w:marTop w:val="0"/>
      <w:marBottom w:val="0"/>
      <w:divBdr>
        <w:top w:val="none" w:sz="0" w:space="0" w:color="auto"/>
        <w:left w:val="none" w:sz="0" w:space="0" w:color="auto"/>
        <w:bottom w:val="none" w:sz="0" w:space="0" w:color="auto"/>
        <w:right w:val="none" w:sz="0" w:space="0" w:color="auto"/>
      </w:divBdr>
    </w:div>
    <w:div w:id="1728724783">
      <w:bodyDiv w:val="1"/>
      <w:marLeft w:val="0"/>
      <w:marRight w:val="0"/>
      <w:marTop w:val="0"/>
      <w:marBottom w:val="0"/>
      <w:divBdr>
        <w:top w:val="none" w:sz="0" w:space="0" w:color="auto"/>
        <w:left w:val="none" w:sz="0" w:space="0" w:color="auto"/>
        <w:bottom w:val="none" w:sz="0" w:space="0" w:color="auto"/>
        <w:right w:val="none" w:sz="0" w:space="0" w:color="auto"/>
      </w:divBdr>
    </w:div>
    <w:div w:id="1794711079">
      <w:bodyDiv w:val="1"/>
      <w:marLeft w:val="0"/>
      <w:marRight w:val="0"/>
      <w:marTop w:val="0"/>
      <w:marBottom w:val="0"/>
      <w:divBdr>
        <w:top w:val="none" w:sz="0" w:space="0" w:color="auto"/>
        <w:left w:val="none" w:sz="0" w:space="0" w:color="auto"/>
        <w:bottom w:val="none" w:sz="0" w:space="0" w:color="auto"/>
        <w:right w:val="none" w:sz="0" w:space="0" w:color="auto"/>
      </w:divBdr>
    </w:div>
    <w:div w:id="2037268806">
      <w:bodyDiv w:val="1"/>
      <w:marLeft w:val="0"/>
      <w:marRight w:val="0"/>
      <w:marTop w:val="0"/>
      <w:marBottom w:val="0"/>
      <w:divBdr>
        <w:top w:val="none" w:sz="0" w:space="0" w:color="auto"/>
        <w:left w:val="none" w:sz="0" w:space="0" w:color="auto"/>
        <w:bottom w:val="none" w:sz="0" w:space="0" w:color="auto"/>
        <w:right w:val="none" w:sz="0" w:space="0" w:color="auto"/>
      </w:divBdr>
    </w:div>
    <w:div w:id="21330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af.com/en/currently/events/unlocking-local-potential-how-quasi-sovereigns-and-thematic-bonds-can-power-sustainable-development-in-la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6be32e-04be-4800-b3c3-45d325a12f23" xsi:nil="true"/>
    <lcf76f155ced4ddcb4097134ff3c332f xmlns="63455e5c-6d3c-4581-a490-933389f2f4f0">
      <Terms xmlns="http://schemas.microsoft.com/office/infopath/2007/PartnerControls"/>
    </lcf76f155ced4ddcb4097134ff3c332f>
    <SharedWithUsers xmlns="246be32e-04be-4800-b3c3-45d325a12f2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4506FDF44B894FA30B3CAB0199F7C6" ma:contentTypeVersion="15" ma:contentTypeDescription="Crear nuevo documento." ma:contentTypeScope="" ma:versionID="39a5464f08e21c17e2465bec93d71595">
  <xsd:schema xmlns:xsd="http://www.w3.org/2001/XMLSchema" xmlns:xs="http://www.w3.org/2001/XMLSchema" xmlns:p="http://schemas.microsoft.com/office/2006/metadata/properties" xmlns:ns2="63455e5c-6d3c-4581-a490-933389f2f4f0" xmlns:ns3="246be32e-04be-4800-b3c3-45d325a12f23" targetNamespace="http://schemas.microsoft.com/office/2006/metadata/properties" ma:root="true" ma:fieldsID="51078279f812835e3b136bdd7d48479e" ns2:_="" ns3:_="">
    <xsd:import namespace="63455e5c-6d3c-4581-a490-933389f2f4f0"/>
    <xsd:import namespace="246be32e-04be-4800-b3c3-45d325a12f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e5c-6d3c-4581-a490-933389f2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be32e-04be-4800-b3c3-45d325a12f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70331c-231a-4c88-8512-69c3fee5b46b}" ma:internalName="TaxCatchAll" ma:showField="CatchAllData" ma:web="246be32e-04be-4800-b3c3-45d325a12f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44E9A-5550-487A-96E7-1D831ED8AB92}">
  <ds:schemaRefs>
    <ds:schemaRef ds:uri="http://schemas.microsoft.com/office/2006/metadata/properties"/>
    <ds:schemaRef ds:uri="http://schemas.microsoft.com/office/infopath/2007/PartnerControls"/>
    <ds:schemaRef ds:uri="246be32e-04be-4800-b3c3-45d325a12f23"/>
    <ds:schemaRef ds:uri="63455e5c-6d3c-4581-a490-933389f2f4f0"/>
  </ds:schemaRefs>
</ds:datastoreItem>
</file>

<file path=customXml/itemProps2.xml><?xml version="1.0" encoding="utf-8"?>
<ds:datastoreItem xmlns:ds="http://schemas.openxmlformats.org/officeDocument/2006/customXml" ds:itemID="{FD042B99-27BC-40C4-9D84-8156E996027E}">
  <ds:schemaRefs>
    <ds:schemaRef ds:uri="http://schemas.microsoft.com/sharepoint/v3/contenttype/forms"/>
  </ds:schemaRefs>
</ds:datastoreItem>
</file>

<file path=customXml/itemProps3.xml><?xml version="1.0" encoding="utf-8"?>
<ds:datastoreItem xmlns:ds="http://schemas.openxmlformats.org/officeDocument/2006/customXml" ds:itemID="{04BF72AE-9A25-4D5F-AD5B-29680CA6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e5c-6d3c-4581-a490-933389f2f4f0"/>
    <ds:schemaRef ds:uri="246be32e-04be-4800-b3c3-45d325a1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1014</Words>
  <Characters>5580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 MARIA PAZ</dc:creator>
  <cp:keywords/>
  <dc:description/>
  <cp:lastModifiedBy>SCAFF, PATRICIO</cp:lastModifiedBy>
  <cp:revision>32</cp:revision>
  <dcterms:created xsi:type="dcterms:W3CDTF">2025-03-28T20:00:00Z</dcterms:created>
  <dcterms:modified xsi:type="dcterms:W3CDTF">2025-04-24T01:14:00Z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ffdb1f7f-e65b-4cc7-8aae-2019fe7c8d38</vt:lpwstr>
  </property>
  <property fmtid="{D5CDD505-2E9C-101B-9397-08002B2CF9AE}" pid="3" name="ClassificationContentMarkingFooterShapeIds">
    <vt:lpwstr>13b0ddf9</vt:lpwstr>
  </property>
  <property fmtid="{D5CDD505-2E9C-101B-9397-08002B2CF9AE}" pid="4" name="ClassificationContentMarkingFooterFontProps">
    <vt:lpwstr>#ff8c00,10,Calibri</vt:lpwstr>
  </property>
  <property fmtid="{D5CDD505-2E9C-101B-9397-08002B2CF9AE}" pid="5" name="ClassificationContentMarkingFooterText">
    <vt:lpwstr>Classification : Confidential</vt:lpwstr>
  </property>
  <property fmtid="{D5CDD505-2E9C-101B-9397-08002B2CF9AE}" pid="6" name="MSIP_Label_a6b9b49c-3903-4fd4-a343-18d82815dc85_Enabled">
    <vt:lpwstr>true</vt:lpwstr>
  </property>
  <property fmtid="{D5CDD505-2E9C-101B-9397-08002B2CF9AE}" pid="7" name="MSIP_Label_a6b9b49c-3903-4fd4-a343-18d82815dc85_SetDate">
    <vt:lpwstr>2024-12-18T02:17:48Z</vt:lpwstr>
  </property>
  <property fmtid="{D5CDD505-2E9C-101B-9397-08002B2CF9AE}" pid="8" name="MSIP_Label_a6b9b49c-3903-4fd4-a343-18d82815dc85_Method">
    <vt:lpwstr>Privileged</vt:lpwstr>
  </property>
  <property fmtid="{D5CDD505-2E9C-101B-9397-08002B2CF9AE}" pid="9" name="MSIP_Label_a6b9b49c-3903-4fd4-a343-18d82815dc85_Name">
    <vt:lpwstr>Intra and extragroup use</vt:lpwstr>
  </property>
  <property fmtid="{D5CDD505-2E9C-101B-9397-08002B2CF9AE}" pid="10" name="MSIP_Label_a6b9b49c-3903-4fd4-a343-18d82815dc85_SiteId">
    <vt:lpwstr>614f9c25-bffa-42c7-86d8-964101f55fa2</vt:lpwstr>
  </property>
  <property fmtid="{D5CDD505-2E9C-101B-9397-08002B2CF9AE}" pid="11" name="MSIP_Label_a6b9b49c-3903-4fd4-a343-18d82815dc85_ActionId">
    <vt:lpwstr>2ad0ccb8-254c-42b3-b0cc-d1b88c825e81</vt:lpwstr>
  </property>
  <property fmtid="{D5CDD505-2E9C-101B-9397-08002B2CF9AE}" pid="12" name="MSIP_Label_a6b9b49c-3903-4fd4-a343-18d82815dc85_ContentBits">
    <vt:lpwstr>2</vt:lpwstr>
  </property>
  <property fmtid="{D5CDD505-2E9C-101B-9397-08002B2CF9AE}" pid="13" name="ContentTypeId">
    <vt:lpwstr>0x010100C24506FDF44B894FA30B3CAB0199F7C6</vt:lpwstr>
  </property>
  <property fmtid="{D5CDD505-2E9C-101B-9397-08002B2CF9AE}" pid="14" name="MSIP_Label_9c03f50a-64db-4deb-af9d-b71d9c93bcbc_Enabled">
    <vt:lpwstr>true</vt:lpwstr>
  </property>
  <property fmtid="{D5CDD505-2E9C-101B-9397-08002B2CF9AE}" pid="15" name="MSIP_Label_9c03f50a-64db-4deb-af9d-b71d9c93bcbc_SetDate">
    <vt:lpwstr>2025-01-02T20:26:46Z</vt:lpwstr>
  </property>
  <property fmtid="{D5CDD505-2E9C-101B-9397-08002B2CF9AE}" pid="16" name="MSIP_Label_9c03f50a-64db-4deb-af9d-b71d9c93bcbc_Method">
    <vt:lpwstr>Standard</vt:lpwstr>
  </property>
  <property fmtid="{D5CDD505-2E9C-101B-9397-08002B2CF9AE}" pid="17" name="MSIP_Label_9c03f50a-64db-4deb-af9d-b71d9c93bcbc_Name">
    <vt:lpwstr>IN1970NO02</vt:lpwstr>
  </property>
  <property fmtid="{D5CDD505-2E9C-101B-9397-08002B2CF9AE}" pid="18" name="MSIP_Label_9c03f50a-64db-4deb-af9d-b71d9c93bcbc_SiteId">
    <vt:lpwstr>863e38af-aa47-45c7-a525-20465c654244</vt:lpwstr>
  </property>
  <property fmtid="{D5CDD505-2E9C-101B-9397-08002B2CF9AE}" pid="19" name="MSIP_Label_9c03f50a-64db-4deb-af9d-b71d9c93bcbc_ActionId">
    <vt:lpwstr>152a90aa-bd4c-47a9-b8b5-0e806a89d55e</vt:lpwstr>
  </property>
  <property fmtid="{D5CDD505-2E9C-101B-9397-08002B2CF9AE}" pid="20" name="MSIP_Label_9c03f50a-64db-4deb-af9d-b71d9c93bcbc_ContentBits">
    <vt:lpwstr>0</vt:lpwstr>
  </property>
  <property fmtid="{D5CDD505-2E9C-101B-9397-08002B2CF9AE}" pid="21" name="Order">
    <vt:r8>5963800</vt:r8>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