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93FE" w14:textId="77777777" w:rsidR="0062186F" w:rsidRDefault="0062186F" w:rsidP="0062186F">
      <w:pPr>
        <w:pStyle w:val="Heading2"/>
        <w:spacing w:after="240"/>
        <w:jc w:val="center"/>
        <w:rPr>
          <w:rFonts w:ascii="Cambria" w:hAnsi="Cambria"/>
          <w:b/>
          <w:bCs/>
        </w:rPr>
      </w:pPr>
      <w:r w:rsidRPr="000A0585">
        <w:rPr>
          <w:rFonts w:ascii="Cambria" w:hAnsi="Cambria"/>
          <w:b/>
          <w:bCs/>
        </w:rPr>
        <w:t>Financing Policy Brief Series – Recommendations for FfD4</w:t>
      </w:r>
    </w:p>
    <w:p w14:paraId="7567463F" w14:textId="3296520B" w:rsidR="0062186F" w:rsidRDefault="0062186F" w:rsidP="0062186F">
      <w:pPr>
        <w:pStyle w:val="Heading1"/>
        <w:spacing w:before="40" w:after="240"/>
        <w:jc w:val="center"/>
        <w:rPr>
          <w:rFonts w:asciiTheme="minorHAnsi" w:hAnsiTheme="minorHAnsi" w:cstheme="minorHAnsi"/>
          <w:b/>
          <w:bCs/>
          <w:sz w:val="24"/>
          <w:szCs w:val="24"/>
        </w:rPr>
      </w:pPr>
      <w:r>
        <w:rPr>
          <w:rFonts w:asciiTheme="minorHAnsi" w:hAnsiTheme="minorHAnsi" w:cstheme="minorHAnsi"/>
          <w:b/>
          <w:bCs/>
          <w:sz w:val="24"/>
          <w:szCs w:val="24"/>
        </w:rPr>
        <w:t xml:space="preserve">Addressing </w:t>
      </w:r>
      <w:r w:rsidR="007345E5">
        <w:rPr>
          <w:rFonts w:asciiTheme="minorHAnsi" w:hAnsiTheme="minorHAnsi" w:cstheme="minorHAnsi"/>
          <w:b/>
          <w:bCs/>
          <w:sz w:val="24"/>
          <w:szCs w:val="24"/>
        </w:rPr>
        <w:t>public debt sustainability concerns</w:t>
      </w:r>
    </w:p>
    <w:p w14:paraId="15FEC9F6" w14:textId="77777777" w:rsidR="0062186F" w:rsidRDefault="0062186F" w:rsidP="0062186F">
      <w:pPr>
        <w:spacing w:after="0" w:line="240" w:lineRule="auto"/>
        <w:jc w:val="center"/>
      </w:pPr>
      <w:r>
        <w:t>Prepared by the Economic and Social Commission of Asia and the Pacific (ESCAP)</w:t>
      </w:r>
    </w:p>
    <w:p w14:paraId="6A96AB92" w14:textId="77777777" w:rsidR="0062186F" w:rsidRDefault="0062186F" w:rsidP="0062186F">
      <w:pPr>
        <w:spacing w:after="0" w:line="240" w:lineRule="auto"/>
        <w:jc w:val="center"/>
      </w:pPr>
      <w:r>
        <w:t>Bangkok, Thailand</w:t>
      </w:r>
    </w:p>
    <w:p w14:paraId="3140EBA3" w14:textId="4A7138E9" w:rsidR="0062186F" w:rsidRPr="007845CE" w:rsidRDefault="0062186F" w:rsidP="0062186F">
      <w:pPr>
        <w:spacing w:after="0" w:line="240" w:lineRule="auto"/>
        <w:jc w:val="center"/>
        <w:rPr>
          <w:sz w:val="20"/>
          <w:szCs w:val="20"/>
        </w:rPr>
      </w:pPr>
      <w:r>
        <w:rPr>
          <w:sz w:val="20"/>
          <w:szCs w:val="20"/>
        </w:rPr>
        <w:t>1</w:t>
      </w:r>
      <w:r w:rsidR="006767AC">
        <w:rPr>
          <w:sz w:val="20"/>
          <w:szCs w:val="20"/>
        </w:rPr>
        <w:t>8</w:t>
      </w:r>
      <w:r w:rsidRPr="007845CE">
        <w:rPr>
          <w:sz w:val="20"/>
          <w:szCs w:val="20"/>
        </w:rPr>
        <w:t xml:space="preserve"> October 2024</w:t>
      </w:r>
    </w:p>
    <w:p w14:paraId="7AB17D5E" w14:textId="77777777" w:rsidR="008E4B85" w:rsidRDefault="008E4B85" w:rsidP="00174569">
      <w:pPr>
        <w:pStyle w:val="Heading2"/>
        <w:rPr>
          <w:sz w:val="24"/>
          <w:szCs w:val="24"/>
          <w:u w:val="single"/>
        </w:rPr>
      </w:pPr>
    </w:p>
    <w:p w14:paraId="252CDE8F" w14:textId="5E1F81FE" w:rsidR="00717B21" w:rsidRPr="00880F68" w:rsidRDefault="00717B21" w:rsidP="006767AC">
      <w:pPr>
        <w:pStyle w:val="Heading2"/>
        <w:spacing w:before="0" w:after="240" w:line="240" w:lineRule="auto"/>
        <w:jc w:val="both"/>
        <w:rPr>
          <w:rFonts w:asciiTheme="minorHAnsi" w:hAnsiTheme="minorHAnsi" w:cstheme="minorHAnsi"/>
          <w:b/>
          <w:bCs/>
          <w:sz w:val="24"/>
          <w:szCs w:val="24"/>
          <w:u w:val="single"/>
        </w:rPr>
      </w:pPr>
      <w:r w:rsidRPr="00880F68">
        <w:rPr>
          <w:rFonts w:asciiTheme="minorHAnsi" w:hAnsiTheme="minorHAnsi" w:cstheme="minorHAnsi"/>
          <w:b/>
          <w:bCs/>
          <w:sz w:val="24"/>
          <w:szCs w:val="24"/>
          <w:u w:val="single"/>
        </w:rPr>
        <w:t>Key messages</w:t>
      </w:r>
      <w:r w:rsidRPr="00880F68">
        <w:rPr>
          <w:b/>
          <w:bCs/>
          <w:sz w:val="24"/>
          <w:szCs w:val="24"/>
          <w:u w:val="single"/>
        </w:rPr>
        <w:t xml:space="preserve"> </w:t>
      </w:r>
      <w:r w:rsidRPr="00880F68">
        <w:rPr>
          <w:rFonts w:asciiTheme="minorHAnsi" w:hAnsiTheme="minorHAnsi" w:cstheme="minorHAnsi"/>
          <w:b/>
          <w:bCs/>
          <w:sz w:val="24"/>
          <w:szCs w:val="24"/>
          <w:u w:val="single"/>
        </w:rPr>
        <w:t>(</w:t>
      </w:r>
      <w:r w:rsidR="00554CE9">
        <w:rPr>
          <w:rFonts w:asciiTheme="minorHAnsi" w:hAnsiTheme="minorHAnsi" w:cstheme="minorHAnsi"/>
          <w:b/>
          <w:bCs/>
          <w:sz w:val="24"/>
          <w:szCs w:val="24"/>
          <w:u w:val="single"/>
        </w:rPr>
        <w:t xml:space="preserve">max. </w:t>
      </w:r>
      <w:r w:rsidRPr="00880F68">
        <w:rPr>
          <w:rFonts w:asciiTheme="minorHAnsi" w:hAnsiTheme="minorHAnsi" w:cstheme="minorHAnsi"/>
          <w:b/>
          <w:bCs/>
          <w:sz w:val="24"/>
          <w:szCs w:val="24"/>
          <w:u w:val="single"/>
        </w:rPr>
        <w:t>200 words)</w:t>
      </w:r>
    </w:p>
    <w:p w14:paraId="5D58F8FC" w14:textId="1549D6B0" w:rsidR="00F26C34" w:rsidRPr="00944B8A" w:rsidRDefault="00BF7E5E" w:rsidP="006767AC">
      <w:pPr>
        <w:pStyle w:val="ListParagraph"/>
        <w:numPr>
          <w:ilvl w:val="0"/>
          <w:numId w:val="13"/>
        </w:numPr>
        <w:spacing w:after="240" w:line="240" w:lineRule="auto"/>
        <w:jc w:val="both"/>
        <w:rPr>
          <w:rFonts w:cstheme="minorHAnsi"/>
        </w:rPr>
      </w:pPr>
      <w:r>
        <w:rPr>
          <w:rFonts w:cstheme="minorHAnsi"/>
        </w:rPr>
        <w:t xml:space="preserve">Public debt distress </w:t>
      </w:r>
      <w:r w:rsidR="00944B8A">
        <w:rPr>
          <w:rFonts w:cstheme="minorHAnsi"/>
        </w:rPr>
        <w:t>has</w:t>
      </w:r>
      <w:r>
        <w:t xml:space="preserve"> three distinct </w:t>
      </w:r>
      <w:r w:rsidR="00944B8A">
        <w:t>underlying causes</w:t>
      </w:r>
      <w:r w:rsidR="00F97E02">
        <w:t xml:space="preserve">. One, </w:t>
      </w:r>
      <w:r w:rsidR="009B3E9B">
        <w:rPr>
          <w:rFonts w:cstheme="minorHAnsi"/>
          <w:lang w:val="en-GB"/>
        </w:rPr>
        <w:t>economic and fiscal mismanagement</w:t>
      </w:r>
      <w:r w:rsidR="00F97E02">
        <w:rPr>
          <w:rFonts w:cstheme="minorHAnsi"/>
          <w:lang w:val="en-GB"/>
        </w:rPr>
        <w:t>; two,</w:t>
      </w:r>
      <w:r w:rsidR="009B3E9B">
        <w:rPr>
          <w:rFonts w:cstheme="minorHAnsi"/>
          <w:lang w:val="en-GB"/>
        </w:rPr>
        <w:t xml:space="preserve"> </w:t>
      </w:r>
      <w:r w:rsidR="00A5769C">
        <w:rPr>
          <w:rFonts w:cstheme="minorHAnsi"/>
          <w:lang w:val="en-GB"/>
        </w:rPr>
        <w:t xml:space="preserve">temporary liquidity </w:t>
      </w:r>
      <w:r w:rsidR="00307FD3">
        <w:rPr>
          <w:rFonts w:cstheme="minorHAnsi"/>
          <w:lang w:val="en-GB"/>
        </w:rPr>
        <w:t xml:space="preserve">shocks; and three, </w:t>
      </w:r>
      <w:r w:rsidR="009B3E9B">
        <w:rPr>
          <w:rFonts w:cstheme="minorHAnsi"/>
          <w:lang w:val="en-GB"/>
        </w:rPr>
        <w:t xml:space="preserve">development </w:t>
      </w:r>
      <w:r w:rsidR="004A3EE6">
        <w:rPr>
          <w:rFonts w:cstheme="minorHAnsi"/>
          <w:lang w:val="en-GB"/>
        </w:rPr>
        <w:t>deficits</w:t>
      </w:r>
      <w:r w:rsidR="00307FD3">
        <w:rPr>
          <w:rFonts w:cstheme="minorHAnsi"/>
          <w:lang w:val="en-GB"/>
        </w:rPr>
        <w:t xml:space="preserve"> and</w:t>
      </w:r>
      <w:r w:rsidR="009B3E9B">
        <w:rPr>
          <w:rFonts w:cstheme="minorHAnsi"/>
          <w:lang w:val="en-GB"/>
        </w:rPr>
        <w:t xml:space="preserve"> climate financing </w:t>
      </w:r>
      <w:r w:rsidR="00307FD3">
        <w:rPr>
          <w:rFonts w:cstheme="minorHAnsi"/>
          <w:lang w:val="en-GB"/>
        </w:rPr>
        <w:t>gaps</w:t>
      </w:r>
      <w:r w:rsidR="004A3EE6">
        <w:rPr>
          <w:rFonts w:cstheme="minorHAnsi"/>
          <w:lang w:val="en-GB"/>
        </w:rPr>
        <w:t>. These should be e</w:t>
      </w:r>
      <w:r>
        <w:t>valuated and addressed differently.</w:t>
      </w:r>
    </w:p>
    <w:p w14:paraId="4DB06667" w14:textId="24385589" w:rsidR="00944B8A" w:rsidRPr="00884C03" w:rsidRDefault="00D66E37" w:rsidP="006767AC">
      <w:pPr>
        <w:pStyle w:val="ListParagraph"/>
        <w:numPr>
          <w:ilvl w:val="0"/>
          <w:numId w:val="13"/>
        </w:numPr>
        <w:spacing w:after="240" w:line="240" w:lineRule="auto"/>
        <w:jc w:val="both"/>
        <w:rPr>
          <w:rFonts w:cstheme="minorHAnsi"/>
        </w:rPr>
      </w:pPr>
      <w:r>
        <w:t>T</w:t>
      </w:r>
      <w:r w:rsidRPr="00BB7A26">
        <w:t>raditional</w:t>
      </w:r>
      <w:r>
        <w:t xml:space="preserve"> bilateral</w:t>
      </w:r>
      <w:r w:rsidRPr="00BB7A26">
        <w:t xml:space="preserve">, non-traditional </w:t>
      </w:r>
      <w:r>
        <w:t xml:space="preserve">bilateral </w:t>
      </w:r>
      <w:r w:rsidRPr="00BB7A26">
        <w:t>and commercial creditors</w:t>
      </w:r>
      <w:r>
        <w:t xml:space="preserve"> have </w:t>
      </w:r>
      <w:r w:rsidR="00D745E9">
        <w:t xml:space="preserve">shared but </w:t>
      </w:r>
      <w:r>
        <w:t xml:space="preserve">differentiated </w:t>
      </w:r>
      <w:r w:rsidR="00D745E9">
        <w:t>responsibilities</w:t>
      </w:r>
      <w:r w:rsidR="00393E38">
        <w:t xml:space="preserve"> regarding</w:t>
      </w:r>
      <w:r w:rsidR="00D745E9">
        <w:t xml:space="preserve"> sovereign debt restructuring, with the first</w:t>
      </w:r>
      <w:r w:rsidR="009F417D">
        <w:t xml:space="preserve"> bearing a responsibility of development aid, the second motivated </w:t>
      </w:r>
      <w:r w:rsidR="00884C03">
        <w:t>by the spirit of development cooperation and the third without such commitments.</w:t>
      </w:r>
    </w:p>
    <w:p w14:paraId="213F0F10" w14:textId="2FAB69D8" w:rsidR="00884C03" w:rsidRPr="002B6682" w:rsidRDefault="00884C03" w:rsidP="006767AC">
      <w:pPr>
        <w:pStyle w:val="ListParagraph"/>
        <w:numPr>
          <w:ilvl w:val="0"/>
          <w:numId w:val="13"/>
        </w:numPr>
        <w:spacing w:after="240" w:line="240" w:lineRule="auto"/>
        <w:jc w:val="both"/>
        <w:rPr>
          <w:rFonts w:cstheme="minorHAnsi"/>
        </w:rPr>
      </w:pPr>
      <w:r>
        <w:t xml:space="preserve">Proper resolution of sovereign debt distress </w:t>
      </w:r>
      <w:r w:rsidR="00B0769B">
        <w:t>should be guided by the above two principle</w:t>
      </w:r>
      <w:r w:rsidR="006767AC">
        <w:t>s</w:t>
      </w:r>
      <w:r w:rsidR="001172EA">
        <w:t xml:space="preserve"> and </w:t>
      </w:r>
      <w:r w:rsidR="00B0769B">
        <w:t>realit</w:t>
      </w:r>
      <w:r w:rsidR="00681CEB">
        <w:t>ies</w:t>
      </w:r>
      <w:r w:rsidR="00940CF7">
        <w:t>, while taking a pragmatic second-b</w:t>
      </w:r>
      <w:r w:rsidR="000E5753">
        <w:t>e</w:t>
      </w:r>
      <w:r w:rsidR="00940CF7">
        <w:t xml:space="preserve">st approach </w:t>
      </w:r>
      <w:r w:rsidR="000E5753">
        <w:t xml:space="preserve">in strengthening </w:t>
      </w:r>
      <w:r w:rsidR="00940CF7">
        <w:t xml:space="preserve">existing progress in </w:t>
      </w:r>
      <w:r w:rsidR="002B6682" w:rsidRPr="00AD01F7">
        <w:rPr>
          <w:rFonts w:cstheme="minorHAnsi"/>
          <w:lang w:val="en-GB"/>
        </w:rPr>
        <w:t>collective action clauses (CACs)</w:t>
      </w:r>
      <w:r w:rsidR="002B6682">
        <w:rPr>
          <w:rFonts w:cstheme="minorHAnsi"/>
          <w:lang w:val="en-GB"/>
        </w:rPr>
        <w:t xml:space="preserve"> and “</w:t>
      </w:r>
      <w:r w:rsidR="002B6682" w:rsidRPr="008D2AA0">
        <w:rPr>
          <w:rFonts w:cstheme="minorHAnsi"/>
          <w:lang w:val="en-GB"/>
        </w:rPr>
        <w:t>anti-vulture</w:t>
      </w:r>
      <w:r w:rsidR="002B6682">
        <w:rPr>
          <w:rFonts w:cstheme="minorHAnsi"/>
          <w:lang w:val="en-GB"/>
        </w:rPr>
        <w:t>” legislation.</w:t>
      </w:r>
    </w:p>
    <w:p w14:paraId="7027AB05" w14:textId="3C128EB6" w:rsidR="002B6682" w:rsidRDefault="00F86BE3" w:rsidP="006767AC">
      <w:pPr>
        <w:pStyle w:val="ListParagraph"/>
        <w:numPr>
          <w:ilvl w:val="0"/>
          <w:numId w:val="13"/>
        </w:numPr>
        <w:spacing w:after="240" w:line="240" w:lineRule="auto"/>
        <w:jc w:val="both"/>
        <w:rPr>
          <w:rFonts w:cstheme="minorHAnsi"/>
        </w:rPr>
      </w:pPr>
      <w:r>
        <w:rPr>
          <w:rFonts w:cstheme="minorHAnsi"/>
        </w:rPr>
        <w:t xml:space="preserve">Developing countries, as debtors, should be encouraged to ensure </w:t>
      </w:r>
      <w:r w:rsidRPr="00F86BE3">
        <w:rPr>
          <w:rFonts w:cstheme="minorHAnsi"/>
        </w:rPr>
        <w:t xml:space="preserve">accountable and productive use of borrowed funds and </w:t>
      </w:r>
      <w:r w:rsidR="005E7974">
        <w:rPr>
          <w:rFonts w:cstheme="minorHAnsi"/>
        </w:rPr>
        <w:t>strengthen</w:t>
      </w:r>
      <w:r w:rsidR="00AA7516">
        <w:rPr>
          <w:rFonts w:cstheme="minorHAnsi"/>
        </w:rPr>
        <w:t xml:space="preserve"> their effort towards</w:t>
      </w:r>
      <w:r w:rsidR="005E7974">
        <w:rPr>
          <w:rFonts w:cstheme="minorHAnsi"/>
        </w:rPr>
        <w:t xml:space="preserve"> </w:t>
      </w:r>
      <w:r w:rsidRPr="00F86BE3">
        <w:rPr>
          <w:rFonts w:cstheme="minorHAnsi"/>
        </w:rPr>
        <w:t>effective public debt management</w:t>
      </w:r>
      <w:r w:rsidR="005E7974">
        <w:rPr>
          <w:rFonts w:cstheme="minorHAnsi"/>
        </w:rPr>
        <w:t>.</w:t>
      </w:r>
    </w:p>
    <w:p w14:paraId="54E533DE" w14:textId="77777777" w:rsidR="006E0E82" w:rsidRPr="004867A1" w:rsidRDefault="006E0E82" w:rsidP="006767AC">
      <w:pPr>
        <w:pStyle w:val="ListParagraph"/>
        <w:spacing w:after="240" w:line="240" w:lineRule="auto"/>
        <w:ind w:left="0"/>
        <w:jc w:val="both"/>
        <w:rPr>
          <w:rFonts w:cs="Cordia New"/>
          <w:szCs w:val="28"/>
          <w:lang w:bidi="th-TH"/>
        </w:rPr>
      </w:pPr>
    </w:p>
    <w:p w14:paraId="2ED04F34" w14:textId="09CB6567" w:rsidR="00186460" w:rsidRPr="005E5258" w:rsidRDefault="00186460" w:rsidP="006767AC">
      <w:pPr>
        <w:pStyle w:val="Heading2"/>
        <w:spacing w:before="0" w:after="240" w:line="240" w:lineRule="auto"/>
        <w:jc w:val="both"/>
        <w:rPr>
          <w:rFonts w:asciiTheme="minorHAnsi" w:hAnsiTheme="minorHAnsi" w:cstheme="minorHAnsi"/>
          <w:b/>
          <w:bCs/>
          <w:sz w:val="24"/>
          <w:szCs w:val="24"/>
          <w:u w:val="single"/>
        </w:rPr>
      </w:pPr>
      <w:r w:rsidRPr="005E5258">
        <w:rPr>
          <w:rFonts w:asciiTheme="minorHAnsi" w:hAnsiTheme="minorHAnsi" w:cstheme="minorHAnsi"/>
          <w:b/>
          <w:bCs/>
          <w:sz w:val="24"/>
          <w:szCs w:val="24"/>
          <w:u w:val="single"/>
        </w:rPr>
        <w:t>Problem statement (</w:t>
      </w:r>
      <w:r w:rsidR="00554CE9">
        <w:rPr>
          <w:rFonts w:asciiTheme="minorHAnsi" w:hAnsiTheme="minorHAnsi" w:cstheme="minorHAnsi"/>
          <w:b/>
          <w:bCs/>
          <w:sz w:val="24"/>
          <w:szCs w:val="24"/>
          <w:u w:val="single"/>
        </w:rPr>
        <w:t xml:space="preserve">max. </w:t>
      </w:r>
      <w:r w:rsidRPr="005E5258">
        <w:rPr>
          <w:rFonts w:asciiTheme="minorHAnsi" w:hAnsiTheme="minorHAnsi" w:cstheme="minorHAnsi"/>
          <w:b/>
          <w:bCs/>
          <w:sz w:val="24"/>
          <w:szCs w:val="24"/>
          <w:u w:val="single"/>
        </w:rPr>
        <w:t>500 words)</w:t>
      </w:r>
    </w:p>
    <w:p w14:paraId="08BF6A56" w14:textId="4F20F17C" w:rsidR="00BA634F" w:rsidRPr="004867A1" w:rsidRDefault="00F25A8C" w:rsidP="006767AC">
      <w:pPr>
        <w:spacing w:after="240" w:line="240" w:lineRule="auto"/>
        <w:jc w:val="both"/>
        <w:rPr>
          <w:lang w:val="en-GB" w:bidi="th-TH"/>
        </w:rPr>
      </w:pPr>
      <w:r w:rsidRPr="005E5258">
        <w:rPr>
          <w:b/>
          <w:bCs/>
          <w:i/>
          <w:iCs/>
        </w:rPr>
        <w:t>General trends and challenges</w:t>
      </w:r>
    </w:p>
    <w:p w14:paraId="6763E69A" w14:textId="41D81EC3" w:rsidR="00284E6A" w:rsidRDefault="00284E6A" w:rsidP="006767AC">
      <w:pPr>
        <w:pStyle w:val="ListParagraph"/>
        <w:spacing w:after="240" w:line="240" w:lineRule="auto"/>
        <w:ind w:left="0"/>
        <w:jc w:val="both"/>
        <w:rPr>
          <w:lang w:val="en-GB"/>
        </w:rPr>
      </w:pPr>
      <w:r>
        <w:rPr>
          <w:lang w:val="en-GB"/>
        </w:rPr>
        <w:t>G</w:t>
      </w:r>
      <w:r w:rsidRPr="00F25A8C">
        <w:rPr>
          <w:lang w:val="en-GB"/>
        </w:rPr>
        <w:t xml:space="preserve">ross public debt levels have followed a U-shaped path in developing Asia and the Pacific </w:t>
      </w:r>
      <w:r>
        <w:rPr>
          <w:lang w:val="en-GB"/>
        </w:rPr>
        <w:t xml:space="preserve">since 2000, with average public-debt-to GDP ratios approaching the high levels observed in the immediate aftermath of the Asian Financial Crisis of 1997 (figure </w:t>
      </w:r>
      <w:r w:rsidR="002165DA">
        <w:rPr>
          <w:lang w:val="en-GB"/>
        </w:rPr>
        <w:t>1</w:t>
      </w:r>
      <w:r>
        <w:rPr>
          <w:lang w:val="en-GB"/>
        </w:rPr>
        <w:t xml:space="preserve">). </w:t>
      </w:r>
      <w:r w:rsidRPr="00F25A8C">
        <w:rPr>
          <w:lang w:val="en-GB"/>
        </w:rPr>
        <w:t>Primary fiscal deficits have been the main source of public debt level increase during this period</w:t>
      </w:r>
      <w:r>
        <w:rPr>
          <w:lang w:val="en-GB"/>
        </w:rPr>
        <w:t xml:space="preserve">, followed by </w:t>
      </w:r>
      <w:r w:rsidRPr="00F25A8C">
        <w:rPr>
          <w:lang w:val="en-GB"/>
        </w:rPr>
        <w:t>exchange rate depreciation of local currencies</w:t>
      </w:r>
      <w:r>
        <w:rPr>
          <w:lang w:val="en-GB"/>
        </w:rPr>
        <w:t xml:space="preserve"> which had much greater impact on </w:t>
      </w:r>
      <w:r w:rsidRPr="00F25A8C">
        <w:rPr>
          <w:lang w:val="en-GB"/>
        </w:rPr>
        <w:t xml:space="preserve">small and vulnerable economies. Growing share of commercial </w:t>
      </w:r>
      <w:r>
        <w:rPr>
          <w:lang w:val="en-GB"/>
        </w:rPr>
        <w:t xml:space="preserve">and private lending, which on average demand 2.5 times the interest rate compared to official creditors and concessional finance, </w:t>
      </w:r>
      <w:r w:rsidRPr="00F25A8C">
        <w:rPr>
          <w:lang w:val="en-GB"/>
        </w:rPr>
        <w:t>have further compounded the challenge</w:t>
      </w:r>
      <w:r>
        <w:rPr>
          <w:lang w:val="en-GB"/>
        </w:rPr>
        <w:t xml:space="preserve"> resulting in growing</w:t>
      </w:r>
      <w:r w:rsidRPr="00F25A8C">
        <w:rPr>
          <w:lang w:val="en-GB"/>
        </w:rPr>
        <w:t xml:space="preserve"> debt service burdens and steady decrease in maturities of external public debt. </w:t>
      </w:r>
    </w:p>
    <w:p w14:paraId="05DF75F0" w14:textId="77777777" w:rsidR="006767AC" w:rsidRDefault="006767AC" w:rsidP="006767AC">
      <w:pPr>
        <w:pStyle w:val="ListParagraph"/>
        <w:spacing w:after="240" w:line="240" w:lineRule="auto"/>
        <w:ind w:left="0"/>
        <w:jc w:val="both"/>
        <w:rPr>
          <w:lang w:val="en-GB"/>
        </w:rPr>
      </w:pPr>
    </w:p>
    <w:p w14:paraId="02376A1A" w14:textId="77777777" w:rsidR="006767AC" w:rsidRDefault="006767AC" w:rsidP="006767AC">
      <w:pPr>
        <w:pStyle w:val="ListParagraph"/>
        <w:spacing w:after="240" w:line="240" w:lineRule="auto"/>
        <w:ind w:left="0"/>
        <w:jc w:val="both"/>
        <w:rPr>
          <w:lang w:val="en-GB"/>
        </w:rPr>
      </w:pPr>
    </w:p>
    <w:p w14:paraId="7B102A54" w14:textId="77777777" w:rsidR="006767AC" w:rsidRDefault="006767AC" w:rsidP="006767AC">
      <w:pPr>
        <w:pStyle w:val="ListParagraph"/>
        <w:spacing w:after="240" w:line="240" w:lineRule="auto"/>
        <w:ind w:left="0"/>
        <w:jc w:val="both"/>
        <w:rPr>
          <w:lang w:val="en-GB"/>
        </w:rPr>
      </w:pPr>
    </w:p>
    <w:p w14:paraId="1F78A2B1" w14:textId="77777777" w:rsidR="006767AC" w:rsidRDefault="006767AC" w:rsidP="006767AC">
      <w:pPr>
        <w:pStyle w:val="ListParagraph"/>
        <w:spacing w:after="240" w:line="240" w:lineRule="auto"/>
        <w:ind w:left="0"/>
        <w:jc w:val="both"/>
        <w:rPr>
          <w:lang w:val="en-GB"/>
        </w:rPr>
      </w:pPr>
    </w:p>
    <w:p w14:paraId="2EE1AC39" w14:textId="77777777" w:rsidR="006767AC" w:rsidRDefault="006767AC" w:rsidP="006767AC">
      <w:pPr>
        <w:pStyle w:val="ListParagraph"/>
        <w:spacing w:after="240" w:line="240" w:lineRule="auto"/>
        <w:ind w:left="0"/>
        <w:jc w:val="both"/>
        <w:rPr>
          <w:lang w:val="en-GB"/>
        </w:rPr>
      </w:pPr>
    </w:p>
    <w:p w14:paraId="02CA3181" w14:textId="77777777" w:rsidR="006767AC" w:rsidRDefault="006767AC" w:rsidP="006767AC">
      <w:pPr>
        <w:pStyle w:val="ListParagraph"/>
        <w:spacing w:after="240" w:line="240" w:lineRule="auto"/>
        <w:ind w:left="0"/>
        <w:jc w:val="both"/>
        <w:rPr>
          <w:lang w:val="en-GB"/>
        </w:rPr>
      </w:pPr>
    </w:p>
    <w:p w14:paraId="2B6884EF" w14:textId="77777777" w:rsidR="006767AC" w:rsidRDefault="006767AC" w:rsidP="006767AC">
      <w:pPr>
        <w:pStyle w:val="ListParagraph"/>
        <w:spacing w:after="240" w:line="240" w:lineRule="auto"/>
        <w:ind w:left="0"/>
        <w:jc w:val="both"/>
        <w:rPr>
          <w:lang w:val="en-GB"/>
        </w:rPr>
      </w:pPr>
    </w:p>
    <w:p w14:paraId="20BFEA28" w14:textId="77777777" w:rsidR="006767AC" w:rsidRDefault="006767AC" w:rsidP="006767AC">
      <w:pPr>
        <w:pStyle w:val="ListParagraph"/>
        <w:spacing w:after="240" w:line="240" w:lineRule="auto"/>
        <w:ind w:left="0"/>
        <w:jc w:val="both"/>
        <w:rPr>
          <w:lang w:val="en-GB"/>
        </w:rPr>
      </w:pPr>
    </w:p>
    <w:p w14:paraId="4461F39E" w14:textId="77777777" w:rsidR="006767AC" w:rsidRDefault="006767AC" w:rsidP="006767AC">
      <w:pPr>
        <w:pStyle w:val="ListParagraph"/>
        <w:spacing w:after="240" w:line="240" w:lineRule="auto"/>
        <w:ind w:left="0"/>
        <w:jc w:val="both"/>
        <w:rPr>
          <w:lang w:val="en-GB"/>
        </w:rPr>
      </w:pPr>
    </w:p>
    <w:p w14:paraId="0E9FE64F" w14:textId="77777777" w:rsidR="006767AC" w:rsidRDefault="006767AC" w:rsidP="006767AC">
      <w:pPr>
        <w:pStyle w:val="ListParagraph"/>
        <w:spacing w:after="240" w:line="240" w:lineRule="auto"/>
        <w:ind w:left="0"/>
        <w:jc w:val="both"/>
        <w:rPr>
          <w:lang w:val="en-GB"/>
        </w:rPr>
      </w:pPr>
    </w:p>
    <w:p w14:paraId="3B1393F6" w14:textId="77777777" w:rsidR="006767AC" w:rsidRDefault="006767AC" w:rsidP="006767AC">
      <w:pPr>
        <w:pStyle w:val="ListParagraph"/>
        <w:spacing w:after="240" w:line="240" w:lineRule="auto"/>
        <w:ind w:left="0"/>
        <w:jc w:val="both"/>
        <w:rPr>
          <w:lang w:val="en-GB"/>
        </w:rPr>
      </w:pPr>
    </w:p>
    <w:p w14:paraId="45082998" w14:textId="77777777" w:rsidR="006767AC" w:rsidRDefault="006767AC" w:rsidP="006767AC">
      <w:pPr>
        <w:pStyle w:val="ListParagraph"/>
        <w:spacing w:after="240" w:line="240" w:lineRule="auto"/>
        <w:ind w:left="0"/>
        <w:jc w:val="both"/>
        <w:rPr>
          <w:lang w:val="en-GB"/>
        </w:rPr>
      </w:pPr>
    </w:p>
    <w:p w14:paraId="08527682" w14:textId="77777777" w:rsidR="006767AC" w:rsidRDefault="006767AC" w:rsidP="006767AC">
      <w:pPr>
        <w:pStyle w:val="ListParagraph"/>
        <w:spacing w:after="240" w:line="240" w:lineRule="auto"/>
        <w:ind w:left="0"/>
        <w:jc w:val="both"/>
        <w:rPr>
          <w:lang w:val="en-GB"/>
        </w:rPr>
      </w:pPr>
    </w:p>
    <w:p w14:paraId="42E7258E" w14:textId="77777777" w:rsidR="006570D3" w:rsidRPr="006570D3" w:rsidRDefault="006570D3" w:rsidP="006767AC">
      <w:pPr>
        <w:pStyle w:val="ListParagraph"/>
        <w:spacing w:after="240" w:line="240" w:lineRule="auto"/>
        <w:ind w:left="0"/>
        <w:jc w:val="both"/>
        <w:rPr>
          <w:rFonts w:cstheme="minorHAnsi"/>
          <w:lang w:val="en-GB"/>
        </w:rPr>
      </w:pPr>
    </w:p>
    <w:p w14:paraId="4DF41E75" w14:textId="5BA1DA78" w:rsidR="006570D3" w:rsidRPr="006767AC" w:rsidRDefault="006570D3" w:rsidP="006767AC">
      <w:pPr>
        <w:pStyle w:val="ListParagraph"/>
        <w:spacing w:after="240" w:line="240" w:lineRule="auto"/>
        <w:ind w:left="0"/>
        <w:jc w:val="both"/>
        <w:rPr>
          <w:rFonts w:cstheme="minorHAnsi"/>
          <w:lang w:val="en"/>
        </w:rPr>
      </w:pPr>
      <w:r w:rsidRPr="006767AC">
        <w:rPr>
          <w:rFonts w:cstheme="minorHAnsi"/>
          <w:b/>
          <w:bCs/>
          <w:lang w:val="en"/>
        </w:rPr>
        <w:t>Figure 1. Median general government gross debt, by subregion, 2000-2027</w:t>
      </w:r>
    </w:p>
    <w:p w14:paraId="29414606" w14:textId="13C1915B" w:rsidR="006570D3" w:rsidRDefault="006570D3" w:rsidP="006767AC">
      <w:pPr>
        <w:pStyle w:val="ListParagraph"/>
        <w:spacing w:after="240" w:line="240" w:lineRule="auto"/>
        <w:ind w:left="0"/>
        <w:jc w:val="both"/>
        <w:rPr>
          <w:rFonts w:cstheme="minorHAnsi"/>
          <w:noProof/>
        </w:rPr>
      </w:pPr>
      <w:r w:rsidRPr="006570D3">
        <w:rPr>
          <w:rFonts w:cstheme="minorHAnsi"/>
          <w:noProof/>
        </w:rPr>
        <w:t xml:space="preserve"> </w:t>
      </w:r>
    </w:p>
    <w:p w14:paraId="64D46CC5" w14:textId="0B70A83B" w:rsidR="00633611" w:rsidRPr="006570D3" w:rsidRDefault="00633611" w:rsidP="006570D3">
      <w:pPr>
        <w:pStyle w:val="ListParagraph"/>
        <w:spacing w:line="240" w:lineRule="auto"/>
        <w:ind w:left="0"/>
        <w:jc w:val="both"/>
        <w:rPr>
          <w:rFonts w:cstheme="minorHAnsi"/>
          <w:lang w:val="en"/>
        </w:rPr>
      </w:pPr>
      <w:r w:rsidRPr="006570D3">
        <w:rPr>
          <w:rFonts w:cstheme="minorHAnsi"/>
          <w:noProof/>
        </w:rPr>
        <w:drawing>
          <wp:inline distT="0" distB="0" distL="0" distR="0" wp14:anchorId="7BF2A736" wp14:editId="2705C345">
            <wp:extent cx="5296619" cy="2579299"/>
            <wp:effectExtent l="0" t="0" r="0" b="0"/>
            <wp:docPr id="778309910" name="Chart 1">
              <a:extLst xmlns:a="http://schemas.openxmlformats.org/drawingml/2006/main">
                <a:ext uri="{FF2B5EF4-FFF2-40B4-BE49-F238E27FC236}">
                  <a16:creationId xmlns:a16="http://schemas.microsoft.com/office/drawing/2014/main" id="{93BDAAD4-934B-3466-0D27-38200D36A613}"/>
                </a:ext>
                <a:ext uri="{147F2762-F138-4A5C-976F-8EAC2B608ADB}">
                  <a16:predDERef xmlns:a16="http://schemas.microsoft.com/office/drawing/2014/main" pred="{CB089F59-44C6-1DED-2049-02B9CC649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A07F5B" w14:textId="0C0D53CE" w:rsidR="006570D3" w:rsidRPr="006570D3" w:rsidRDefault="006570D3" w:rsidP="006570D3">
      <w:pPr>
        <w:pStyle w:val="ListParagraph"/>
        <w:ind w:left="0"/>
        <w:jc w:val="both"/>
        <w:rPr>
          <w:rFonts w:cstheme="minorHAnsi"/>
          <w:sz w:val="18"/>
          <w:szCs w:val="18"/>
          <w:lang w:val="en"/>
        </w:rPr>
      </w:pPr>
      <w:r w:rsidRPr="006570D3">
        <w:rPr>
          <w:rFonts w:cstheme="minorHAnsi"/>
          <w:i/>
          <w:sz w:val="18"/>
          <w:szCs w:val="18"/>
          <w:lang w:val="en"/>
        </w:rPr>
        <w:t>Source</w:t>
      </w:r>
      <w:r w:rsidRPr="006570D3">
        <w:rPr>
          <w:rFonts w:cstheme="minorHAnsi"/>
          <w:sz w:val="18"/>
          <w:szCs w:val="18"/>
          <w:lang w:val="en"/>
        </w:rPr>
        <w:t xml:space="preserve">: </w:t>
      </w:r>
      <w:r w:rsidR="00A77295">
        <w:rPr>
          <w:rFonts w:cstheme="minorHAnsi"/>
          <w:sz w:val="18"/>
          <w:szCs w:val="18"/>
          <w:lang w:val="en"/>
        </w:rPr>
        <w:t>International Monetary Fund (IMF)</w:t>
      </w:r>
      <w:r w:rsidRPr="006570D3">
        <w:rPr>
          <w:rFonts w:cstheme="minorHAnsi"/>
          <w:sz w:val="18"/>
          <w:szCs w:val="18"/>
          <w:lang w:val="en"/>
        </w:rPr>
        <w:t xml:space="preserve">, World Economic Outlook database. </w:t>
      </w:r>
    </w:p>
    <w:p w14:paraId="2572E688" w14:textId="77777777" w:rsidR="00BA634F" w:rsidRPr="004867A1" w:rsidRDefault="00BA634F" w:rsidP="00A95BEE">
      <w:pPr>
        <w:pStyle w:val="ListParagraph"/>
        <w:spacing w:after="0" w:line="240" w:lineRule="auto"/>
        <w:ind w:left="0"/>
        <w:jc w:val="both"/>
        <w:rPr>
          <w:rFonts w:cs="Cordia New"/>
          <w:szCs w:val="28"/>
          <w:lang w:val="en-GB" w:bidi="th-TH"/>
        </w:rPr>
      </w:pPr>
    </w:p>
    <w:p w14:paraId="50BD8545" w14:textId="3F3EA25E" w:rsidR="00AE1F25" w:rsidRPr="004867A1" w:rsidRDefault="00850CB6" w:rsidP="006767AC">
      <w:pPr>
        <w:snapToGrid w:val="0"/>
        <w:spacing w:after="240" w:line="240" w:lineRule="auto"/>
        <w:jc w:val="both"/>
        <w:rPr>
          <w:lang w:bidi="th-TH"/>
        </w:rPr>
      </w:pPr>
      <w:r w:rsidRPr="00FB391F">
        <w:rPr>
          <w:b/>
          <w:bCs/>
          <w:i/>
          <w:iCs/>
        </w:rPr>
        <w:t>Three main sources of public debt</w:t>
      </w:r>
      <w:r w:rsidR="00FB391F">
        <w:rPr>
          <w:b/>
          <w:bCs/>
          <w:i/>
          <w:iCs/>
        </w:rPr>
        <w:t xml:space="preserve"> distress</w:t>
      </w:r>
      <w:r w:rsidRPr="00FB391F">
        <w:rPr>
          <w:b/>
          <w:bCs/>
          <w:i/>
          <w:iCs/>
        </w:rPr>
        <w:t xml:space="preserve"> and their distinct nature</w:t>
      </w:r>
    </w:p>
    <w:p w14:paraId="33E49E3B" w14:textId="66AC53B5" w:rsidR="00FE2DF4" w:rsidRPr="004867A1" w:rsidRDefault="00FE2DF4" w:rsidP="006767AC">
      <w:pPr>
        <w:snapToGrid w:val="0"/>
        <w:spacing w:after="240" w:line="240" w:lineRule="auto"/>
        <w:jc w:val="both"/>
        <w:rPr>
          <w:rFonts w:cs="Cordia New"/>
          <w:szCs w:val="28"/>
          <w:lang w:val="en-GB" w:bidi="th-TH"/>
        </w:rPr>
      </w:pPr>
      <w:r w:rsidRPr="00F52224">
        <w:t xml:space="preserve">One, </w:t>
      </w:r>
      <w:r>
        <w:t>e</w:t>
      </w:r>
      <w:proofErr w:type="spellStart"/>
      <w:r w:rsidRPr="00F52224">
        <w:rPr>
          <w:lang w:val="en-GB"/>
        </w:rPr>
        <w:t>c</w:t>
      </w:r>
      <w:r>
        <w:rPr>
          <w:lang w:val="en-GB"/>
        </w:rPr>
        <w:t>onomic</w:t>
      </w:r>
      <w:proofErr w:type="spellEnd"/>
      <w:r>
        <w:rPr>
          <w:lang w:val="en-GB"/>
        </w:rPr>
        <w:t xml:space="preserve"> </w:t>
      </w:r>
      <w:r w:rsidRPr="00F52224">
        <w:rPr>
          <w:lang w:val="en-GB"/>
        </w:rPr>
        <w:t xml:space="preserve">and fiscal mismanagement, which represents policy missteps by the government and can theoretically be avoided through greater prudence and accountability of fiscal decision-making. </w:t>
      </w:r>
    </w:p>
    <w:p w14:paraId="12F48F26" w14:textId="02217B74" w:rsidR="00FE2DF4" w:rsidRPr="004867A1" w:rsidRDefault="00FE2DF4" w:rsidP="006767AC">
      <w:pPr>
        <w:snapToGrid w:val="0"/>
        <w:spacing w:after="240" w:line="240" w:lineRule="auto"/>
        <w:jc w:val="both"/>
        <w:rPr>
          <w:rFonts w:cs="Cordia New"/>
          <w:szCs w:val="28"/>
          <w:lang w:val="en-GB" w:bidi="th-TH"/>
        </w:rPr>
      </w:pPr>
      <w:r>
        <w:rPr>
          <w:lang w:val="en-GB"/>
        </w:rPr>
        <w:t>Two, t</w:t>
      </w:r>
      <w:r w:rsidRPr="00F52224">
        <w:rPr>
          <w:lang w:val="en-GB"/>
        </w:rPr>
        <w:t>emporary liquidity shocks, wherein tail risks of economic and financial crises or natural disasters push reasonably managed economies into liquidity and temporary debt distress, but their long-term fiscal solvency remains intact. These risks are beyond the control of debtor countries and are likely to be contained if liquidity support can be provided by the international development community.</w:t>
      </w:r>
    </w:p>
    <w:p w14:paraId="34D92225" w14:textId="7D155E70" w:rsidR="00BA634F" w:rsidRPr="004867A1" w:rsidRDefault="00FE2DF4" w:rsidP="006767AC">
      <w:pPr>
        <w:snapToGrid w:val="0"/>
        <w:spacing w:after="240" w:line="240" w:lineRule="auto"/>
        <w:jc w:val="both"/>
        <w:rPr>
          <w:lang w:val="en-GB" w:bidi="th-TH"/>
        </w:rPr>
      </w:pPr>
      <w:r>
        <w:rPr>
          <w:lang w:val="en-GB"/>
        </w:rPr>
        <w:t>Three, s</w:t>
      </w:r>
      <w:r w:rsidRPr="005D329D">
        <w:rPr>
          <w:lang w:val="en-GB"/>
        </w:rPr>
        <w:t>ignificant development deficits and gaps in climate financing</w:t>
      </w:r>
      <w:r w:rsidR="00D97F52">
        <w:rPr>
          <w:lang w:val="en-GB"/>
        </w:rPr>
        <w:t xml:space="preserve">, which </w:t>
      </w:r>
      <w:r w:rsidRPr="005D329D">
        <w:rPr>
          <w:lang w:val="en-GB"/>
        </w:rPr>
        <w:t>far exceed</w:t>
      </w:r>
      <w:r w:rsidR="00D97F52">
        <w:rPr>
          <w:lang w:val="en-GB"/>
        </w:rPr>
        <w:t>s</w:t>
      </w:r>
      <w:r w:rsidRPr="005D329D">
        <w:rPr>
          <w:lang w:val="en-GB"/>
        </w:rPr>
        <w:t xml:space="preserve"> their fiscal capacity. </w:t>
      </w:r>
      <w:r>
        <w:rPr>
          <w:lang w:val="en-GB"/>
        </w:rPr>
        <w:t>Moreover, m</w:t>
      </w:r>
      <w:r w:rsidRPr="005D329D">
        <w:rPr>
          <w:lang w:val="en-GB"/>
        </w:rPr>
        <w:t>uch of the basic spending needs, such as social expenses or climate adaptation expenditure, is consumption or insurance in nature, and thus does not generate adequate cash returns for debt servicing and repayment. If financed with debt rather than development transfers, such spendings will almost inevitably result in debt distress.</w:t>
      </w:r>
    </w:p>
    <w:p w14:paraId="176F74E6" w14:textId="5EEE26CD" w:rsidR="0037795D" w:rsidRPr="004867A1" w:rsidRDefault="00FF59DC" w:rsidP="006767AC">
      <w:pPr>
        <w:snapToGrid w:val="0"/>
        <w:spacing w:after="240" w:line="240" w:lineRule="auto"/>
        <w:jc w:val="both"/>
        <w:rPr>
          <w:lang w:val="en-GB" w:bidi="th-TH"/>
        </w:rPr>
      </w:pPr>
      <w:r w:rsidRPr="00254B96">
        <w:rPr>
          <w:b/>
          <w:bCs/>
          <w:i/>
          <w:iCs/>
        </w:rPr>
        <w:t>Central role of public expenditure efficiency and productive use of public funds</w:t>
      </w:r>
    </w:p>
    <w:p w14:paraId="00451524" w14:textId="727B52A9" w:rsidR="003F7007" w:rsidRPr="004867A1" w:rsidRDefault="003F7007" w:rsidP="006767AC">
      <w:pPr>
        <w:pStyle w:val="ListParagraph"/>
        <w:snapToGrid w:val="0"/>
        <w:spacing w:after="240" w:line="240" w:lineRule="auto"/>
        <w:ind w:left="0"/>
        <w:contextualSpacing w:val="0"/>
        <w:jc w:val="both"/>
        <w:rPr>
          <w:rFonts w:cs="Cordia New"/>
          <w:szCs w:val="28"/>
          <w:lang w:val="en-GB" w:bidi="th-TH"/>
        </w:rPr>
      </w:pPr>
      <w:r w:rsidRPr="00062AE5">
        <w:rPr>
          <w:lang w:val="en-GB"/>
        </w:rPr>
        <w:t>Efficient public spending and productive use of public funds i</w:t>
      </w:r>
      <w:r>
        <w:rPr>
          <w:lang w:val="en-GB"/>
        </w:rPr>
        <w:t>s arguably the most</w:t>
      </w:r>
      <w:r w:rsidRPr="00062AE5">
        <w:rPr>
          <w:lang w:val="en-GB"/>
        </w:rPr>
        <w:t xml:space="preserve"> important principle to ensure public debt sustainability</w:t>
      </w:r>
      <w:r>
        <w:rPr>
          <w:lang w:val="en-GB"/>
        </w:rPr>
        <w:t>. A</w:t>
      </w:r>
      <w:r w:rsidRPr="00062AE5">
        <w:rPr>
          <w:lang w:val="en-GB"/>
        </w:rPr>
        <w:t xml:space="preserve"> relentless emphasis on the productive use of </w:t>
      </w:r>
      <w:r>
        <w:rPr>
          <w:lang w:val="en-GB"/>
        </w:rPr>
        <w:t xml:space="preserve">borrowed </w:t>
      </w:r>
      <w:r w:rsidRPr="00062AE5">
        <w:rPr>
          <w:lang w:val="en-GB"/>
        </w:rPr>
        <w:t>funds</w:t>
      </w:r>
      <w:r>
        <w:rPr>
          <w:lang w:val="en-GB"/>
        </w:rPr>
        <w:t xml:space="preserve">, </w:t>
      </w:r>
      <w:r w:rsidRPr="00062AE5">
        <w:rPr>
          <w:lang w:val="en-GB"/>
        </w:rPr>
        <w:t xml:space="preserve">centralized approval of external borrowing, </w:t>
      </w:r>
      <w:r>
        <w:rPr>
          <w:lang w:val="en-GB"/>
        </w:rPr>
        <w:t xml:space="preserve">and </w:t>
      </w:r>
      <w:r w:rsidRPr="00062AE5">
        <w:rPr>
          <w:lang w:val="en-GB"/>
        </w:rPr>
        <w:t xml:space="preserve">close alignment of fund usage with national development priorities </w:t>
      </w:r>
      <w:r>
        <w:rPr>
          <w:lang w:val="en-GB"/>
        </w:rPr>
        <w:t>ha</w:t>
      </w:r>
      <w:r w:rsidR="00CF5D40">
        <w:rPr>
          <w:lang w:val="en-GB"/>
        </w:rPr>
        <w:t>s</w:t>
      </w:r>
      <w:r>
        <w:rPr>
          <w:lang w:val="en-GB"/>
        </w:rPr>
        <w:t xml:space="preserve"> helped several developing Asia-Pacific economies navigate the perils of fast public debt accumulation when they had to leverage debt financing to support their economic take-off.</w:t>
      </w:r>
      <w:r>
        <w:rPr>
          <w:rStyle w:val="FootnoteReference"/>
          <w:lang w:val="en-GB"/>
        </w:rPr>
        <w:footnoteReference w:id="2"/>
      </w:r>
      <w:r>
        <w:rPr>
          <w:lang w:val="en-GB"/>
        </w:rPr>
        <w:t xml:space="preserve"> </w:t>
      </w:r>
    </w:p>
    <w:p w14:paraId="62D185A7" w14:textId="4B5DA796" w:rsidR="000E4F9D" w:rsidRPr="004867A1" w:rsidRDefault="003F7007" w:rsidP="006767AC">
      <w:pPr>
        <w:pStyle w:val="ListParagraph"/>
        <w:snapToGrid w:val="0"/>
        <w:spacing w:after="240" w:line="240" w:lineRule="auto"/>
        <w:ind w:left="0"/>
        <w:contextualSpacing w:val="0"/>
        <w:jc w:val="both"/>
        <w:rPr>
          <w:rFonts w:cs="Cordia New"/>
          <w:szCs w:val="28"/>
          <w:lang w:bidi="th-TH"/>
        </w:rPr>
      </w:pPr>
      <w:r>
        <w:rPr>
          <w:lang w:val="en-GB"/>
        </w:rPr>
        <w:t xml:space="preserve">Yet, ESCAP’s recent research </w:t>
      </w:r>
      <w:r w:rsidRPr="00062AE5">
        <w:rPr>
          <w:lang w:val="en-GB"/>
        </w:rPr>
        <w:t>f</w:t>
      </w:r>
      <w:r>
        <w:rPr>
          <w:lang w:val="en-GB"/>
        </w:rPr>
        <w:t>inds</w:t>
      </w:r>
      <w:r w:rsidRPr="00062AE5">
        <w:rPr>
          <w:lang w:val="en-GB"/>
        </w:rPr>
        <w:t xml:space="preserve"> weak or generally negative correlation </w:t>
      </w:r>
      <w:r>
        <w:rPr>
          <w:lang w:val="en-GB"/>
        </w:rPr>
        <w:t>between</w:t>
      </w:r>
      <w:r w:rsidRPr="00062AE5">
        <w:rPr>
          <w:lang w:val="en-GB"/>
        </w:rPr>
        <w:t xml:space="preserve"> public debt level </w:t>
      </w:r>
      <w:r>
        <w:rPr>
          <w:lang w:val="en-GB"/>
        </w:rPr>
        <w:t>and</w:t>
      </w:r>
      <w:r w:rsidRPr="00062AE5">
        <w:rPr>
          <w:lang w:val="en-GB"/>
        </w:rPr>
        <w:t xml:space="preserve"> either gross fixed capital formation or social spending on education and health in most developing Asia-</w:t>
      </w:r>
      <w:r w:rsidRPr="00062AE5">
        <w:rPr>
          <w:lang w:val="en-GB"/>
        </w:rPr>
        <w:lastRenderedPageBreak/>
        <w:t>Pacific countries</w:t>
      </w:r>
      <w:r w:rsidRPr="00A7226E">
        <w:rPr>
          <w:lang w:val="en-GB"/>
        </w:rPr>
        <w:t>.</w:t>
      </w:r>
      <w:r w:rsidRPr="00A7226E">
        <w:rPr>
          <w:rStyle w:val="FootnoteReference"/>
          <w:lang w:val="en-GB"/>
        </w:rPr>
        <w:footnoteReference w:id="3"/>
      </w:r>
      <w:r>
        <w:rPr>
          <w:lang w:val="en-GB"/>
        </w:rPr>
        <w:t xml:space="preserve"> This indicates</w:t>
      </w:r>
      <w:r w:rsidRPr="00062AE5">
        <w:rPr>
          <w:lang w:val="en-GB"/>
        </w:rPr>
        <w:t xml:space="preserve"> suboptimal allocation of funds. Even for existing social and infrastructure spending, fiscal savings up to 30 per cent could potentially be achieved when developing Asia-Pacific countries are benchmarked against their best-performing peers</w:t>
      </w:r>
      <w:r w:rsidRPr="000E4F9D">
        <w:rPr>
          <w:rFonts w:cstheme="minorHAnsi"/>
        </w:rPr>
        <w:t>.</w:t>
      </w:r>
      <w:r>
        <w:rPr>
          <w:rStyle w:val="FootnoteReference"/>
          <w:rFonts w:cstheme="minorHAnsi"/>
        </w:rPr>
        <w:footnoteReference w:id="4"/>
      </w:r>
      <w:r w:rsidRPr="000E4F9D">
        <w:rPr>
          <w:rFonts w:cstheme="minorHAnsi"/>
        </w:rPr>
        <w:t xml:space="preserve"> </w:t>
      </w:r>
    </w:p>
    <w:p w14:paraId="0F7CDD4E" w14:textId="4E894F42" w:rsidR="007F39F9" w:rsidRPr="004867A1" w:rsidRDefault="002D77CB" w:rsidP="006767AC">
      <w:pPr>
        <w:snapToGrid w:val="0"/>
        <w:spacing w:after="240" w:line="240" w:lineRule="auto"/>
        <w:jc w:val="both"/>
        <w:rPr>
          <w:lang w:val="en-GB" w:bidi="th-TH"/>
        </w:rPr>
      </w:pPr>
      <w:r w:rsidRPr="00C95385">
        <w:rPr>
          <w:b/>
          <w:bCs/>
          <w:i/>
          <w:iCs/>
        </w:rPr>
        <w:t>Sovereign debt management and monitoring as a fiscal safeguard</w:t>
      </w:r>
    </w:p>
    <w:p w14:paraId="7D19B1A1" w14:textId="0F5C5BA9" w:rsidR="00062AE5" w:rsidRPr="004867A1" w:rsidRDefault="00DD5D61" w:rsidP="006767AC">
      <w:pPr>
        <w:pStyle w:val="ListParagraph"/>
        <w:snapToGrid w:val="0"/>
        <w:spacing w:after="240" w:line="240" w:lineRule="auto"/>
        <w:ind w:left="0"/>
        <w:contextualSpacing w:val="0"/>
        <w:jc w:val="both"/>
        <w:rPr>
          <w:rFonts w:cs="Cordia New"/>
          <w:szCs w:val="28"/>
          <w:lang w:val="en-GB" w:bidi="th-TH"/>
        </w:rPr>
      </w:pPr>
      <w:r w:rsidRPr="008C407B">
        <w:rPr>
          <w:lang w:val="en-GB"/>
        </w:rPr>
        <w:t>Effective sovereign debt management and monitoring can reduce both debt distress risk and sovereign borrowing costs.</w:t>
      </w:r>
      <w:r>
        <w:rPr>
          <w:lang w:val="en-GB"/>
        </w:rPr>
        <w:t xml:space="preserve"> </w:t>
      </w:r>
      <w:r w:rsidRPr="00330C7B">
        <w:rPr>
          <w:lang w:val="en-GB"/>
        </w:rPr>
        <w:t xml:space="preserve">Data transparency on outstanding and potential debt claims on the </w:t>
      </w:r>
      <w:r w:rsidR="00C96D98">
        <w:rPr>
          <w:lang w:val="en-GB"/>
        </w:rPr>
        <w:t>g</w:t>
      </w:r>
      <w:r w:rsidR="00C96D98" w:rsidRPr="00330C7B">
        <w:rPr>
          <w:lang w:val="en-GB"/>
        </w:rPr>
        <w:t xml:space="preserve">overnment </w:t>
      </w:r>
      <w:r w:rsidRPr="00330C7B">
        <w:rPr>
          <w:lang w:val="en-GB"/>
        </w:rPr>
        <w:t>is particularly important for early detection of debt sustainability challenges and early action to contain the risks and mitigate potential damage</w:t>
      </w:r>
      <w:r>
        <w:rPr>
          <w:lang w:val="en-GB"/>
        </w:rPr>
        <w:t>. Yet, s</w:t>
      </w:r>
      <w:r w:rsidRPr="008C407B">
        <w:rPr>
          <w:lang w:val="en-GB"/>
        </w:rPr>
        <w:t xml:space="preserve">ystematic evaluation of public debt management in many developing Asia-Pacific countries remains sparse. Debt policy rating within World Bank’s Country Policy and Institutional Assessment, as a proxy for debt management quality, </w:t>
      </w:r>
      <w:r>
        <w:rPr>
          <w:lang w:val="en-GB"/>
        </w:rPr>
        <w:t>underscores</w:t>
      </w:r>
      <w:r w:rsidRPr="008C407B">
        <w:rPr>
          <w:lang w:val="en-GB"/>
        </w:rPr>
        <w:t xml:space="preserve"> a lack of improvements in </w:t>
      </w:r>
      <w:r>
        <w:rPr>
          <w:lang w:val="en-GB"/>
        </w:rPr>
        <w:t xml:space="preserve">many </w:t>
      </w:r>
      <w:r w:rsidRPr="008C407B">
        <w:rPr>
          <w:lang w:val="en-GB"/>
        </w:rPr>
        <w:t xml:space="preserve">developing Asia and the Pacific </w:t>
      </w:r>
      <w:r>
        <w:rPr>
          <w:lang w:val="en-GB"/>
        </w:rPr>
        <w:t xml:space="preserve">countries during </w:t>
      </w:r>
      <w:r w:rsidRPr="008C407B">
        <w:rPr>
          <w:lang w:val="en-GB"/>
        </w:rPr>
        <w:t>2014-2023</w:t>
      </w:r>
      <w:r w:rsidRPr="000E4F9D">
        <w:rPr>
          <w:rFonts w:cstheme="minorHAnsi"/>
        </w:rPr>
        <w:t xml:space="preserve">. </w:t>
      </w:r>
    </w:p>
    <w:p w14:paraId="08223904" w14:textId="4DD4CF10" w:rsidR="008569CB" w:rsidRPr="004867A1" w:rsidRDefault="000848A9" w:rsidP="006767AC">
      <w:pPr>
        <w:snapToGrid w:val="0"/>
        <w:spacing w:after="240" w:line="240" w:lineRule="auto"/>
        <w:jc w:val="both"/>
        <w:rPr>
          <w:lang w:val="en-GB" w:bidi="th-TH"/>
        </w:rPr>
      </w:pPr>
      <w:r>
        <w:rPr>
          <w:b/>
          <w:bCs/>
          <w:i/>
          <w:iCs/>
        </w:rPr>
        <w:t>Chal</w:t>
      </w:r>
      <w:r w:rsidR="009830E1">
        <w:rPr>
          <w:b/>
          <w:bCs/>
          <w:i/>
          <w:iCs/>
        </w:rPr>
        <w:t>lenges of timely debt restructuring and debt relief</w:t>
      </w:r>
    </w:p>
    <w:p w14:paraId="6AC394B2" w14:textId="43BDA2B8" w:rsidR="00321D09" w:rsidRPr="004867A1" w:rsidRDefault="00653796" w:rsidP="006767AC">
      <w:pPr>
        <w:pStyle w:val="ListParagraph"/>
        <w:snapToGrid w:val="0"/>
        <w:spacing w:after="240" w:line="240" w:lineRule="auto"/>
        <w:ind w:left="0"/>
        <w:contextualSpacing w:val="0"/>
        <w:jc w:val="both"/>
        <w:rPr>
          <w:rFonts w:cs="Cordia New"/>
          <w:szCs w:val="28"/>
          <w:lang w:val="en-GB" w:bidi="th-TH"/>
        </w:rPr>
      </w:pPr>
      <w:r>
        <w:rPr>
          <w:rFonts w:cstheme="minorHAnsi"/>
          <w:lang w:val="en-GB"/>
        </w:rPr>
        <w:t>S</w:t>
      </w:r>
      <w:r w:rsidRPr="00653796">
        <w:rPr>
          <w:rFonts w:cstheme="minorHAnsi"/>
          <w:lang w:val="en-GB"/>
        </w:rPr>
        <w:t>overeign debt restructuring is complicated due to two fundamental challenges. First, a sovereign’s ability to honour its debt (that is, its fiscal solvency) is subject to considerable debate. Second, the treatment of public debt distress, emanating from different causes</w:t>
      </w:r>
      <w:r w:rsidR="00E56DE4">
        <w:rPr>
          <w:rFonts w:cstheme="minorHAnsi"/>
          <w:lang w:val="en-GB"/>
        </w:rPr>
        <w:t xml:space="preserve"> </w:t>
      </w:r>
      <w:r w:rsidR="008956A7">
        <w:rPr>
          <w:rFonts w:cstheme="minorHAnsi"/>
          <w:lang w:val="en-GB"/>
        </w:rPr>
        <w:t>(</w:t>
      </w:r>
      <w:r w:rsidR="00E56DE4">
        <w:rPr>
          <w:rFonts w:cstheme="minorHAnsi"/>
          <w:lang w:val="en-GB"/>
        </w:rPr>
        <w:t xml:space="preserve">be it </w:t>
      </w:r>
      <w:r w:rsidR="00C94910">
        <w:rPr>
          <w:rFonts w:cstheme="minorHAnsi"/>
          <w:lang w:val="en-GB"/>
        </w:rPr>
        <w:t xml:space="preserve">development and climate financing </w:t>
      </w:r>
      <w:r w:rsidR="008956A7">
        <w:rPr>
          <w:rFonts w:cstheme="minorHAnsi"/>
          <w:lang w:val="en-GB"/>
        </w:rPr>
        <w:t xml:space="preserve">deficits, temporary liquidity </w:t>
      </w:r>
      <w:r w:rsidR="00110A0D">
        <w:rPr>
          <w:rFonts w:cstheme="minorHAnsi"/>
          <w:lang w:val="en-GB"/>
        </w:rPr>
        <w:t>bottlenecks, or fiscal mismanagement)</w:t>
      </w:r>
      <w:r w:rsidR="00E56DE4">
        <w:rPr>
          <w:rFonts w:cstheme="minorHAnsi"/>
          <w:lang w:val="en-GB"/>
        </w:rPr>
        <w:t>,</w:t>
      </w:r>
      <w:r w:rsidRPr="00653796">
        <w:rPr>
          <w:rFonts w:cstheme="minorHAnsi"/>
          <w:lang w:val="en-GB"/>
        </w:rPr>
        <w:t xml:space="preserve"> should be differentiated.</w:t>
      </w:r>
      <w:r w:rsidR="000007FD">
        <w:rPr>
          <w:rFonts w:cstheme="minorHAnsi"/>
          <w:lang w:val="en-GB"/>
        </w:rPr>
        <w:t xml:space="preserve"> </w:t>
      </w:r>
      <w:r w:rsidR="000007FD" w:rsidRPr="000007FD">
        <w:rPr>
          <w:rFonts w:cstheme="minorHAnsi"/>
          <w:lang w:val="en-GB"/>
        </w:rPr>
        <w:t xml:space="preserve">While a </w:t>
      </w:r>
      <w:r w:rsidR="000007FD">
        <w:rPr>
          <w:rFonts w:cstheme="minorHAnsi"/>
          <w:lang w:val="en-GB"/>
        </w:rPr>
        <w:t>systematic</w:t>
      </w:r>
      <w:r w:rsidR="000007FD" w:rsidRPr="000007FD">
        <w:rPr>
          <w:rFonts w:cstheme="minorHAnsi"/>
          <w:lang w:val="en-GB"/>
        </w:rPr>
        <w:t xml:space="preserve"> solution</w:t>
      </w:r>
      <w:r w:rsidR="00DF3423">
        <w:rPr>
          <w:rFonts w:cstheme="minorHAnsi"/>
          <w:lang w:val="en-GB"/>
        </w:rPr>
        <w:t xml:space="preserve"> to sovereign debt restructuring</w:t>
      </w:r>
      <w:r w:rsidR="000007FD" w:rsidRPr="000007FD">
        <w:rPr>
          <w:rFonts w:cstheme="minorHAnsi"/>
          <w:lang w:val="en-GB"/>
        </w:rPr>
        <w:t xml:space="preserve"> remains elusive, several “patchworks”</w:t>
      </w:r>
      <w:r w:rsidR="00D0529F">
        <w:rPr>
          <w:rFonts w:cstheme="minorHAnsi"/>
          <w:lang w:val="en-GB"/>
        </w:rPr>
        <w:t xml:space="preserve">, such as </w:t>
      </w:r>
      <w:r w:rsidR="00AD01F7" w:rsidRPr="00AD01F7">
        <w:rPr>
          <w:rFonts w:cstheme="minorHAnsi"/>
          <w:lang w:val="en-GB"/>
        </w:rPr>
        <w:t>collective action clauses (CACs)</w:t>
      </w:r>
      <w:r w:rsidR="00ED7799">
        <w:rPr>
          <w:rFonts w:cstheme="minorHAnsi"/>
          <w:lang w:val="en-GB"/>
        </w:rPr>
        <w:t xml:space="preserve"> or</w:t>
      </w:r>
      <w:r w:rsidR="00AD01F7">
        <w:rPr>
          <w:rFonts w:cstheme="minorHAnsi"/>
          <w:lang w:val="en-GB"/>
        </w:rPr>
        <w:t xml:space="preserve"> </w:t>
      </w:r>
      <w:r w:rsidR="008D2AA0">
        <w:rPr>
          <w:rFonts w:cstheme="minorHAnsi"/>
          <w:lang w:val="en-GB"/>
        </w:rPr>
        <w:t>“</w:t>
      </w:r>
      <w:r w:rsidR="008D2AA0" w:rsidRPr="008D2AA0">
        <w:rPr>
          <w:rFonts w:cstheme="minorHAnsi"/>
          <w:lang w:val="en-GB"/>
        </w:rPr>
        <w:t>anti-vulture</w:t>
      </w:r>
      <w:r w:rsidR="008D2AA0">
        <w:rPr>
          <w:rFonts w:cstheme="minorHAnsi"/>
          <w:lang w:val="en-GB"/>
        </w:rPr>
        <w:t>” legislation</w:t>
      </w:r>
      <w:r w:rsidR="00ED7799">
        <w:rPr>
          <w:rFonts w:cstheme="minorHAnsi"/>
          <w:lang w:val="en-GB"/>
        </w:rPr>
        <w:t>,</w:t>
      </w:r>
      <w:r w:rsidR="008D2AA0">
        <w:rPr>
          <w:rFonts w:cstheme="minorHAnsi"/>
          <w:lang w:val="en-GB"/>
        </w:rPr>
        <w:t xml:space="preserve"> </w:t>
      </w:r>
      <w:r w:rsidR="000007FD" w:rsidRPr="000007FD">
        <w:rPr>
          <w:rFonts w:cstheme="minorHAnsi"/>
          <w:lang w:val="en-GB"/>
        </w:rPr>
        <w:t>have been introduced</w:t>
      </w:r>
      <w:r w:rsidR="00ED7799">
        <w:rPr>
          <w:rFonts w:cstheme="minorHAnsi"/>
          <w:lang w:val="en-GB"/>
        </w:rPr>
        <w:t xml:space="preserve"> with decent results</w:t>
      </w:r>
      <w:r w:rsidR="001C6AEA">
        <w:rPr>
          <w:rFonts w:cstheme="minorHAnsi"/>
          <w:lang w:val="en-GB"/>
        </w:rPr>
        <w:t>.</w:t>
      </w:r>
      <w:r w:rsidR="00810B10">
        <w:rPr>
          <w:rFonts w:cstheme="minorHAnsi"/>
          <w:lang w:val="en-GB"/>
        </w:rPr>
        <w:t xml:space="preserve"> </w:t>
      </w:r>
    </w:p>
    <w:p w14:paraId="22BBF732" w14:textId="53DC19DC" w:rsidR="00653796" w:rsidRPr="004867A1" w:rsidRDefault="0023070C" w:rsidP="006767AC">
      <w:pPr>
        <w:pStyle w:val="ListParagraph"/>
        <w:snapToGrid w:val="0"/>
        <w:spacing w:after="240" w:line="240" w:lineRule="auto"/>
        <w:ind w:left="0"/>
        <w:contextualSpacing w:val="0"/>
        <w:jc w:val="both"/>
        <w:rPr>
          <w:rFonts w:cs="Cordia New"/>
          <w:szCs w:val="28"/>
          <w:lang w:val="en-GB" w:bidi="th-TH"/>
        </w:rPr>
      </w:pPr>
      <w:r>
        <w:rPr>
          <w:rFonts w:cstheme="minorHAnsi"/>
          <w:lang w:val="en-GB"/>
        </w:rPr>
        <w:t>Meanwhile,</w:t>
      </w:r>
      <w:r w:rsidR="00C269E9">
        <w:rPr>
          <w:rFonts w:cstheme="minorHAnsi"/>
          <w:lang w:val="en-GB"/>
        </w:rPr>
        <w:t xml:space="preserve"> </w:t>
      </w:r>
      <w:r w:rsidR="00456916" w:rsidRPr="00456916">
        <w:rPr>
          <w:rFonts w:cstheme="minorHAnsi"/>
          <w:lang w:val="en-GB"/>
        </w:rPr>
        <w:t xml:space="preserve">the </w:t>
      </w:r>
      <w:r w:rsidR="00456916" w:rsidRPr="00082145">
        <w:rPr>
          <w:rFonts w:cstheme="minorHAnsi"/>
          <w:i/>
          <w:iCs/>
          <w:lang w:val="en-GB"/>
        </w:rPr>
        <w:t>G20 Common Framework for Debt Treatments</w:t>
      </w:r>
      <w:r w:rsidR="00456916">
        <w:rPr>
          <w:rFonts w:cstheme="minorHAnsi"/>
          <w:lang w:val="en-GB"/>
        </w:rPr>
        <w:t xml:space="preserve"> </w:t>
      </w:r>
      <w:r w:rsidR="00335D60">
        <w:rPr>
          <w:rFonts w:cstheme="minorHAnsi"/>
          <w:lang w:val="en-GB"/>
        </w:rPr>
        <w:t xml:space="preserve">continues to face challenges with regards to </w:t>
      </w:r>
      <w:r w:rsidR="00911F13">
        <w:rPr>
          <w:rFonts w:cstheme="minorHAnsi"/>
          <w:lang w:val="en-GB"/>
        </w:rPr>
        <w:t>reaching swift agreements among the main creditors</w:t>
      </w:r>
      <w:r w:rsidR="00EF01AE">
        <w:rPr>
          <w:rFonts w:cstheme="minorHAnsi"/>
          <w:lang w:val="en-GB"/>
        </w:rPr>
        <w:t>, increase the scale and country coverage of debt reliefs</w:t>
      </w:r>
      <w:r w:rsidR="00F329CC">
        <w:rPr>
          <w:rFonts w:cstheme="minorHAnsi"/>
          <w:lang w:val="en-GB"/>
        </w:rPr>
        <w:t>, and compelling private creditors</w:t>
      </w:r>
      <w:r w:rsidR="0060263A">
        <w:rPr>
          <w:rFonts w:cstheme="minorHAnsi"/>
          <w:lang w:val="en-GB"/>
        </w:rPr>
        <w:t xml:space="preserve"> to join the negotiations and provide comparable levels of debt write-downs. </w:t>
      </w:r>
    </w:p>
    <w:p w14:paraId="05354EBB" w14:textId="4BF80937" w:rsidR="00CC5861" w:rsidRPr="00260444" w:rsidRDefault="00CC5861" w:rsidP="006767AC">
      <w:pPr>
        <w:pStyle w:val="Heading2"/>
        <w:snapToGrid w:val="0"/>
        <w:spacing w:before="0" w:after="240"/>
        <w:jc w:val="both"/>
        <w:rPr>
          <w:rFonts w:asciiTheme="minorHAnsi" w:hAnsiTheme="minorHAnsi" w:cstheme="minorHAnsi"/>
          <w:b/>
          <w:bCs/>
          <w:sz w:val="24"/>
          <w:szCs w:val="24"/>
          <w:u w:val="single"/>
        </w:rPr>
      </w:pPr>
      <w:r w:rsidRPr="00260444">
        <w:rPr>
          <w:rFonts w:asciiTheme="minorHAnsi" w:hAnsiTheme="minorHAnsi" w:cstheme="minorHAnsi"/>
          <w:b/>
          <w:bCs/>
          <w:sz w:val="24"/>
          <w:szCs w:val="24"/>
          <w:u w:val="single"/>
        </w:rPr>
        <w:t>Policy solutions (</w:t>
      </w:r>
      <w:r w:rsidR="00554CE9">
        <w:rPr>
          <w:rFonts w:asciiTheme="minorHAnsi" w:hAnsiTheme="minorHAnsi" w:cstheme="minorHAnsi"/>
          <w:b/>
          <w:bCs/>
          <w:sz w:val="24"/>
          <w:szCs w:val="24"/>
          <w:u w:val="single"/>
        </w:rPr>
        <w:t xml:space="preserve">max. </w:t>
      </w:r>
      <w:r w:rsidRPr="00260444">
        <w:rPr>
          <w:rFonts w:asciiTheme="minorHAnsi" w:hAnsiTheme="minorHAnsi" w:cstheme="minorHAnsi"/>
          <w:b/>
          <w:bCs/>
          <w:sz w:val="24"/>
          <w:szCs w:val="24"/>
          <w:u w:val="single"/>
        </w:rPr>
        <w:t>500 words)</w:t>
      </w:r>
    </w:p>
    <w:p w14:paraId="01C51895" w14:textId="4DCA7C44" w:rsidR="0037795D" w:rsidRPr="004867A1" w:rsidRDefault="009E6BF5" w:rsidP="006767AC">
      <w:pPr>
        <w:pStyle w:val="ListParagraph"/>
        <w:numPr>
          <w:ilvl w:val="0"/>
          <w:numId w:val="8"/>
        </w:numPr>
        <w:snapToGrid w:val="0"/>
        <w:spacing w:after="240" w:line="240" w:lineRule="auto"/>
        <w:contextualSpacing w:val="0"/>
        <w:jc w:val="both"/>
        <w:rPr>
          <w:rFonts w:cs="Cordia New"/>
          <w:szCs w:val="28"/>
          <w:lang w:bidi="th-TH"/>
        </w:rPr>
      </w:pPr>
      <w:r w:rsidRPr="009E6BF5">
        <w:rPr>
          <w:rFonts w:cstheme="minorHAnsi"/>
          <w:b/>
          <w:bCs/>
        </w:rPr>
        <w:t>Pursue a differentiated treatment of public debt sustainability concerns according to the underlying causes</w:t>
      </w:r>
      <w:r w:rsidR="0037795D" w:rsidRPr="009E6BF5">
        <w:rPr>
          <w:rFonts w:cstheme="minorHAnsi"/>
          <w:b/>
          <w:bCs/>
        </w:rPr>
        <w:t>.</w:t>
      </w:r>
      <w:r w:rsidR="0037795D" w:rsidRPr="009E6BF5">
        <w:rPr>
          <w:rFonts w:cstheme="minorHAnsi"/>
        </w:rPr>
        <w:t xml:space="preserve"> </w:t>
      </w:r>
      <w:r w:rsidR="0085079A" w:rsidRPr="0085079A">
        <w:rPr>
          <w:rFonts w:cstheme="minorHAnsi"/>
          <w:lang w:val="en-GB"/>
        </w:rPr>
        <w:t>Recognizing the three different underlying sources of public debt distress and the necessity of differentiated treatment for each is the first step towards a systematic and coherent response to the contemporary public debt and development financing challenge. Timely and adequate liquidity support for developing countries affected by unanticipated economic and natural disaster shocks beyond their control is necessary to help them bounce back economically and financially and maintain long-term fiscal solvency. Meanwhile, for public debt distresses caused by sustained economic or fiscal mismanagement, debtor countries rather the creditors should be held primarily accountable for the consequences and needed measures.</w:t>
      </w:r>
    </w:p>
    <w:p w14:paraId="59A36232" w14:textId="7BDBB445" w:rsidR="00497D98" w:rsidRPr="004867A1" w:rsidRDefault="009D3A11" w:rsidP="006767AC">
      <w:pPr>
        <w:pStyle w:val="ListParagraph"/>
        <w:numPr>
          <w:ilvl w:val="0"/>
          <w:numId w:val="8"/>
        </w:numPr>
        <w:snapToGrid w:val="0"/>
        <w:spacing w:after="240" w:line="240" w:lineRule="auto"/>
        <w:contextualSpacing w:val="0"/>
        <w:jc w:val="both"/>
        <w:rPr>
          <w:rFonts w:cs="Cordia New"/>
          <w:szCs w:val="28"/>
          <w:lang w:bidi="th-TH"/>
        </w:rPr>
      </w:pPr>
      <w:r w:rsidRPr="009D3A11">
        <w:rPr>
          <w:rFonts w:cstheme="minorHAnsi"/>
          <w:b/>
          <w:bCs/>
        </w:rPr>
        <w:t xml:space="preserve">Significantly scale up </w:t>
      </w:r>
      <w:proofErr w:type="gramStart"/>
      <w:r w:rsidRPr="009D3A11">
        <w:rPr>
          <w:rFonts w:cstheme="minorHAnsi"/>
          <w:b/>
          <w:bCs/>
        </w:rPr>
        <w:t>ex ante</w:t>
      </w:r>
      <w:proofErr w:type="gramEnd"/>
      <w:r w:rsidRPr="009D3A11">
        <w:rPr>
          <w:rFonts w:cstheme="minorHAnsi"/>
          <w:b/>
          <w:bCs/>
        </w:rPr>
        <w:t xml:space="preserve"> development transfers as an alternative to ex-post debt relief</w:t>
      </w:r>
      <w:r w:rsidR="0037795D" w:rsidRPr="00497D98">
        <w:rPr>
          <w:rFonts w:cstheme="minorHAnsi"/>
          <w:b/>
          <w:bCs/>
        </w:rPr>
        <w:t>.</w:t>
      </w:r>
      <w:r w:rsidR="00EF3ECB">
        <w:rPr>
          <w:rFonts w:cstheme="minorHAnsi"/>
          <w:b/>
          <w:bCs/>
        </w:rPr>
        <w:t xml:space="preserve"> </w:t>
      </w:r>
      <w:r w:rsidR="00EF3ECB">
        <w:rPr>
          <w:rFonts w:cstheme="minorHAnsi"/>
        </w:rPr>
        <w:t>S</w:t>
      </w:r>
      <w:r w:rsidR="00CD751C" w:rsidRPr="00CD751C">
        <w:rPr>
          <w:rFonts w:cstheme="minorHAnsi"/>
        </w:rPr>
        <w:t>caling up ex-ante development transfers voluntarily would be a much more desirable option for the international development community than being forced to provide complicated and painful ex-post debt reliefs.</w:t>
      </w:r>
      <w:r w:rsidR="00A55566">
        <w:rPr>
          <w:rFonts w:cstheme="minorHAnsi"/>
        </w:rPr>
        <w:t xml:space="preserve"> </w:t>
      </w:r>
      <w:r w:rsidR="00CD751C" w:rsidRPr="00A55566">
        <w:rPr>
          <w:rFonts w:cstheme="minorHAnsi"/>
        </w:rPr>
        <w:t>Generous ex-ante development transfers to reduce future necessity for debt relief is not without precedent</w:t>
      </w:r>
      <w:r w:rsidR="00A55566">
        <w:rPr>
          <w:rFonts w:cstheme="minorHAnsi"/>
        </w:rPr>
        <w:t>, as in the example of t</w:t>
      </w:r>
      <w:r w:rsidR="00CD751C" w:rsidRPr="00A55566">
        <w:rPr>
          <w:rFonts w:cstheme="minorHAnsi"/>
        </w:rPr>
        <w:t xml:space="preserve">he </w:t>
      </w:r>
      <w:proofErr w:type="spellStart"/>
      <w:r w:rsidR="00CD751C" w:rsidRPr="00A55566">
        <w:rPr>
          <w:rFonts w:cstheme="minorHAnsi"/>
        </w:rPr>
        <w:t>NextGenerationEU</w:t>
      </w:r>
      <w:proofErr w:type="spellEnd"/>
      <w:r w:rsidR="00CD751C" w:rsidRPr="00A55566">
        <w:rPr>
          <w:rFonts w:cstheme="minorHAnsi"/>
        </w:rPr>
        <w:t xml:space="preserve"> </w:t>
      </w:r>
      <w:proofErr w:type="spellStart"/>
      <w:r w:rsidR="00CD751C" w:rsidRPr="00A55566">
        <w:rPr>
          <w:rFonts w:cstheme="minorHAnsi"/>
        </w:rPr>
        <w:t>programme</w:t>
      </w:r>
      <w:proofErr w:type="spellEnd"/>
      <w:r w:rsidR="00CD751C" w:rsidRPr="00A55566">
        <w:rPr>
          <w:rFonts w:cstheme="minorHAnsi"/>
        </w:rPr>
        <w:t xml:space="preserve"> in 2021</w:t>
      </w:r>
      <w:r w:rsidR="00A55566">
        <w:rPr>
          <w:rFonts w:cstheme="minorHAnsi"/>
        </w:rPr>
        <w:t>.</w:t>
      </w:r>
    </w:p>
    <w:p w14:paraId="422BF902" w14:textId="4A1FBF3C" w:rsidR="00413DD1" w:rsidRPr="004867A1" w:rsidRDefault="00315BEA" w:rsidP="006767AC">
      <w:pPr>
        <w:pStyle w:val="ListParagraph"/>
        <w:numPr>
          <w:ilvl w:val="0"/>
          <w:numId w:val="8"/>
        </w:numPr>
        <w:snapToGrid w:val="0"/>
        <w:spacing w:after="240" w:line="240" w:lineRule="auto"/>
        <w:contextualSpacing w:val="0"/>
        <w:jc w:val="both"/>
        <w:rPr>
          <w:rFonts w:cs="Cordia New"/>
          <w:szCs w:val="28"/>
          <w:lang w:bidi="th-TH"/>
        </w:rPr>
      </w:pPr>
      <w:r w:rsidRPr="00C92CB7">
        <w:rPr>
          <w:rFonts w:cstheme="minorHAnsi"/>
          <w:b/>
          <w:bCs/>
        </w:rPr>
        <w:lastRenderedPageBreak/>
        <w:t>Prioritize productive use of borrowed funds and effective public debt management</w:t>
      </w:r>
      <w:r w:rsidR="0037795D" w:rsidRPr="00C92CB7">
        <w:rPr>
          <w:rFonts w:cstheme="minorHAnsi"/>
          <w:b/>
          <w:bCs/>
        </w:rPr>
        <w:t xml:space="preserve">. </w:t>
      </w:r>
      <w:r w:rsidR="00C92CB7" w:rsidRPr="00E837FF">
        <w:rPr>
          <w:rFonts w:cstheme="minorHAnsi"/>
        </w:rPr>
        <w:t xml:space="preserve">To effectively leverage debt as a tool for expanding development finance without compromising on fiscal sustainability, it is paramount that developing Asia-Pacific countries put the borrowed funds to productive use, rather than wasting them on ill-conceived or </w:t>
      </w:r>
      <w:proofErr w:type="gramStart"/>
      <w:r w:rsidR="00C92CB7" w:rsidRPr="00E837FF">
        <w:rPr>
          <w:rFonts w:cstheme="minorHAnsi"/>
        </w:rPr>
        <w:t>poorly-implemented</w:t>
      </w:r>
      <w:proofErr w:type="gramEnd"/>
      <w:r w:rsidR="00C92CB7" w:rsidRPr="00E837FF">
        <w:rPr>
          <w:rFonts w:cstheme="minorHAnsi"/>
        </w:rPr>
        <w:t xml:space="preserve"> projects or financing wasteful consumption. Effective public debt management through clearly articulated policy objectives and legal frameworks, procedural and institutional transparency and accountability, and strengthened debt statistics can further expand the safety margin for debt financing for development. </w:t>
      </w:r>
    </w:p>
    <w:p w14:paraId="5E1EBBAF" w14:textId="116E14CE" w:rsidR="00571C69" w:rsidRPr="004867A1" w:rsidRDefault="00730DCC" w:rsidP="006767AC">
      <w:pPr>
        <w:pStyle w:val="ListParagraph"/>
        <w:numPr>
          <w:ilvl w:val="0"/>
          <w:numId w:val="8"/>
        </w:numPr>
        <w:snapToGrid w:val="0"/>
        <w:spacing w:after="240" w:line="240" w:lineRule="auto"/>
        <w:contextualSpacing w:val="0"/>
        <w:jc w:val="both"/>
        <w:rPr>
          <w:rFonts w:cs="Cordia New"/>
          <w:szCs w:val="28"/>
          <w:lang w:bidi="th-TH"/>
        </w:rPr>
      </w:pPr>
      <w:r w:rsidRPr="00B87E77">
        <w:rPr>
          <w:rFonts w:cstheme="minorHAnsi"/>
          <w:b/>
          <w:bCs/>
        </w:rPr>
        <w:t>Build</w:t>
      </w:r>
      <w:r w:rsidR="00636161">
        <w:rPr>
          <w:rFonts w:cstheme="minorHAnsi"/>
          <w:b/>
          <w:bCs/>
        </w:rPr>
        <w:t xml:space="preserve"> further</w:t>
      </w:r>
      <w:r w:rsidRPr="00B87E77">
        <w:rPr>
          <w:rFonts w:cstheme="minorHAnsi"/>
          <w:b/>
          <w:bCs/>
        </w:rPr>
        <w:t xml:space="preserve"> on </w:t>
      </w:r>
      <w:r w:rsidR="00636161">
        <w:rPr>
          <w:rFonts w:cstheme="minorHAnsi"/>
          <w:b/>
          <w:bCs/>
        </w:rPr>
        <w:t xml:space="preserve">recent </w:t>
      </w:r>
      <w:r w:rsidR="00B87E77" w:rsidRPr="00B87E77">
        <w:rPr>
          <w:rFonts w:cstheme="minorHAnsi"/>
          <w:b/>
          <w:bCs/>
        </w:rPr>
        <w:t>progress and t</w:t>
      </w:r>
      <w:r w:rsidRPr="00B87E77">
        <w:rPr>
          <w:rFonts w:cstheme="minorHAnsi"/>
          <w:b/>
          <w:bCs/>
        </w:rPr>
        <w:t xml:space="preserve">ake pragmatic approaches </w:t>
      </w:r>
      <w:r w:rsidR="00636161">
        <w:rPr>
          <w:rFonts w:cstheme="minorHAnsi"/>
          <w:b/>
          <w:bCs/>
        </w:rPr>
        <w:t>regarding</w:t>
      </w:r>
      <w:r w:rsidRPr="00B87E77">
        <w:rPr>
          <w:rFonts w:cstheme="minorHAnsi"/>
          <w:b/>
          <w:bCs/>
        </w:rPr>
        <w:t xml:space="preserve"> </w:t>
      </w:r>
      <w:r w:rsidR="00B87E77" w:rsidRPr="00B87E77">
        <w:rPr>
          <w:rFonts w:cstheme="minorHAnsi"/>
          <w:b/>
          <w:bCs/>
        </w:rPr>
        <w:t>sovereign debt restructuring</w:t>
      </w:r>
      <w:r w:rsidR="00B87E77">
        <w:rPr>
          <w:rFonts w:cstheme="minorHAnsi"/>
        </w:rPr>
        <w:t xml:space="preserve">. </w:t>
      </w:r>
      <w:r w:rsidR="000B5F9F">
        <w:rPr>
          <w:rFonts w:cstheme="minorHAnsi"/>
          <w:lang w:val="en-GB"/>
        </w:rPr>
        <w:t>F</w:t>
      </w:r>
      <w:r w:rsidR="00344D73">
        <w:rPr>
          <w:rFonts w:cstheme="minorHAnsi"/>
          <w:lang w:val="en-GB"/>
        </w:rPr>
        <w:t xml:space="preserve">urther progress in CACs and “anti-vulture” legislation </w:t>
      </w:r>
      <w:r w:rsidR="00F31A4B">
        <w:rPr>
          <w:rFonts w:cstheme="minorHAnsi"/>
          <w:lang w:val="en-GB"/>
        </w:rPr>
        <w:t>together with</w:t>
      </w:r>
      <w:r w:rsidR="00344D73">
        <w:rPr>
          <w:rFonts w:cstheme="minorHAnsi"/>
          <w:lang w:val="en-GB"/>
        </w:rPr>
        <w:t xml:space="preserve"> explor</w:t>
      </w:r>
      <w:r w:rsidR="000B5BBB">
        <w:rPr>
          <w:rFonts w:cstheme="minorHAnsi"/>
          <w:lang w:val="en-GB"/>
        </w:rPr>
        <w:t>ing</w:t>
      </w:r>
      <w:r w:rsidR="00344D73">
        <w:rPr>
          <w:rFonts w:cstheme="minorHAnsi"/>
          <w:lang w:val="en-GB"/>
        </w:rPr>
        <w:t xml:space="preserve"> innovative solutions </w:t>
      </w:r>
      <w:r w:rsidR="00D354AE">
        <w:rPr>
          <w:rFonts w:cstheme="minorHAnsi"/>
          <w:lang w:val="en-GB"/>
        </w:rPr>
        <w:t>such as state-contingent clauses in sovereign borrowing</w:t>
      </w:r>
      <w:r w:rsidR="000B5BBB">
        <w:rPr>
          <w:rFonts w:cstheme="minorHAnsi"/>
          <w:lang w:val="en-GB"/>
        </w:rPr>
        <w:t xml:space="preserve"> </w:t>
      </w:r>
      <w:r w:rsidR="00AE4CAE">
        <w:rPr>
          <w:rFonts w:cstheme="minorHAnsi"/>
          <w:lang w:val="en-GB"/>
        </w:rPr>
        <w:t>are</w:t>
      </w:r>
      <w:r w:rsidR="000B5BBB">
        <w:rPr>
          <w:rFonts w:cstheme="minorHAnsi"/>
          <w:lang w:val="en-GB"/>
        </w:rPr>
        <w:t xml:space="preserve"> arguably b</w:t>
      </w:r>
      <w:r w:rsidR="0033280B">
        <w:rPr>
          <w:rFonts w:cstheme="minorHAnsi"/>
          <w:lang w:val="en-GB"/>
        </w:rPr>
        <w:t>e</w:t>
      </w:r>
      <w:r w:rsidR="000B5BBB">
        <w:rPr>
          <w:rFonts w:cstheme="minorHAnsi"/>
          <w:lang w:val="en-GB"/>
        </w:rPr>
        <w:t>tter second-best choice</w:t>
      </w:r>
      <w:r w:rsidR="00AE4CAE">
        <w:rPr>
          <w:rFonts w:cstheme="minorHAnsi"/>
          <w:lang w:val="en-GB"/>
        </w:rPr>
        <w:t>s</w:t>
      </w:r>
      <w:r w:rsidR="00D354AE">
        <w:rPr>
          <w:rFonts w:cstheme="minorHAnsi"/>
          <w:lang w:val="en-GB"/>
        </w:rPr>
        <w:t xml:space="preserve"> </w:t>
      </w:r>
      <w:r w:rsidR="00CD30C9">
        <w:rPr>
          <w:rFonts w:cstheme="minorHAnsi"/>
          <w:lang w:val="en-GB"/>
        </w:rPr>
        <w:t xml:space="preserve">compared to </w:t>
      </w:r>
      <w:r w:rsidR="0033280B">
        <w:rPr>
          <w:rFonts w:cstheme="minorHAnsi"/>
          <w:lang w:val="en-GB"/>
        </w:rPr>
        <w:t>introducing ‘</w:t>
      </w:r>
      <w:r w:rsidR="00CD30C9">
        <w:rPr>
          <w:rFonts w:cstheme="minorHAnsi"/>
          <w:lang w:val="en-GB"/>
        </w:rPr>
        <w:t xml:space="preserve">hard </w:t>
      </w:r>
      <w:proofErr w:type="gramStart"/>
      <w:r w:rsidR="00CD30C9">
        <w:rPr>
          <w:rFonts w:cstheme="minorHAnsi"/>
          <w:lang w:val="en-GB"/>
        </w:rPr>
        <w:t>laws</w:t>
      </w:r>
      <w:r w:rsidR="0033280B">
        <w:rPr>
          <w:rFonts w:cstheme="minorHAnsi"/>
          <w:lang w:val="en-GB"/>
        </w:rPr>
        <w:t>’</w:t>
      </w:r>
      <w:proofErr w:type="gramEnd"/>
      <w:r w:rsidR="00CD30C9">
        <w:rPr>
          <w:rFonts w:cstheme="minorHAnsi"/>
          <w:lang w:val="en-GB"/>
        </w:rPr>
        <w:t xml:space="preserve"> and centralized arbitration mechanisms for sovereign debt restructuring.</w:t>
      </w:r>
      <w:r w:rsidR="00C51409">
        <w:rPr>
          <w:rFonts w:cstheme="minorHAnsi"/>
          <w:lang w:val="en-GB"/>
        </w:rPr>
        <w:t xml:space="preserve"> Meanwhile, </w:t>
      </w:r>
      <w:r w:rsidR="00DB2216">
        <w:rPr>
          <w:rFonts w:cstheme="minorHAnsi"/>
          <w:lang w:val="en-GB"/>
        </w:rPr>
        <w:t xml:space="preserve">for the </w:t>
      </w:r>
      <w:r w:rsidR="00DB2216" w:rsidRPr="00456916">
        <w:rPr>
          <w:rFonts w:cstheme="minorHAnsi"/>
          <w:lang w:val="en-GB"/>
        </w:rPr>
        <w:t>G20 Common Framework for Debt Treatments</w:t>
      </w:r>
      <w:r w:rsidR="00DB2216">
        <w:rPr>
          <w:rFonts w:cstheme="minorHAnsi"/>
          <w:lang w:val="en-GB"/>
        </w:rPr>
        <w:t xml:space="preserve"> to </w:t>
      </w:r>
      <w:r w:rsidR="00CA6C7D">
        <w:rPr>
          <w:rFonts w:cstheme="minorHAnsi"/>
          <w:lang w:val="en-GB"/>
        </w:rPr>
        <w:t xml:space="preserve">fulfil its objective, </w:t>
      </w:r>
      <w:r w:rsidR="00AE4CAE">
        <w:rPr>
          <w:rFonts w:cstheme="minorHAnsi"/>
          <w:lang w:val="en-GB"/>
        </w:rPr>
        <w:t>understanding</w:t>
      </w:r>
      <w:r w:rsidR="00CA6C7D">
        <w:rPr>
          <w:rFonts w:cstheme="minorHAnsi"/>
          <w:lang w:val="en-GB"/>
        </w:rPr>
        <w:t xml:space="preserve"> the necessity of differentiated treatment of </w:t>
      </w:r>
      <w:r w:rsidR="00360894">
        <w:rPr>
          <w:rFonts w:cstheme="minorHAnsi"/>
          <w:lang w:val="en-GB"/>
        </w:rPr>
        <w:t>debt distress according to its underlying cause</w:t>
      </w:r>
      <w:r w:rsidR="004B2D96">
        <w:rPr>
          <w:rFonts w:cstheme="minorHAnsi"/>
          <w:lang w:val="en-GB"/>
        </w:rPr>
        <w:t xml:space="preserve"> and </w:t>
      </w:r>
      <w:r w:rsidR="00181DC1">
        <w:rPr>
          <w:rFonts w:cstheme="minorHAnsi"/>
          <w:lang w:val="en-GB"/>
        </w:rPr>
        <w:t>recognizing the</w:t>
      </w:r>
      <w:r w:rsidR="004B2D96">
        <w:rPr>
          <w:rFonts w:cstheme="minorHAnsi"/>
          <w:lang w:val="en-GB"/>
        </w:rPr>
        <w:t xml:space="preserve"> shared but differentiated responsibilities of traditional, non-traditional and commercial creditors in sovereign debt restructuring </w:t>
      </w:r>
      <w:r w:rsidR="00B93A3E">
        <w:rPr>
          <w:rFonts w:cstheme="minorHAnsi"/>
          <w:lang w:val="en-GB"/>
        </w:rPr>
        <w:t xml:space="preserve">would be </w:t>
      </w:r>
      <w:r w:rsidR="00934C42">
        <w:rPr>
          <w:rFonts w:cstheme="minorHAnsi"/>
          <w:lang w:val="en-GB"/>
        </w:rPr>
        <w:t>help</w:t>
      </w:r>
      <w:r w:rsidR="00D46C5F">
        <w:rPr>
          <w:rFonts w:cstheme="minorHAnsi"/>
          <w:lang w:val="en-GB"/>
        </w:rPr>
        <w:t>ful steps to</w:t>
      </w:r>
      <w:r w:rsidR="00B93A3E">
        <w:rPr>
          <w:rFonts w:cstheme="minorHAnsi"/>
          <w:lang w:val="en-GB"/>
        </w:rPr>
        <w:t xml:space="preserve"> move forward. </w:t>
      </w:r>
      <w:r w:rsidR="00443EB0">
        <w:rPr>
          <w:rFonts w:cstheme="minorHAnsi"/>
          <w:lang w:val="en-GB"/>
        </w:rPr>
        <w:t xml:space="preserve"> </w:t>
      </w:r>
    </w:p>
    <w:p w14:paraId="25B6740B" w14:textId="194A0350" w:rsidR="00593B79" w:rsidRPr="004867A1" w:rsidRDefault="00593B79" w:rsidP="006767AC">
      <w:pPr>
        <w:pStyle w:val="Heading2"/>
        <w:spacing w:before="0" w:after="240" w:line="240" w:lineRule="auto"/>
        <w:jc w:val="both"/>
        <w:rPr>
          <w:lang w:val="en-GB" w:bidi="th-TH"/>
        </w:rPr>
      </w:pPr>
      <w:r w:rsidRPr="00D46C5F">
        <w:rPr>
          <w:rFonts w:asciiTheme="minorHAnsi" w:hAnsiTheme="minorHAnsi" w:cstheme="minorHAnsi"/>
          <w:b/>
          <w:bCs/>
          <w:sz w:val="24"/>
          <w:szCs w:val="24"/>
          <w:u w:val="single"/>
        </w:rPr>
        <w:t>Specific recommendations for FFD4 (</w:t>
      </w:r>
      <w:r w:rsidR="00554CE9">
        <w:rPr>
          <w:rFonts w:asciiTheme="minorHAnsi" w:hAnsiTheme="minorHAnsi" w:cstheme="minorHAnsi"/>
          <w:b/>
          <w:bCs/>
          <w:sz w:val="24"/>
          <w:szCs w:val="24"/>
          <w:u w:val="single"/>
        </w:rPr>
        <w:t xml:space="preserve">max. </w:t>
      </w:r>
      <w:r w:rsidRPr="00D46C5F">
        <w:rPr>
          <w:rFonts w:asciiTheme="minorHAnsi" w:hAnsiTheme="minorHAnsi" w:cstheme="minorHAnsi"/>
          <w:b/>
          <w:bCs/>
          <w:sz w:val="24"/>
          <w:szCs w:val="24"/>
          <w:u w:val="single"/>
        </w:rPr>
        <w:t>300 words)</w:t>
      </w:r>
    </w:p>
    <w:p w14:paraId="2616A4A7" w14:textId="54B8FF00" w:rsidR="0072638F" w:rsidRPr="0072638F" w:rsidRDefault="0072638F" w:rsidP="006767AC">
      <w:pPr>
        <w:pStyle w:val="ListParagraph"/>
        <w:numPr>
          <w:ilvl w:val="0"/>
          <w:numId w:val="9"/>
        </w:numPr>
        <w:spacing w:after="240" w:line="240" w:lineRule="auto"/>
        <w:jc w:val="both"/>
        <w:rPr>
          <w:rFonts w:cstheme="minorHAnsi"/>
        </w:rPr>
      </w:pPr>
      <w:r>
        <w:rPr>
          <w:rFonts w:cstheme="minorHAnsi"/>
        </w:rPr>
        <w:t xml:space="preserve">Strongly urge for </w:t>
      </w:r>
      <w:r w:rsidR="007F0B44">
        <w:rPr>
          <w:rFonts w:cstheme="minorHAnsi"/>
        </w:rPr>
        <w:t xml:space="preserve">scaling </w:t>
      </w:r>
      <w:r w:rsidR="007F0B44" w:rsidRPr="007F0B44">
        <w:rPr>
          <w:rFonts w:cstheme="minorHAnsi"/>
        </w:rPr>
        <w:t>up ex ante development transfers as an alternative to ex-post debt relief</w:t>
      </w:r>
      <w:r w:rsidR="007F0B44">
        <w:rPr>
          <w:rFonts w:cstheme="minorHAnsi"/>
        </w:rPr>
        <w:t>.</w:t>
      </w:r>
    </w:p>
    <w:p w14:paraId="638E7DB2" w14:textId="77040418" w:rsidR="00593B79" w:rsidRPr="00BB7A26" w:rsidRDefault="006F2D7D" w:rsidP="006767AC">
      <w:pPr>
        <w:pStyle w:val="ListParagraph"/>
        <w:numPr>
          <w:ilvl w:val="0"/>
          <w:numId w:val="9"/>
        </w:numPr>
        <w:spacing w:after="240" w:line="240" w:lineRule="auto"/>
        <w:jc w:val="both"/>
        <w:rPr>
          <w:rFonts w:cstheme="minorHAnsi"/>
        </w:rPr>
      </w:pPr>
      <w:r>
        <w:t xml:space="preserve">Fully recognize the necessity of differentiated treatment </w:t>
      </w:r>
      <w:r>
        <w:rPr>
          <w:rFonts w:cstheme="minorHAnsi"/>
          <w:lang w:val="en-GB"/>
        </w:rPr>
        <w:t>of debt distress according to its underlying cause</w:t>
      </w:r>
      <w:r w:rsidR="00BB7A26">
        <w:t>.</w:t>
      </w:r>
    </w:p>
    <w:p w14:paraId="4BE84B39" w14:textId="1BB1D504" w:rsidR="00BB7A26" w:rsidRPr="00612524" w:rsidRDefault="00BB7A26" w:rsidP="006767AC">
      <w:pPr>
        <w:pStyle w:val="ListParagraph"/>
        <w:numPr>
          <w:ilvl w:val="0"/>
          <w:numId w:val="9"/>
        </w:numPr>
        <w:spacing w:after="240" w:line="240" w:lineRule="auto"/>
        <w:jc w:val="both"/>
        <w:rPr>
          <w:rFonts w:cstheme="minorHAnsi"/>
        </w:rPr>
      </w:pPr>
      <w:r>
        <w:t xml:space="preserve">Fully recognize the </w:t>
      </w:r>
      <w:r w:rsidRPr="00BB7A26">
        <w:t>shared but differentiated responsibilities of traditional</w:t>
      </w:r>
      <w:r>
        <w:t xml:space="preserve"> bilateral</w:t>
      </w:r>
      <w:r w:rsidRPr="00BB7A26">
        <w:t xml:space="preserve">, non-traditional </w:t>
      </w:r>
      <w:r>
        <w:t xml:space="preserve">bilateral </w:t>
      </w:r>
      <w:r w:rsidRPr="00BB7A26">
        <w:t>and commercial creditors in sovereign debt restructuring</w:t>
      </w:r>
      <w:r w:rsidR="00A96766">
        <w:t xml:space="preserve"> for cooperation effort such as the </w:t>
      </w:r>
      <w:r w:rsidR="00A96766" w:rsidRPr="00456916">
        <w:rPr>
          <w:rFonts w:cstheme="minorHAnsi"/>
          <w:lang w:val="en-GB"/>
        </w:rPr>
        <w:t>G20 Common Framework</w:t>
      </w:r>
      <w:r w:rsidR="00A96766">
        <w:rPr>
          <w:rFonts w:cstheme="minorHAnsi"/>
          <w:lang w:val="en-GB"/>
        </w:rPr>
        <w:t xml:space="preserve"> to fulfil its purpose. </w:t>
      </w:r>
    </w:p>
    <w:p w14:paraId="3A9C2793" w14:textId="1AA45D4C" w:rsidR="00593B79" w:rsidRPr="00DA3F34" w:rsidRDefault="00CF3B37" w:rsidP="006767AC">
      <w:pPr>
        <w:pStyle w:val="ListParagraph"/>
        <w:numPr>
          <w:ilvl w:val="0"/>
          <w:numId w:val="9"/>
        </w:numPr>
        <w:spacing w:after="240" w:line="240" w:lineRule="auto"/>
        <w:jc w:val="both"/>
        <w:rPr>
          <w:rFonts w:cstheme="minorHAnsi"/>
        </w:rPr>
      </w:pPr>
      <w:r>
        <w:rPr>
          <w:rFonts w:cstheme="minorHAnsi"/>
        </w:rPr>
        <w:t>Advocate for gre</w:t>
      </w:r>
      <w:r w:rsidR="00FA571D">
        <w:rPr>
          <w:rFonts w:cstheme="minorHAnsi"/>
        </w:rPr>
        <w:t xml:space="preserve">ater </w:t>
      </w:r>
      <w:r w:rsidR="004B59B0">
        <w:rPr>
          <w:rFonts w:cstheme="minorHAnsi"/>
        </w:rPr>
        <w:t>commitments</w:t>
      </w:r>
      <w:r w:rsidR="00FA571D">
        <w:rPr>
          <w:rFonts w:cstheme="minorHAnsi"/>
        </w:rPr>
        <w:t xml:space="preserve"> by</w:t>
      </w:r>
      <w:r>
        <w:rPr>
          <w:rFonts w:cstheme="minorHAnsi"/>
        </w:rPr>
        <w:t xml:space="preserve"> developing countries</w:t>
      </w:r>
      <w:r w:rsidR="00FA571D">
        <w:rPr>
          <w:rFonts w:cstheme="minorHAnsi"/>
        </w:rPr>
        <w:t xml:space="preserve"> </w:t>
      </w:r>
      <w:r w:rsidR="004B59B0">
        <w:rPr>
          <w:rFonts w:cstheme="minorHAnsi"/>
        </w:rPr>
        <w:t>to</w:t>
      </w:r>
      <w:r w:rsidR="00FA571D">
        <w:rPr>
          <w:rFonts w:cstheme="minorHAnsi"/>
        </w:rPr>
        <w:t xml:space="preserve"> accountable and productive use of borrowed funds </w:t>
      </w:r>
      <w:r w:rsidR="004B59B0">
        <w:rPr>
          <w:rFonts w:cstheme="minorHAnsi"/>
        </w:rPr>
        <w:t xml:space="preserve">and effective </w:t>
      </w:r>
      <w:r w:rsidR="00A57D1E">
        <w:rPr>
          <w:rFonts w:cstheme="minorHAnsi"/>
        </w:rPr>
        <w:t>public debt management</w:t>
      </w:r>
      <w:r w:rsidR="00593B79">
        <w:rPr>
          <w:rFonts w:cstheme="minorHAnsi"/>
        </w:rPr>
        <w:t xml:space="preserve">.  </w:t>
      </w:r>
    </w:p>
    <w:p w14:paraId="06DEA29E" w14:textId="77777777" w:rsidR="00593B79" w:rsidRPr="004867A1" w:rsidRDefault="00593B79" w:rsidP="006767AC">
      <w:pPr>
        <w:pStyle w:val="ListParagraph"/>
        <w:spacing w:after="240" w:line="240" w:lineRule="auto"/>
        <w:ind w:left="0"/>
        <w:jc w:val="both"/>
        <w:rPr>
          <w:rFonts w:cs="Cordia New"/>
          <w:szCs w:val="28"/>
          <w:lang w:val="en-GB" w:bidi="th-TH"/>
        </w:rPr>
      </w:pPr>
    </w:p>
    <w:p w14:paraId="2611436B" w14:textId="452963BD" w:rsidR="00593B79" w:rsidRPr="00A80425" w:rsidRDefault="00A80425" w:rsidP="006767AC">
      <w:pPr>
        <w:spacing w:after="240" w:line="240" w:lineRule="auto"/>
        <w:jc w:val="both"/>
        <w:rPr>
          <w:b/>
          <w:bCs/>
        </w:rPr>
      </w:pPr>
      <w:r w:rsidRPr="006767AC">
        <w:rPr>
          <w:b/>
          <w:bCs/>
        </w:rPr>
        <w:t>A</w:t>
      </w:r>
      <w:r w:rsidR="00593B79" w:rsidRPr="006767AC">
        <w:rPr>
          <w:b/>
          <w:bCs/>
        </w:rPr>
        <w:t xml:space="preserve"> 75-word summary of the brief for the website.</w:t>
      </w:r>
    </w:p>
    <w:p w14:paraId="7F54264D" w14:textId="66E25393" w:rsidR="00593B79" w:rsidRDefault="007842E7" w:rsidP="006767AC">
      <w:pPr>
        <w:spacing w:after="240" w:line="240" w:lineRule="auto"/>
        <w:jc w:val="both"/>
      </w:pPr>
      <w:r>
        <w:t>Public debt distress has three distinct underlying causes which should be evaluated and addressed differently</w:t>
      </w:r>
      <w:r w:rsidR="00B375D2">
        <w:t xml:space="preserve">. Similarly, </w:t>
      </w:r>
      <w:r w:rsidR="00E57C23">
        <w:t>t</w:t>
      </w:r>
      <w:r>
        <w:t xml:space="preserve">raditional bilateral, non-traditional bilateral and commercial creditors have shared but differentiated responsibilities in </w:t>
      </w:r>
      <w:r w:rsidR="00C16A3C">
        <w:t>sovereign debt restructuring</w:t>
      </w:r>
      <w:r>
        <w:t>. Proper resolution of sovereign debt distress should ideally be guided by the</w:t>
      </w:r>
      <w:r w:rsidR="00681CEB">
        <w:t xml:space="preserve">se </w:t>
      </w:r>
      <w:r>
        <w:t>two principles/realit</w:t>
      </w:r>
      <w:r w:rsidR="00681CEB">
        <w:t>ies</w:t>
      </w:r>
      <w:r>
        <w:t xml:space="preserve">, while </w:t>
      </w:r>
      <w:r w:rsidR="00AF4347">
        <w:t xml:space="preserve">continuing with </w:t>
      </w:r>
      <w:r>
        <w:t>pragmatic second-b</w:t>
      </w:r>
      <w:r w:rsidR="00B375D2">
        <w:t>e</w:t>
      </w:r>
      <w:r>
        <w:t>st approach</w:t>
      </w:r>
      <w:r w:rsidR="00B375D2">
        <w:t>es</w:t>
      </w:r>
      <w:r>
        <w:t>.</w:t>
      </w:r>
      <w:r w:rsidR="00681CEB">
        <w:t xml:space="preserve"> </w:t>
      </w:r>
      <w:r w:rsidR="004E0BEB">
        <w:t>De</w:t>
      </w:r>
      <w:r w:rsidR="00681CEB">
        <w:t>btor countries should also hold their side of the bargain</w:t>
      </w:r>
      <w:r w:rsidR="00761460">
        <w:t xml:space="preserve"> by </w:t>
      </w:r>
      <w:r>
        <w:t>ensur</w:t>
      </w:r>
      <w:r w:rsidR="00761460">
        <w:t>ing</w:t>
      </w:r>
      <w:r>
        <w:t xml:space="preserve"> accountable and productive use of borrowed funds and effective public debt management</w:t>
      </w:r>
      <w:r w:rsidR="00593B79">
        <w:t xml:space="preserve">. </w:t>
      </w:r>
    </w:p>
    <w:p w14:paraId="6779AD93" w14:textId="309649D3" w:rsidR="007D1216" w:rsidRDefault="007D1216" w:rsidP="006767AC">
      <w:pPr>
        <w:spacing w:after="240" w:line="240" w:lineRule="auto"/>
      </w:pPr>
    </w:p>
    <w:sectPr w:rsidR="007D1216" w:rsidSect="00881958">
      <w:footerReference w:type="default" r:id="rId12"/>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EB6AF" w14:textId="77777777" w:rsidR="0009530C" w:rsidRDefault="0009530C" w:rsidP="003A03B5">
      <w:pPr>
        <w:spacing w:after="0" w:line="240" w:lineRule="auto"/>
      </w:pPr>
      <w:r>
        <w:separator/>
      </w:r>
    </w:p>
  </w:endnote>
  <w:endnote w:type="continuationSeparator" w:id="0">
    <w:p w14:paraId="33ACAFED" w14:textId="77777777" w:rsidR="0009530C" w:rsidRDefault="0009530C" w:rsidP="003A03B5">
      <w:pPr>
        <w:spacing w:after="0" w:line="240" w:lineRule="auto"/>
      </w:pPr>
      <w:r>
        <w:continuationSeparator/>
      </w:r>
    </w:p>
  </w:endnote>
  <w:endnote w:type="continuationNotice" w:id="1">
    <w:p w14:paraId="490E67BB" w14:textId="77777777" w:rsidR="0009530C" w:rsidRDefault="00095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Condensed">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723134"/>
      <w:docPartObj>
        <w:docPartGallery w:val="Page Numbers (Bottom of Page)"/>
        <w:docPartUnique/>
      </w:docPartObj>
    </w:sdtPr>
    <w:sdtEndPr>
      <w:rPr>
        <w:noProof/>
      </w:rPr>
    </w:sdtEndPr>
    <w:sdtContent>
      <w:p w14:paraId="424C3F05" w14:textId="432D2A83" w:rsidR="006767AC" w:rsidRDefault="006767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0A21CA" w14:textId="77777777" w:rsidR="006767AC" w:rsidRDefault="0067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C299" w14:textId="77777777" w:rsidR="0009530C" w:rsidRDefault="0009530C" w:rsidP="003A03B5">
      <w:pPr>
        <w:spacing w:after="0" w:line="240" w:lineRule="auto"/>
      </w:pPr>
      <w:r>
        <w:separator/>
      </w:r>
    </w:p>
  </w:footnote>
  <w:footnote w:type="continuationSeparator" w:id="0">
    <w:p w14:paraId="01E70DE0" w14:textId="77777777" w:rsidR="0009530C" w:rsidRDefault="0009530C" w:rsidP="003A03B5">
      <w:pPr>
        <w:spacing w:after="0" w:line="240" w:lineRule="auto"/>
      </w:pPr>
      <w:r>
        <w:continuationSeparator/>
      </w:r>
    </w:p>
  </w:footnote>
  <w:footnote w:type="continuationNotice" w:id="1">
    <w:p w14:paraId="1D2DBBDB" w14:textId="77777777" w:rsidR="0009530C" w:rsidRDefault="0009530C">
      <w:pPr>
        <w:spacing w:after="0" w:line="240" w:lineRule="auto"/>
      </w:pPr>
    </w:p>
  </w:footnote>
  <w:footnote w:id="2">
    <w:p w14:paraId="00D85BB7" w14:textId="77777777" w:rsidR="003F7007" w:rsidRDefault="003F7007" w:rsidP="003F7007">
      <w:pPr>
        <w:pStyle w:val="FootnoteText"/>
      </w:pPr>
      <w:r>
        <w:rPr>
          <w:rStyle w:val="FootnoteReference"/>
        </w:rPr>
        <w:footnoteRef/>
      </w:r>
      <w:r>
        <w:t xml:space="preserve"> </w:t>
      </w:r>
      <w:r w:rsidRPr="00A06E29">
        <w:rPr>
          <w:sz w:val="18"/>
          <w:szCs w:val="18"/>
        </w:rPr>
        <w:t>Such as the Republic of Korea.</w:t>
      </w:r>
    </w:p>
  </w:footnote>
  <w:footnote w:id="3">
    <w:p w14:paraId="07431D21" w14:textId="77777777" w:rsidR="003F7007" w:rsidRDefault="003F7007" w:rsidP="003F7007">
      <w:pPr>
        <w:pStyle w:val="FootnoteText"/>
      </w:pPr>
      <w:r>
        <w:rPr>
          <w:rStyle w:val="FootnoteReference"/>
        </w:rPr>
        <w:footnoteRef/>
      </w:r>
      <w:r>
        <w:t xml:space="preserve"> </w:t>
      </w:r>
      <w:r w:rsidRPr="00B11BCF">
        <w:rPr>
          <w:i/>
          <w:iCs/>
          <w:sz w:val="18"/>
          <w:szCs w:val="18"/>
        </w:rPr>
        <w:t>Economic and Social Survey of Asia and the Pacific 2023: Rethinking Public Debt for the Sustainable Development Goals</w:t>
      </w:r>
      <w:r w:rsidRPr="00B11BCF">
        <w:rPr>
          <w:sz w:val="18"/>
          <w:szCs w:val="18"/>
        </w:rPr>
        <w:t xml:space="preserve"> (United Nations publication, 2023).</w:t>
      </w:r>
    </w:p>
  </w:footnote>
  <w:footnote w:id="4">
    <w:p w14:paraId="34C11D75" w14:textId="77777777" w:rsidR="003F7007" w:rsidRDefault="003F7007" w:rsidP="003F7007">
      <w:pPr>
        <w:pStyle w:val="FootnoteText"/>
      </w:pPr>
      <w:r>
        <w:rPr>
          <w:rStyle w:val="FootnoteReference"/>
        </w:rPr>
        <w:footnoteRef/>
      </w:r>
      <w:r>
        <w:t xml:space="preserve"> </w:t>
      </w:r>
      <w:r w:rsidRPr="00B11BCF">
        <w:rPr>
          <w:rFonts w:ascii="Calibri" w:hAnsi="Calibri" w:cs="Calibri"/>
          <w:i/>
          <w:iCs/>
          <w:sz w:val="18"/>
          <w:szCs w:val="18"/>
        </w:rPr>
        <w:t xml:space="preserve">Economic and Social Survey of Asia and the Pacific 2019: Ambitions Beyond Growth </w:t>
      </w:r>
      <w:r w:rsidRPr="00B11BCF">
        <w:rPr>
          <w:rFonts w:ascii="Calibri" w:hAnsi="Calibri" w:cs="Calibri"/>
          <w:sz w:val="18"/>
          <w:szCs w:val="18"/>
        </w:rPr>
        <w:t>(United Nations publication,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04B5"/>
    <w:multiLevelType w:val="hybridMultilevel"/>
    <w:tmpl w:val="65BC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144F3"/>
    <w:multiLevelType w:val="hybridMultilevel"/>
    <w:tmpl w:val="1D2EE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8467823"/>
    <w:multiLevelType w:val="hybridMultilevel"/>
    <w:tmpl w:val="C658A32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4AD16621"/>
    <w:multiLevelType w:val="hybridMultilevel"/>
    <w:tmpl w:val="F83A6506"/>
    <w:lvl w:ilvl="0" w:tplc="A69E75A6">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EC47AE6"/>
    <w:multiLevelType w:val="hybridMultilevel"/>
    <w:tmpl w:val="57189C12"/>
    <w:lvl w:ilvl="0" w:tplc="179C314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B4148"/>
    <w:multiLevelType w:val="hybridMultilevel"/>
    <w:tmpl w:val="32949F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9014310">
    <w:abstractNumId w:val="0"/>
  </w:num>
  <w:num w:numId="2" w16cid:durableId="705714083">
    <w:abstractNumId w:val="8"/>
  </w:num>
  <w:num w:numId="3" w16cid:durableId="1224489899">
    <w:abstractNumId w:val="5"/>
  </w:num>
  <w:num w:numId="4" w16cid:durableId="839007420">
    <w:abstractNumId w:val="6"/>
  </w:num>
  <w:num w:numId="5" w16cid:durableId="1795057800">
    <w:abstractNumId w:val="7"/>
  </w:num>
  <w:num w:numId="6" w16cid:durableId="1539704886">
    <w:abstractNumId w:val="4"/>
  </w:num>
  <w:num w:numId="7" w16cid:durableId="1965765382">
    <w:abstractNumId w:val="2"/>
  </w:num>
  <w:num w:numId="8" w16cid:durableId="1084455095">
    <w:abstractNumId w:val="10"/>
  </w:num>
  <w:num w:numId="9" w16cid:durableId="431826836">
    <w:abstractNumId w:val="1"/>
  </w:num>
  <w:num w:numId="10" w16cid:durableId="1460297173">
    <w:abstractNumId w:val="3"/>
  </w:num>
  <w:num w:numId="11" w16cid:durableId="440758232">
    <w:abstractNumId w:val="11"/>
  </w:num>
  <w:num w:numId="12" w16cid:durableId="113015318">
    <w:abstractNumId w:val="12"/>
  </w:num>
  <w:num w:numId="13" w16cid:durableId="793673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07FD"/>
    <w:rsid w:val="00007B86"/>
    <w:rsid w:val="00010D14"/>
    <w:rsid w:val="00013E9E"/>
    <w:rsid w:val="00016D11"/>
    <w:rsid w:val="0001754A"/>
    <w:rsid w:val="00030E3E"/>
    <w:rsid w:val="000608F6"/>
    <w:rsid w:val="00062AE5"/>
    <w:rsid w:val="0006746B"/>
    <w:rsid w:val="00067CB0"/>
    <w:rsid w:val="00071553"/>
    <w:rsid w:val="00075EE7"/>
    <w:rsid w:val="00080709"/>
    <w:rsid w:val="00081C3F"/>
    <w:rsid w:val="00082145"/>
    <w:rsid w:val="000848A9"/>
    <w:rsid w:val="000860B6"/>
    <w:rsid w:val="000860F2"/>
    <w:rsid w:val="00091E9E"/>
    <w:rsid w:val="0009530C"/>
    <w:rsid w:val="0009557C"/>
    <w:rsid w:val="000A6AB2"/>
    <w:rsid w:val="000A6DB6"/>
    <w:rsid w:val="000A6EA9"/>
    <w:rsid w:val="000B5BBB"/>
    <w:rsid w:val="000B5F9F"/>
    <w:rsid w:val="000C22A3"/>
    <w:rsid w:val="000C7684"/>
    <w:rsid w:val="000C7E94"/>
    <w:rsid w:val="000D6611"/>
    <w:rsid w:val="000E4F9D"/>
    <w:rsid w:val="000E5753"/>
    <w:rsid w:val="000F09D2"/>
    <w:rsid w:val="000F7EAB"/>
    <w:rsid w:val="00103313"/>
    <w:rsid w:val="00110A0D"/>
    <w:rsid w:val="001172EA"/>
    <w:rsid w:val="00141411"/>
    <w:rsid w:val="00144B92"/>
    <w:rsid w:val="00172FB1"/>
    <w:rsid w:val="00173E3D"/>
    <w:rsid w:val="00174569"/>
    <w:rsid w:val="00181DC1"/>
    <w:rsid w:val="0018255E"/>
    <w:rsid w:val="00186460"/>
    <w:rsid w:val="00193C6E"/>
    <w:rsid w:val="001A29F1"/>
    <w:rsid w:val="001A71B9"/>
    <w:rsid w:val="001C5FC0"/>
    <w:rsid w:val="001C6AEA"/>
    <w:rsid w:val="001D0064"/>
    <w:rsid w:val="001E0B53"/>
    <w:rsid w:val="001E4CD0"/>
    <w:rsid w:val="001F7758"/>
    <w:rsid w:val="00212429"/>
    <w:rsid w:val="002165DA"/>
    <w:rsid w:val="00221785"/>
    <w:rsid w:val="00222533"/>
    <w:rsid w:val="00226DDE"/>
    <w:rsid w:val="0023070C"/>
    <w:rsid w:val="002308B1"/>
    <w:rsid w:val="00230CC0"/>
    <w:rsid w:val="002372F6"/>
    <w:rsid w:val="00237553"/>
    <w:rsid w:val="00242FED"/>
    <w:rsid w:val="00247097"/>
    <w:rsid w:val="00251A33"/>
    <w:rsid w:val="0025202F"/>
    <w:rsid w:val="00254B96"/>
    <w:rsid w:val="00256658"/>
    <w:rsid w:val="00260444"/>
    <w:rsid w:val="00264832"/>
    <w:rsid w:val="00271D1C"/>
    <w:rsid w:val="002723FF"/>
    <w:rsid w:val="00275650"/>
    <w:rsid w:val="00280A5A"/>
    <w:rsid w:val="00284E6A"/>
    <w:rsid w:val="002970C5"/>
    <w:rsid w:val="002A7F8D"/>
    <w:rsid w:val="002B185A"/>
    <w:rsid w:val="002B6682"/>
    <w:rsid w:val="002C6D77"/>
    <w:rsid w:val="002D77CB"/>
    <w:rsid w:val="002E31D3"/>
    <w:rsid w:val="002E5711"/>
    <w:rsid w:val="002F4A33"/>
    <w:rsid w:val="002F6B6C"/>
    <w:rsid w:val="00307FD3"/>
    <w:rsid w:val="003151D7"/>
    <w:rsid w:val="00315BEA"/>
    <w:rsid w:val="00316586"/>
    <w:rsid w:val="00317113"/>
    <w:rsid w:val="00321D09"/>
    <w:rsid w:val="0033280B"/>
    <w:rsid w:val="003336A2"/>
    <w:rsid w:val="00335D60"/>
    <w:rsid w:val="0034282A"/>
    <w:rsid w:val="00344D73"/>
    <w:rsid w:val="003468F0"/>
    <w:rsid w:val="0035358C"/>
    <w:rsid w:val="00360894"/>
    <w:rsid w:val="00360DB2"/>
    <w:rsid w:val="00376418"/>
    <w:rsid w:val="0037795D"/>
    <w:rsid w:val="0038428D"/>
    <w:rsid w:val="00393649"/>
    <w:rsid w:val="00393E38"/>
    <w:rsid w:val="003963B8"/>
    <w:rsid w:val="003A03B5"/>
    <w:rsid w:val="003A1EF7"/>
    <w:rsid w:val="003C2064"/>
    <w:rsid w:val="003C35B8"/>
    <w:rsid w:val="003C65DD"/>
    <w:rsid w:val="003F5302"/>
    <w:rsid w:val="003F7007"/>
    <w:rsid w:val="00410A96"/>
    <w:rsid w:val="004126AF"/>
    <w:rsid w:val="00413DD1"/>
    <w:rsid w:val="0042016D"/>
    <w:rsid w:val="00420526"/>
    <w:rsid w:val="004278CD"/>
    <w:rsid w:val="004377D1"/>
    <w:rsid w:val="00443EB0"/>
    <w:rsid w:val="00454B3C"/>
    <w:rsid w:val="00456916"/>
    <w:rsid w:val="0047542B"/>
    <w:rsid w:val="00482D14"/>
    <w:rsid w:val="004867A1"/>
    <w:rsid w:val="00496E58"/>
    <w:rsid w:val="00497D98"/>
    <w:rsid w:val="004A053B"/>
    <w:rsid w:val="004A3EE6"/>
    <w:rsid w:val="004B2D96"/>
    <w:rsid w:val="004B4781"/>
    <w:rsid w:val="004B59B0"/>
    <w:rsid w:val="004C5A9A"/>
    <w:rsid w:val="004D48FB"/>
    <w:rsid w:val="004D7CFC"/>
    <w:rsid w:val="004E0BEB"/>
    <w:rsid w:val="004E404B"/>
    <w:rsid w:val="004F4DF5"/>
    <w:rsid w:val="005037D8"/>
    <w:rsid w:val="00504D7D"/>
    <w:rsid w:val="00530E05"/>
    <w:rsid w:val="00554CE9"/>
    <w:rsid w:val="005668C2"/>
    <w:rsid w:val="00571C69"/>
    <w:rsid w:val="00574234"/>
    <w:rsid w:val="00581F0F"/>
    <w:rsid w:val="005910B8"/>
    <w:rsid w:val="00593B79"/>
    <w:rsid w:val="005A3F30"/>
    <w:rsid w:val="005A5020"/>
    <w:rsid w:val="005C35E4"/>
    <w:rsid w:val="005D485C"/>
    <w:rsid w:val="005D5E0A"/>
    <w:rsid w:val="005E5258"/>
    <w:rsid w:val="005E7974"/>
    <w:rsid w:val="005F20B5"/>
    <w:rsid w:val="005F2DB2"/>
    <w:rsid w:val="0060263A"/>
    <w:rsid w:val="00615887"/>
    <w:rsid w:val="0062186F"/>
    <w:rsid w:val="00623EC0"/>
    <w:rsid w:val="0063185B"/>
    <w:rsid w:val="00633611"/>
    <w:rsid w:val="0063460B"/>
    <w:rsid w:val="00636161"/>
    <w:rsid w:val="006379E1"/>
    <w:rsid w:val="00653796"/>
    <w:rsid w:val="006570D3"/>
    <w:rsid w:val="00662AF7"/>
    <w:rsid w:val="00667647"/>
    <w:rsid w:val="00673E21"/>
    <w:rsid w:val="006767AC"/>
    <w:rsid w:val="00681CEB"/>
    <w:rsid w:val="00687D89"/>
    <w:rsid w:val="006A343D"/>
    <w:rsid w:val="006A527D"/>
    <w:rsid w:val="006B4CC5"/>
    <w:rsid w:val="006D2780"/>
    <w:rsid w:val="006D4D4C"/>
    <w:rsid w:val="006D6344"/>
    <w:rsid w:val="006E0E82"/>
    <w:rsid w:val="006E19B3"/>
    <w:rsid w:val="006E2FD2"/>
    <w:rsid w:val="006F2D7D"/>
    <w:rsid w:val="006F561E"/>
    <w:rsid w:val="006F74D4"/>
    <w:rsid w:val="00701717"/>
    <w:rsid w:val="00711B07"/>
    <w:rsid w:val="00711C62"/>
    <w:rsid w:val="0071563D"/>
    <w:rsid w:val="00717B21"/>
    <w:rsid w:val="0072536B"/>
    <w:rsid w:val="0072638F"/>
    <w:rsid w:val="00727F63"/>
    <w:rsid w:val="00730DCC"/>
    <w:rsid w:val="0073138A"/>
    <w:rsid w:val="007345E5"/>
    <w:rsid w:val="00735CD2"/>
    <w:rsid w:val="00741DE9"/>
    <w:rsid w:val="007541D2"/>
    <w:rsid w:val="00757449"/>
    <w:rsid w:val="00761460"/>
    <w:rsid w:val="00767E4D"/>
    <w:rsid w:val="00767E88"/>
    <w:rsid w:val="0077138E"/>
    <w:rsid w:val="007814DE"/>
    <w:rsid w:val="007842E7"/>
    <w:rsid w:val="00785364"/>
    <w:rsid w:val="007A4D37"/>
    <w:rsid w:val="007C5C58"/>
    <w:rsid w:val="007D0409"/>
    <w:rsid w:val="007D08C0"/>
    <w:rsid w:val="007D1152"/>
    <w:rsid w:val="007D1216"/>
    <w:rsid w:val="007E048A"/>
    <w:rsid w:val="007E0838"/>
    <w:rsid w:val="007E11AA"/>
    <w:rsid w:val="007F075C"/>
    <w:rsid w:val="007F0B44"/>
    <w:rsid w:val="007F39F9"/>
    <w:rsid w:val="00800CF0"/>
    <w:rsid w:val="008067AE"/>
    <w:rsid w:val="00810B10"/>
    <w:rsid w:val="00812F0E"/>
    <w:rsid w:val="008141BB"/>
    <w:rsid w:val="00817599"/>
    <w:rsid w:val="00817977"/>
    <w:rsid w:val="008216F4"/>
    <w:rsid w:val="0082419E"/>
    <w:rsid w:val="0083710F"/>
    <w:rsid w:val="008422FD"/>
    <w:rsid w:val="008459E7"/>
    <w:rsid w:val="00847237"/>
    <w:rsid w:val="0085079A"/>
    <w:rsid w:val="00850CB6"/>
    <w:rsid w:val="008569CB"/>
    <w:rsid w:val="0086080A"/>
    <w:rsid w:val="00881958"/>
    <w:rsid w:val="00884C03"/>
    <w:rsid w:val="008956A7"/>
    <w:rsid w:val="008A347F"/>
    <w:rsid w:val="008C407B"/>
    <w:rsid w:val="008C4530"/>
    <w:rsid w:val="008D2AA0"/>
    <w:rsid w:val="008D4AB4"/>
    <w:rsid w:val="008E0D0B"/>
    <w:rsid w:val="008E4B85"/>
    <w:rsid w:val="00905DE1"/>
    <w:rsid w:val="00911F13"/>
    <w:rsid w:val="00921D2D"/>
    <w:rsid w:val="00927D0B"/>
    <w:rsid w:val="00933A55"/>
    <w:rsid w:val="00934C42"/>
    <w:rsid w:val="00937A9B"/>
    <w:rsid w:val="00940CF7"/>
    <w:rsid w:val="00944B8A"/>
    <w:rsid w:val="0094705B"/>
    <w:rsid w:val="0095027E"/>
    <w:rsid w:val="0096012B"/>
    <w:rsid w:val="009830E1"/>
    <w:rsid w:val="009A07FB"/>
    <w:rsid w:val="009B3E9B"/>
    <w:rsid w:val="009B46A1"/>
    <w:rsid w:val="009C126D"/>
    <w:rsid w:val="009C281D"/>
    <w:rsid w:val="009C3D29"/>
    <w:rsid w:val="009D23FD"/>
    <w:rsid w:val="009D3A11"/>
    <w:rsid w:val="009D5449"/>
    <w:rsid w:val="009D6678"/>
    <w:rsid w:val="009D6B68"/>
    <w:rsid w:val="009E6BF5"/>
    <w:rsid w:val="009F2854"/>
    <w:rsid w:val="009F354A"/>
    <w:rsid w:val="009F3AC5"/>
    <w:rsid w:val="009F417D"/>
    <w:rsid w:val="00A01EDC"/>
    <w:rsid w:val="00A04221"/>
    <w:rsid w:val="00A06E29"/>
    <w:rsid w:val="00A10D47"/>
    <w:rsid w:val="00A24F8E"/>
    <w:rsid w:val="00A252C5"/>
    <w:rsid w:val="00A30384"/>
    <w:rsid w:val="00A33E41"/>
    <w:rsid w:val="00A3642F"/>
    <w:rsid w:val="00A36EE3"/>
    <w:rsid w:val="00A406BF"/>
    <w:rsid w:val="00A47762"/>
    <w:rsid w:val="00A50AE3"/>
    <w:rsid w:val="00A55566"/>
    <w:rsid w:val="00A5769C"/>
    <w:rsid w:val="00A57D1E"/>
    <w:rsid w:val="00A77295"/>
    <w:rsid w:val="00A80425"/>
    <w:rsid w:val="00A95BEE"/>
    <w:rsid w:val="00A96766"/>
    <w:rsid w:val="00AA7516"/>
    <w:rsid w:val="00AB6DAC"/>
    <w:rsid w:val="00AB73C8"/>
    <w:rsid w:val="00AC5120"/>
    <w:rsid w:val="00AC635D"/>
    <w:rsid w:val="00AD01F7"/>
    <w:rsid w:val="00AD1EA1"/>
    <w:rsid w:val="00AE183B"/>
    <w:rsid w:val="00AE1F25"/>
    <w:rsid w:val="00AE2B30"/>
    <w:rsid w:val="00AE4CAE"/>
    <w:rsid w:val="00AF4347"/>
    <w:rsid w:val="00B05C6D"/>
    <w:rsid w:val="00B0769B"/>
    <w:rsid w:val="00B11039"/>
    <w:rsid w:val="00B16F5C"/>
    <w:rsid w:val="00B202FB"/>
    <w:rsid w:val="00B3011C"/>
    <w:rsid w:val="00B303BA"/>
    <w:rsid w:val="00B37572"/>
    <w:rsid w:val="00B375D2"/>
    <w:rsid w:val="00B43EE6"/>
    <w:rsid w:val="00B44453"/>
    <w:rsid w:val="00B52F12"/>
    <w:rsid w:val="00B57E13"/>
    <w:rsid w:val="00B616AE"/>
    <w:rsid w:val="00B87545"/>
    <w:rsid w:val="00B87E77"/>
    <w:rsid w:val="00B93A3E"/>
    <w:rsid w:val="00BA3673"/>
    <w:rsid w:val="00BA634F"/>
    <w:rsid w:val="00BB7A26"/>
    <w:rsid w:val="00BC63D8"/>
    <w:rsid w:val="00BC6E88"/>
    <w:rsid w:val="00BD1E2F"/>
    <w:rsid w:val="00BF7E5E"/>
    <w:rsid w:val="00C02B63"/>
    <w:rsid w:val="00C16A3C"/>
    <w:rsid w:val="00C269E9"/>
    <w:rsid w:val="00C31270"/>
    <w:rsid w:val="00C3319C"/>
    <w:rsid w:val="00C33837"/>
    <w:rsid w:val="00C338B1"/>
    <w:rsid w:val="00C401B3"/>
    <w:rsid w:val="00C51409"/>
    <w:rsid w:val="00C527EB"/>
    <w:rsid w:val="00C56C2A"/>
    <w:rsid w:val="00C67DDF"/>
    <w:rsid w:val="00C70F61"/>
    <w:rsid w:val="00C7477E"/>
    <w:rsid w:val="00C9157B"/>
    <w:rsid w:val="00C92144"/>
    <w:rsid w:val="00C92CB7"/>
    <w:rsid w:val="00C94910"/>
    <w:rsid w:val="00C95385"/>
    <w:rsid w:val="00C96D98"/>
    <w:rsid w:val="00CA6C7D"/>
    <w:rsid w:val="00CB4DE7"/>
    <w:rsid w:val="00CB7CFB"/>
    <w:rsid w:val="00CC16B2"/>
    <w:rsid w:val="00CC3014"/>
    <w:rsid w:val="00CC4BE8"/>
    <w:rsid w:val="00CC5861"/>
    <w:rsid w:val="00CD30C9"/>
    <w:rsid w:val="00CD5034"/>
    <w:rsid w:val="00CD751C"/>
    <w:rsid w:val="00CF3B37"/>
    <w:rsid w:val="00CF52C4"/>
    <w:rsid w:val="00CF5D40"/>
    <w:rsid w:val="00D0529F"/>
    <w:rsid w:val="00D110C1"/>
    <w:rsid w:val="00D14383"/>
    <w:rsid w:val="00D152DE"/>
    <w:rsid w:val="00D354AE"/>
    <w:rsid w:val="00D375E0"/>
    <w:rsid w:val="00D3789E"/>
    <w:rsid w:val="00D46C5F"/>
    <w:rsid w:val="00D5534A"/>
    <w:rsid w:val="00D6191F"/>
    <w:rsid w:val="00D63084"/>
    <w:rsid w:val="00D6347F"/>
    <w:rsid w:val="00D66E37"/>
    <w:rsid w:val="00D67235"/>
    <w:rsid w:val="00D745E9"/>
    <w:rsid w:val="00D833CC"/>
    <w:rsid w:val="00D8408D"/>
    <w:rsid w:val="00D92B79"/>
    <w:rsid w:val="00D94CC7"/>
    <w:rsid w:val="00D97F52"/>
    <w:rsid w:val="00DA77F9"/>
    <w:rsid w:val="00DB0FD1"/>
    <w:rsid w:val="00DB1E98"/>
    <w:rsid w:val="00DB2216"/>
    <w:rsid w:val="00DB6393"/>
    <w:rsid w:val="00DC2A9F"/>
    <w:rsid w:val="00DD5D61"/>
    <w:rsid w:val="00DE52C0"/>
    <w:rsid w:val="00DF3423"/>
    <w:rsid w:val="00E034CB"/>
    <w:rsid w:val="00E17DF8"/>
    <w:rsid w:val="00E2289C"/>
    <w:rsid w:val="00E307C2"/>
    <w:rsid w:val="00E4238B"/>
    <w:rsid w:val="00E52E8B"/>
    <w:rsid w:val="00E56874"/>
    <w:rsid w:val="00E56DE4"/>
    <w:rsid w:val="00E57C23"/>
    <w:rsid w:val="00E72E81"/>
    <w:rsid w:val="00E864E0"/>
    <w:rsid w:val="00E87149"/>
    <w:rsid w:val="00E9122C"/>
    <w:rsid w:val="00E95DCE"/>
    <w:rsid w:val="00E97C36"/>
    <w:rsid w:val="00EA2081"/>
    <w:rsid w:val="00EB44E9"/>
    <w:rsid w:val="00EC2685"/>
    <w:rsid w:val="00EC70AE"/>
    <w:rsid w:val="00ED7799"/>
    <w:rsid w:val="00EE46AF"/>
    <w:rsid w:val="00EF01AE"/>
    <w:rsid w:val="00EF3ECB"/>
    <w:rsid w:val="00EF5454"/>
    <w:rsid w:val="00F0085E"/>
    <w:rsid w:val="00F02BC7"/>
    <w:rsid w:val="00F072DF"/>
    <w:rsid w:val="00F138BB"/>
    <w:rsid w:val="00F25A8C"/>
    <w:rsid w:val="00F26C34"/>
    <w:rsid w:val="00F30043"/>
    <w:rsid w:val="00F31841"/>
    <w:rsid w:val="00F31A4B"/>
    <w:rsid w:val="00F31DF6"/>
    <w:rsid w:val="00F329CC"/>
    <w:rsid w:val="00F354D0"/>
    <w:rsid w:val="00F37108"/>
    <w:rsid w:val="00F51D60"/>
    <w:rsid w:val="00F547C7"/>
    <w:rsid w:val="00F62F9F"/>
    <w:rsid w:val="00F63348"/>
    <w:rsid w:val="00F86198"/>
    <w:rsid w:val="00F86BE3"/>
    <w:rsid w:val="00F9422C"/>
    <w:rsid w:val="00F97E02"/>
    <w:rsid w:val="00FA571D"/>
    <w:rsid w:val="00FB391F"/>
    <w:rsid w:val="00FB505B"/>
    <w:rsid w:val="00FD1B7F"/>
    <w:rsid w:val="00FD3426"/>
    <w:rsid w:val="00FD7E6C"/>
    <w:rsid w:val="00FE00B2"/>
    <w:rsid w:val="00FE1C96"/>
    <w:rsid w:val="00FE2DF4"/>
    <w:rsid w:val="00FE7386"/>
    <w:rsid w:val="00FE7ED8"/>
    <w:rsid w:val="00FF2D68"/>
    <w:rsid w:val="00FF59DC"/>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467"/>
  <w15:chartTrackingRefBased/>
  <w15:docId w15:val="{92B2E0C4-AB9B-4EF6-8AFA-3569007A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References,Numbered List Paragraph,Numbered Paragraph,Main numbered paragraph,123 List Paragraph,List Paragraph (numbered (a)),Bullets,List Paragraph nowy,Liste 1,List_Paragraph,Multilevel para_II,List Paragraph1,Bullet paras,Body,L"/>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aliases w:val="single space,FOOTNOTES,ADB,footnote text,Footnote Text Char1 Char,Footnote Text Char Char Char,Footnote Text Char1 Char Char Char,Footnote Text Char Char Char Char Char,fn Char Char Char Char Char,footnote text Char Char Char Char Char,ft"/>
    <w:basedOn w:val="Normal"/>
    <w:link w:val="FootnoteTextChar"/>
    <w:unhideWhenUsed/>
    <w:qFormat/>
    <w:rsid w:val="003A03B5"/>
    <w:pPr>
      <w:spacing w:after="0" w:line="240" w:lineRule="auto"/>
    </w:pPr>
    <w:rPr>
      <w:sz w:val="20"/>
      <w:szCs w:val="20"/>
    </w:rPr>
  </w:style>
  <w:style w:type="character" w:customStyle="1" w:styleId="FootnoteTextChar">
    <w:name w:val="Footnote Text Char"/>
    <w:aliases w:val="single space Char,FOOTNOTES Char,ADB Char,footnote text Char,Footnote Text Char1 Char Char,Footnote Text Char Char Char Char,Footnote Text Char1 Char Char Char Char,Footnote Text Char Char Char Char Char Char,ft Char"/>
    <w:basedOn w:val="DefaultParagraphFont"/>
    <w:link w:val="FootnoteText"/>
    <w:qFormat/>
    <w:rsid w:val="003A03B5"/>
    <w:rPr>
      <w:sz w:val="20"/>
      <w:szCs w:val="20"/>
    </w:rPr>
  </w:style>
  <w:style w:type="character" w:styleId="FootnoteReference">
    <w:name w:val="footnote reference"/>
    <w:aliases w:val="SUPERS,16 Point,Superscript 6 Point,ftref,Ref,de nota al pie,Footnote Reference Number,(NECG) Footnote Reference,Footnote text,SUPERS1,SUPERS2,SUPERS3,FNRefe Char,BVI fnr Char,BVI fnr Char Char,BVI fnr Car Car Char Char,footnote ref,E"/>
    <w:basedOn w:val="DefaultParagraphFont"/>
    <w:uiPriority w:val="99"/>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Strong">
    <w:name w:val="Strong"/>
    <w:uiPriority w:val="22"/>
    <w:qFormat/>
    <w:rsid w:val="00A95BEE"/>
    <w:rPr>
      <w:rFonts w:ascii="Roboto Condensed" w:hAnsi="Roboto Condensed"/>
      <w:b w:val="0"/>
      <w:bCs/>
      <w:i w:val="0"/>
      <w:color w:val="ED7D31" w:themeColor="accent2"/>
      <w:sz w:val="20"/>
    </w:rPr>
  </w:style>
  <w:style w:type="character" w:customStyle="1" w:styleId="ListParagraphChar">
    <w:name w:val="List Paragraph Char"/>
    <w:aliases w:val="Table Char,References Char,Numbered List Paragraph Char,Numbered Paragraph Char,Main numbered paragraph Char,123 List Paragraph Char,List Paragraph (numbered (a)) Char,Bullets Char,List Paragraph nowy Char,Liste 1 Char,Body Char"/>
    <w:link w:val="ListParagraph"/>
    <w:uiPriority w:val="34"/>
    <w:qFormat/>
    <w:locked/>
    <w:rsid w:val="00A9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6"/>
          <c:tx>
            <c:strRef>
              <c:f>'[Chapter 3_IV.xlsx]S23_F3.2b_U shaped Subregion'!$H$1</c:f>
              <c:strCache>
                <c:ptCount val="1"/>
                <c:pt idx="0">
                  <c:v>Forecast Year</c:v>
                </c:pt>
              </c:strCache>
            </c:strRef>
          </c:tx>
          <c:spPr>
            <a:solidFill>
              <a:srgbClr val="2D7D7B">
                <a:alpha val="10000"/>
              </a:srgbClr>
            </a:solidFill>
            <a:ln>
              <a:noFill/>
            </a:ln>
            <a:effectLst/>
          </c:spPr>
          <c:invertIfNegative val="0"/>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Subregion'!$H$2:$H$29</c:f>
              <c:numCache>
                <c:formatCode>General</c:formatCode>
                <c:ptCount val="28"/>
                <c:pt idx="22">
                  <c:v>80</c:v>
                </c:pt>
                <c:pt idx="23">
                  <c:v>80</c:v>
                </c:pt>
                <c:pt idx="24">
                  <c:v>80</c:v>
                </c:pt>
                <c:pt idx="25">
                  <c:v>80</c:v>
                </c:pt>
                <c:pt idx="26">
                  <c:v>80</c:v>
                </c:pt>
                <c:pt idx="27">
                  <c:v>80</c:v>
                </c:pt>
              </c:numCache>
            </c:numRef>
          </c:val>
          <c:extLst>
            <c:ext xmlns:c16="http://schemas.microsoft.com/office/drawing/2014/chart" uri="{C3380CC4-5D6E-409C-BE32-E72D297353CC}">
              <c16:uniqueId val="{00000000-A83D-4114-8AB2-5C2E5C40FD6A}"/>
            </c:ext>
          </c:extLst>
        </c:ser>
        <c:dLbls>
          <c:showLegendKey val="0"/>
          <c:showVal val="0"/>
          <c:showCatName val="0"/>
          <c:showSerName val="0"/>
          <c:showPercent val="0"/>
          <c:showBubbleSize val="0"/>
        </c:dLbls>
        <c:gapWidth val="0"/>
        <c:axId val="322610015"/>
        <c:axId val="322613343"/>
      </c:barChart>
      <c:lineChart>
        <c:grouping val="standard"/>
        <c:varyColors val="0"/>
        <c:ser>
          <c:idx val="1"/>
          <c:order val="0"/>
          <c:tx>
            <c:strRef>
              <c:f>'[Chapter 3_IV.xlsx]S23_F3.2b_U shaped Subregion'!$B$1</c:f>
              <c:strCache>
                <c:ptCount val="1"/>
                <c:pt idx="0">
                  <c:v>Developed ESCAP countries</c:v>
                </c:pt>
              </c:strCache>
            </c:strRef>
          </c:tx>
          <c:spPr>
            <a:ln w="50800" cap="rnd" cmpd="tri">
              <a:solidFill>
                <a:srgbClr val="48BDBC"/>
              </a:solidFill>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Subregion'!$B$2:$B$29</c:f>
              <c:numCache>
                <c:formatCode>General</c:formatCode>
                <c:ptCount val="28"/>
                <c:pt idx="0">
                  <c:v>30.027999999999999</c:v>
                </c:pt>
                <c:pt idx="1">
                  <c:v>28.158999999999999</c:v>
                </c:pt>
                <c:pt idx="2">
                  <c:v>26.396000000000001</c:v>
                </c:pt>
                <c:pt idx="3">
                  <c:v>24.716999999999999</c:v>
                </c:pt>
                <c:pt idx="4">
                  <c:v>22.504999999999999</c:v>
                </c:pt>
                <c:pt idx="5">
                  <c:v>20.780999999999999</c:v>
                </c:pt>
                <c:pt idx="6">
                  <c:v>18.399999999999999</c:v>
                </c:pt>
                <c:pt idx="7">
                  <c:v>16.306999999999999</c:v>
                </c:pt>
                <c:pt idx="8">
                  <c:v>19.003</c:v>
                </c:pt>
                <c:pt idx="9">
                  <c:v>24.335999999999999</c:v>
                </c:pt>
                <c:pt idx="10">
                  <c:v>29.677</c:v>
                </c:pt>
                <c:pt idx="11">
                  <c:v>34.723999999999997</c:v>
                </c:pt>
                <c:pt idx="12">
                  <c:v>35.728999999999999</c:v>
                </c:pt>
                <c:pt idx="13">
                  <c:v>34.573999999999998</c:v>
                </c:pt>
                <c:pt idx="14">
                  <c:v>34.177999999999997</c:v>
                </c:pt>
                <c:pt idx="15">
                  <c:v>37.750999999999998</c:v>
                </c:pt>
                <c:pt idx="16">
                  <c:v>40.582999999999998</c:v>
                </c:pt>
                <c:pt idx="17">
                  <c:v>41.17</c:v>
                </c:pt>
                <c:pt idx="18">
                  <c:v>41.768999999999998</c:v>
                </c:pt>
                <c:pt idx="19">
                  <c:v>46.695999999999998</c:v>
                </c:pt>
                <c:pt idx="20">
                  <c:v>57.243000000000002</c:v>
                </c:pt>
                <c:pt idx="21">
                  <c:v>58.378</c:v>
                </c:pt>
                <c:pt idx="22">
                  <c:v>56.732999999999997</c:v>
                </c:pt>
                <c:pt idx="23">
                  <c:v>58.634999999999998</c:v>
                </c:pt>
                <c:pt idx="24">
                  <c:v>60.497999999999998</c:v>
                </c:pt>
                <c:pt idx="25">
                  <c:v>60.44</c:v>
                </c:pt>
                <c:pt idx="26">
                  <c:v>59.6</c:v>
                </c:pt>
                <c:pt idx="27">
                  <c:v>58.472999999999999</c:v>
                </c:pt>
              </c:numCache>
            </c:numRef>
          </c:val>
          <c:smooth val="0"/>
          <c:extLst>
            <c:ext xmlns:c16="http://schemas.microsoft.com/office/drawing/2014/chart" uri="{C3380CC4-5D6E-409C-BE32-E72D297353CC}">
              <c16:uniqueId val="{00000001-A83D-4114-8AB2-5C2E5C40FD6A}"/>
            </c:ext>
          </c:extLst>
        </c:ser>
        <c:ser>
          <c:idx val="2"/>
          <c:order val="1"/>
          <c:tx>
            <c:strRef>
              <c:f>'[Chapter 3_IV.xlsx]S23_F3.2b_U shaped Subregion'!$C$1</c:f>
              <c:strCache>
                <c:ptCount val="1"/>
                <c:pt idx="0">
                  <c:v>East and North-East Asia</c:v>
                </c:pt>
              </c:strCache>
            </c:strRef>
          </c:tx>
          <c:spPr>
            <a:ln w="47625" cap="rnd">
              <a:solidFill>
                <a:srgbClr val="4BBCBC"/>
              </a:solidFill>
              <a:prstDash val="sysDot"/>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Subregion'!$C$2:$C$29</c:f>
              <c:numCache>
                <c:formatCode>General</c:formatCode>
                <c:ptCount val="28"/>
                <c:pt idx="0">
                  <c:v>19.834499999999998</c:v>
                </c:pt>
                <c:pt idx="1">
                  <c:v>17.228999999999999</c:v>
                </c:pt>
                <c:pt idx="2">
                  <c:v>17.041</c:v>
                </c:pt>
                <c:pt idx="3">
                  <c:v>19.803000000000001</c:v>
                </c:pt>
                <c:pt idx="4">
                  <c:v>12.173500000000001</c:v>
                </c:pt>
                <c:pt idx="5">
                  <c:v>13.804</c:v>
                </c:pt>
                <c:pt idx="6">
                  <c:v>25.568000000000001</c:v>
                </c:pt>
                <c:pt idx="7">
                  <c:v>27.431000000000001</c:v>
                </c:pt>
                <c:pt idx="8">
                  <c:v>26.949000000000002</c:v>
                </c:pt>
                <c:pt idx="9">
                  <c:v>29.984000000000002</c:v>
                </c:pt>
                <c:pt idx="10">
                  <c:v>29.49</c:v>
                </c:pt>
                <c:pt idx="11">
                  <c:v>32.652999999999999</c:v>
                </c:pt>
                <c:pt idx="12">
                  <c:v>34.393000000000001</c:v>
                </c:pt>
                <c:pt idx="13">
                  <c:v>37.034999999999997</c:v>
                </c:pt>
                <c:pt idx="14">
                  <c:v>39.707000000000001</c:v>
                </c:pt>
                <c:pt idx="15">
                  <c:v>40.783999999999999</c:v>
                </c:pt>
                <c:pt idx="16">
                  <c:v>41.216999999999999</c:v>
                </c:pt>
                <c:pt idx="17">
                  <c:v>40.049999999999997</c:v>
                </c:pt>
                <c:pt idx="18">
                  <c:v>40.021999999999998</c:v>
                </c:pt>
                <c:pt idx="19">
                  <c:v>42.125</c:v>
                </c:pt>
                <c:pt idx="20">
                  <c:v>48.698</c:v>
                </c:pt>
                <c:pt idx="21">
                  <c:v>51.331000000000003</c:v>
                </c:pt>
                <c:pt idx="22">
                  <c:v>54.075000000000003</c:v>
                </c:pt>
                <c:pt idx="23">
                  <c:v>54.438000000000002</c:v>
                </c:pt>
                <c:pt idx="24">
                  <c:v>55.158000000000001</c:v>
                </c:pt>
                <c:pt idx="25">
                  <c:v>56.118000000000002</c:v>
                </c:pt>
                <c:pt idx="26">
                  <c:v>56.877000000000002</c:v>
                </c:pt>
                <c:pt idx="27">
                  <c:v>57.723999999999997</c:v>
                </c:pt>
              </c:numCache>
            </c:numRef>
          </c:val>
          <c:smooth val="0"/>
          <c:extLst>
            <c:ext xmlns:c16="http://schemas.microsoft.com/office/drawing/2014/chart" uri="{C3380CC4-5D6E-409C-BE32-E72D297353CC}">
              <c16:uniqueId val="{00000002-A83D-4114-8AB2-5C2E5C40FD6A}"/>
            </c:ext>
          </c:extLst>
        </c:ser>
        <c:ser>
          <c:idx val="3"/>
          <c:order val="2"/>
          <c:tx>
            <c:strRef>
              <c:f>'[Chapter 3_IV.xlsx]S23_F3.2b_U shaped Subregion'!$D$1</c:f>
              <c:strCache>
                <c:ptCount val="1"/>
                <c:pt idx="0">
                  <c:v>North and Central Asia</c:v>
                </c:pt>
              </c:strCache>
            </c:strRef>
          </c:tx>
          <c:spPr>
            <a:ln w="12700" cap="rnd">
              <a:solidFill>
                <a:srgbClr val="3BBCBC"/>
              </a:solidFill>
              <a:prstDash val="sysDash"/>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Subregion'!$D$2:$D$29</c:f>
              <c:numCache>
                <c:formatCode>General</c:formatCode>
                <c:ptCount val="28"/>
                <c:pt idx="0">
                  <c:v>57.191500000000005</c:v>
                </c:pt>
                <c:pt idx="1">
                  <c:v>45.216499999999897</c:v>
                </c:pt>
                <c:pt idx="2">
                  <c:v>38.247999999999998</c:v>
                </c:pt>
                <c:pt idx="3">
                  <c:v>31.411999999999999</c:v>
                </c:pt>
                <c:pt idx="4">
                  <c:v>26.446000000000002</c:v>
                </c:pt>
                <c:pt idx="5">
                  <c:v>20.466999999999999</c:v>
                </c:pt>
                <c:pt idx="6">
                  <c:v>13.539</c:v>
                </c:pt>
                <c:pt idx="7">
                  <c:v>9.5549999999999997</c:v>
                </c:pt>
                <c:pt idx="8">
                  <c:v>8.3330000000000002</c:v>
                </c:pt>
                <c:pt idx="9">
                  <c:v>10.227</c:v>
                </c:pt>
                <c:pt idx="10">
                  <c:v>10.683</c:v>
                </c:pt>
                <c:pt idx="11">
                  <c:v>10.34</c:v>
                </c:pt>
                <c:pt idx="12">
                  <c:v>13.87</c:v>
                </c:pt>
                <c:pt idx="13">
                  <c:v>15.877000000000001</c:v>
                </c:pt>
                <c:pt idx="14">
                  <c:v>15.135999999999999</c:v>
                </c:pt>
                <c:pt idx="15">
                  <c:v>21.882000000000001</c:v>
                </c:pt>
                <c:pt idx="16">
                  <c:v>20.608000000000001</c:v>
                </c:pt>
                <c:pt idx="17">
                  <c:v>22.509</c:v>
                </c:pt>
                <c:pt idx="18">
                  <c:v>20.259</c:v>
                </c:pt>
                <c:pt idx="19">
                  <c:v>28.36</c:v>
                </c:pt>
                <c:pt idx="20">
                  <c:v>37.621000000000002</c:v>
                </c:pt>
                <c:pt idx="21">
                  <c:v>35.753999999999998</c:v>
                </c:pt>
                <c:pt idx="22">
                  <c:v>34.094999999999999</c:v>
                </c:pt>
                <c:pt idx="23">
                  <c:v>33.1</c:v>
                </c:pt>
                <c:pt idx="24">
                  <c:v>30.824000000000002</c:v>
                </c:pt>
                <c:pt idx="25">
                  <c:v>29.803999999999998</c:v>
                </c:pt>
                <c:pt idx="26">
                  <c:v>28.86</c:v>
                </c:pt>
                <c:pt idx="27">
                  <c:v>30.26</c:v>
                </c:pt>
              </c:numCache>
            </c:numRef>
          </c:val>
          <c:smooth val="0"/>
          <c:extLst>
            <c:ext xmlns:c16="http://schemas.microsoft.com/office/drawing/2014/chart" uri="{C3380CC4-5D6E-409C-BE32-E72D297353CC}">
              <c16:uniqueId val="{00000003-A83D-4114-8AB2-5C2E5C40FD6A}"/>
            </c:ext>
          </c:extLst>
        </c:ser>
        <c:ser>
          <c:idx val="4"/>
          <c:order val="3"/>
          <c:tx>
            <c:strRef>
              <c:f>'[Chapter 3_IV.xlsx]S23_F3.2b_U shaped Subregion'!$E$1</c:f>
              <c:strCache>
                <c:ptCount val="1"/>
                <c:pt idx="0">
                  <c:v>Pacific island countries</c:v>
                </c:pt>
              </c:strCache>
            </c:strRef>
          </c:tx>
          <c:spPr>
            <a:ln w="19050" cap="rnd" cmpd="dbl">
              <a:solidFill>
                <a:srgbClr val="48BDBC"/>
              </a:solidFill>
              <a:prstDash val="dash"/>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Subregion'!$E$2:$E$29</c:f>
              <c:numCache>
                <c:formatCode>General</c:formatCode>
                <c:ptCount val="28"/>
                <c:pt idx="0">
                  <c:v>35.920999999999999</c:v>
                </c:pt>
                <c:pt idx="1">
                  <c:v>39.484999999999999</c:v>
                </c:pt>
                <c:pt idx="2">
                  <c:v>41.671999999999997</c:v>
                </c:pt>
                <c:pt idx="3">
                  <c:v>42.762999999999998</c:v>
                </c:pt>
                <c:pt idx="4">
                  <c:v>39.841999999999999</c:v>
                </c:pt>
                <c:pt idx="5">
                  <c:v>35.779499999999999</c:v>
                </c:pt>
                <c:pt idx="6">
                  <c:v>35.494999999999997</c:v>
                </c:pt>
                <c:pt idx="7">
                  <c:v>32.225000000000001</c:v>
                </c:pt>
                <c:pt idx="8">
                  <c:v>24.8675</c:v>
                </c:pt>
                <c:pt idx="9">
                  <c:v>30.748000000000001</c:v>
                </c:pt>
                <c:pt idx="10">
                  <c:v>28.84</c:v>
                </c:pt>
                <c:pt idx="11">
                  <c:v>28.33</c:v>
                </c:pt>
                <c:pt idx="12">
                  <c:v>27.009</c:v>
                </c:pt>
                <c:pt idx="13">
                  <c:v>27.638000000000002</c:v>
                </c:pt>
                <c:pt idx="14">
                  <c:v>28.100999999999999</c:v>
                </c:pt>
                <c:pt idx="15">
                  <c:v>33.851999999999997</c:v>
                </c:pt>
                <c:pt idx="16">
                  <c:v>33.74</c:v>
                </c:pt>
                <c:pt idx="17">
                  <c:v>32.484000000000002</c:v>
                </c:pt>
                <c:pt idx="18">
                  <c:v>36.676000000000002</c:v>
                </c:pt>
                <c:pt idx="19">
                  <c:v>40.165999999999997</c:v>
                </c:pt>
                <c:pt idx="20">
                  <c:v>43.186</c:v>
                </c:pt>
                <c:pt idx="21">
                  <c:v>27.064</c:v>
                </c:pt>
                <c:pt idx="22">
                  <c:v>27.334</c:v>
                </c:pt>
                <c:pt idx="23">
                  <c:v>32.779000000000003</c:v>
                </c:pt>
                <c:pt idx="24">
                  <c:v>39.039000000000001</c:v>
                </c:pt>
                <c:pt idx="25">
                  <c:v>45.838999999999999</c:v>
                </c:pt>
                <c:pt idx="26">
                  <c:v>47.792000000000002</c:v>
                </c:pt>
                <c:pt idx="27">
                  <c:v>44.606000000000002</c:v>
                </c:pt>
              </c:numCache>
            </c:numRef>
          </c:val>
          <c:smooth val="0"/>
          <c:extLst>
            <c:ext xmlns:c16="http://schemas.microsoft.com/office/drawing/2014/chart" uri="{C3380CC4-5D6E-409C-BE32-E72D297353CC}">
              <c16:uniqueId val="{00000004-A83D-4114-8AB2-5C2E5C40FD6A}"/>
            </c:ext>
          </c:extLst>
        </c:ser>
        <c:ser>
          <c:idx val="5"/>
          <c:order val="4"/>
          <c:tx>
            <c:strRef>
              <c:f>'[Chapter 3_IV.xlsx]S23_F3.2b_U shaped Subregion'!$F$1</c:f>
              <c:strCache>
                <c:ptCount val="1"/>
                <c:pt idx="0">
                  <c:v>South-East Asia</c:v>
                </c:pt>
              </c:strCache>
            </c:strRef>
          </c:tx>
          <c:spPr>
            <a:ln w="28575" cap="rnd">
              <a:solidFill>
                <a:srgbClr val="4BBCBC"/>
              </a:solidFill>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Subregion'!$F$2:$F$29</c:f>
              <c:numCache>
                <c:formatCode>General</c:formatCode>
                <c:ptCount val="28"/>
                <c:pt idx="0">
                  <c:v>57.826000000000001</c:v>
                </c:pt>
                <c:pt idx="1">
                  <c:v>57.469000000000001</c:v>
                </c:pt>
                <c:pt idx="2">
                  <c:v>54.902000000000001</c:v>
                </c:pt>
                <c:pt idx="3">
                  <c:v>47.500999999999998</c:v>
                </c:pt>
                <c:pt idx="4">
                  <c:v>46.265999999999998</c:v>
                </c:pt>
                <c:pt idx="5">
                  <c:v>42.612000000000002</c:v>
                </c:pt>
                <c:pt idx="6">
                  <c:v>39.177</c:v>
                </c:pt>
                <c:pt idx="7">
                  <c:v>38.121000000000002</c:v>
                </c:pt>
                <c:pt idx="8">
                  <c:v>34.947000000000003</c:v>
                </c:pt>
                <c:pt idx="9">
                  <c:v>42.363999999999997</c:v>
                </c:pt>
                <c:pt idx="10">
                  <c:v>39.831000000000003</c:v>
                </c:pt>
                <c:pt idx="11">
                  <c:v>39.116</c:v>
                </c:pt>
                <c:pt idx="12">
                  <c:v>38.33</c:v>
                </c:pt>
                <c:pt idx="13">
                  <c:v>41.412999999999997</c:v>
                </c:pt>
                <c:pt idx="14">
                  <c:v>40.24</c:v>
                </c:pt>
                <c:pt idx="15">
                  <c:v>39.64</c:v>
                </c:pt>
                <c:pt idx="16">
                  <c:v>38.334000000000003</c:v>
                </c:pt>
                <c:pt idx="17">
                  <c:v>38.47</c:v>
                </c:pt>
                <c:pt idx="18">
                  <c:v>40.414999999999999</c:v>
                </c:pt>
                <c:pt idx="19">
                  <c:v>38.753</c:v>
                </c:pt>
                <c:pt idx="20">
                  <c:v>41.667999999999999</c:v>
                </c:pt>
                <c:pt idx="21">
                  <c:v>56.951000000000001</c:v>
                </c:pt>
                <c:pt idx="22">
                  <c:v>59.268000000000001</c:v>
                </c:pt>
                <c:pt idx="23">
                  <c:v>60.951999999999998</c:v>
                </c:pt>
                <c:pt idx="24">
                  <c:v>61.170999999999999</c:v>
                </c:pt>
                <c:pt idx="25">
                  <c:v>60.424999999999997</c:v>
                </c:pt>
                <c:pt idx="26">
                  <c:v>59.084000000000003</c:v>
                </c:pt>
                <c:pt idx="27">
                  <c:v>57.493000000000002</c:v>
                </c:pt>
              </c:numCache>
            </c:numRef>
          </c:val>
          <c:smooth val="0"/>
          <c:extLst>
            <c:ext xmlns:c16="http://schemas.microsoft.com/office/drawing/2014/chart" uri="{C3380CC4-5D6E-409C-BE32-E72D297353CC}">
              <c16:uniqueId val="{00000005-A83D-4114-8AB2-5C2E5C40FD6A}"/>
            </c:ext>
          </c:extLst>
        </c:ser>
        <c:ser>
          <c:idx val="6"/>
          <c:order val="5"/>
          <c:tx>
            <c:strRef>
              <c:f>'[Chapter 3_IV.xlsx]S23_F3.2b_U shaped Subregion'!$G$1</c:f>
              <c:strCache>
                <c:ptCount val="1"/>
                <c:pt idx="0">
                  <c:v>South and Southwest Asia</c:v>
                </c:pt>
              </c:strCache>
            </c:strRef>
          </c:tx>
          <c:spPr>
            <a:ln w="28575" cap="rnd" cmpd="dbl">
              <a:solidFill>
                <a:srgbClr val="4BBCBC"/>
              </a:solidFill>
              <a:prstDash val="solid"/>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Subregion'!$G$2:$G$29</c:f>
              <c:numCache>
                <c:formatCode>General</c:formatCode>
                <c:ptCount val="28"/>
                <c:pt idx="0">
                  <c:v>51.0565</c:v>
                </c:pt>
                <c:pt idx="1">
                  <c:v>64.423500000000004</c:v>
                </c:pt>
                <c:pt idx="2">
                  <c:v>67.578000000000003</c:v>
                </c:pt>
                <c:pt idx="3">
                  <c:v>63.92</c:v>
                </c:pt>
                <c:pt idx="4">
                  <c:v>56.728499999999997</c:v>
                </c:pt>
                <c:pt idx="5">
                  <c:v>51.267499999999998</c:v>
                </c:pt>
                <c:pt idx="6">
                  <c:v>43.549500000000002</c:v>
                </c:pt>
                <c:pt idx="7">
                  <c:v>37.8245</c:v>
                </c:pt>
                <c:pt idx="8">
                  <c:v>38.352999999999902</c:v>
                </c:pt>
                <c:pt idx="9">
                  <c:v>45.911999999999999</c:v>
                </c:pt>
                <c:pt idx="10">
                  <c:v>46.227499999999999</c:v>
                </c:pt>
                <c:pt idx="11">
                  <c:v>43.986999999999902</c:v>
                </c:pt>
                <c:pt idx="12">
                  <c:v>45.620999999999903</c:v>
                </c:pt>
                <c:pt idx="13">
                  <c:v>43.923999999999999</c:v>
                </c:pt>
                <c:pt idx="14">
                  <c:v>42.255499999999998</c:v>
                </c:pt>
                <c:pt idx="15">
                  <c:v>45.972000000000001</c:v>
                </c:pt>
                <c:pt idx="16">
                  <c:v>54.356499999999997</c:v>
                </c:pt>
                <c:pt idx="17">
                  <c:v>52.95</c:v>
                </c:pt>
                <c:pt idx="18">
                  <c:v>52.6875</c:v>
                </c:pt>
                <c:pt idx="19">
                  <c:v>58.908999999999999</c:v>
                </c:pt>
                <c:pt idx="20">
                  <c:v>61.820999999999998</c:v>
                </c:pt>
                <c:pt idx="21">
                  <c:v>74.906000000000006</c:v>
                </c:pt>
                <c:pt idx="22">
                  <c:v>77.751000000000005</c:v>
                </c:pt>
                <c:pt idx="23">
                  <c:v>60.8035</c:v>
                </c:pt>
                <c:pt idx="24">
                  <c:v>58.400500000000001</c:v>
                </c:pt>
                <c:pt idx="25">
                  <c:v>57.213499999999897</c:v>
                </c:pt>
                <c:pt idx="26">
                  <c:v>55.612499999999997</c:v>
                </c:pt>
                <c:pt idx="27">
                  <c:v>54.408000000000001</c:v>
                </c:pt>
              </c:numCache>
            </c:numRef>
          </c:val>
          <c:smooth val="0"/>
          <c:extLst>
            <c:ext xmlns:c16="http://schemas.microsoft.com/office/drawing/2014/chart" uri="{C3380CC4-5D6E-409C-BE32-E72D297353CC}">
              <c16:uniqueId val="{00000006-A83D-4114-8AB2-5C2E5C40FD6A}"/>
            </c:ext>
          </c:extLst>
        </c:ser>
        <c:dLbls>
          <c:showLegendKey val="0"/>
          <c:showVal val="0"/>
          <c:showCatName val="0"/>
          <c:showSerName val="0"/>
          <c:showPercent val="0"/>
          <c:showBubbleSize val="0"/>
        </c:dLbls>
        <c:marker val="1"/>
        <c:smooth val="0"/>
        <c:axId val="322610015"/>
        <c:axId val="322613343"/>
      </c:lineChart>
      <c:catAx>
        <c:axId val="322610015"/>
        <c:scaling>
          <c:orientation val="minMax"/>
        </c:scaling>
        <c:delete val="0"/>
        <c:axPos val="b"/>
        <c:numFmt formatCode="General" sourceLinked="0"/>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2613343"/>
        <c:crosses val="autoZero"/>
        <c:auto val="1"/>
        <c:lblAlgn val="ctr"/>
        <c:lblOffset val="100"/>
        <c:tickLblSkip val="3"/>
        <c:noMultiLvlLbl val="0"/>
      </c:catAx>
      <c:valAx>
        <c:axId val="322613343"/>
        <c:scaling>
          <c:orientation val="minMax"/>
          <c:max val="80"/>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ltLang="zh-CN">
                    <a:solidFill>
                      <a:sysClr val="windowText" lastClr="000000"/>
                    </a:solidFill>
                  </a:rPr>
                  <a:t>P</a:t>
                </a:r>
                <a:r>
                  <a:rPr lang="en-US">
                    <a:solidFill>
                      <a:sysClr val="windowText" lastClr="000000"/>
                    </a:solidFill>
                  </a:rPr>
                  <a:t>er</a:t>
                </a:r>
                <a:r>
                  <a:rPr lang="en-US" baseline="0">
                    <a:solidFill>
                      <a:sysClr val="windowText" lastClr="000000"/>
                    </a:solidFill>
                  </a:rPr>
                  <a:t>centage of GDP</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2610015"/>
        <c:crosses val="autoZero"/>
        <c:crossBetween val="between"/>
        <c:majorUnit val="25"/>
      </c:valAx>
      <c:spPr>
        <a:noFill/>
        <a:ln>
          <a:noFill/>
        </a:ln>
        <a:effectLst/>
      </c:spPr>
    </c:plotArea>
    <c:legend>
      <c:legendPos val="t"/>
      <c:legendEntry>
        <c:idx val="0"/>
        <c:delete val="1"/>
      </c:legendEntry>
      <c:layout>
        <c:manualLayout>
          <c:xMode val="edge"/>
          <c:yMode val="edge"/>
          <c:x val="4.5198039850581566E-2"/>
          <c:y val="3.994671806137505E-2"/>
          <c:w val="0.90805101826005119"/>
          <c:h val="0.2139331881717198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C7BC9C11-8383-4EC5-B961-C6C04319CDA8}"/>
</file>

<file path=customXml/itemProps3.xml><?xml version="1.0" encoding="utf-8"?>
<ds:datastoreItem xmlns:ds="http://schemas.openxmlformats.org/officeDocument/2006/customXml" ds:itemID="{57EC17EF-0997-4F8F-AF91-1E4A18BBE9B6}">
  <ds:schemaRefs>
    <ds:schemaRef ds:uri="http://schemas.microsoft.com/office/2006/metadata/properties"/>
    <ds:schemaRef ds:uri="http://schemas.microsoft.com/office/infopath/2007/PartnerControls"/>
    <ds:schemaRef ds:uri="985ec44e-1bab-4c0b-9df0-6ba128686fc9"/>
    <ds:schemaRef ds:uri="9fc581a9-ee63-45ff-ba08-f19768d0f580"/>
  </ds:schemaRefs>
</ds:datastoreItem>
</file>

<file path=customXml/itemProps4.xml><?xml version="1.0" encoding="utf-8"?>
<ds:datastoreItem xmlns:ds="http://schemas.openxmlformats.org/officeDocument/2006/customXml" ds:itemID="{6A4B996F-476B-4151-9AB4-F0842CBD58F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1413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Hamza Ali Malik</cp:lastModifiedBy>
  <cp:revision>4</cp:revision>
  <dcterms:created xsi:type="dcterms:W3CDTF">2024-10-18T09:49:00Z</dcterms:created>
  <dcterms:modified xsi:type="dcterms:W3CDTF">2024-10-18T09:59:00Z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0x01010003D066B225902746A8CA72997E644555</vt:lpwstr>
  </property>
  <property fmtid="{D5CDD505-2E9C-101B-9397-08002B2CF9AE}" pid="3" name="MediaServiceImageTags">
    <vt:lpwstr/>
  </property>
</Properties>
</file>