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9EBF" w14:textId="65B2701A" w:rsidR="00B37572" w:rsidRPr="00BC55C4" w:rsidRDefault="00B37572" w:rsidP="00BC55C4">
      <w:pPr>
        <w:pStyle w:val="Heading2"/>
        <w:spacing w:after="240"/>
        <w:jc w:val="center"/>
        <w:rPr>
          <w:rFonts w:ascii="Cambria" w:hAnsi="Cambria"/>
          <w:b/>
          <w:bCs/>
        </w:rPr>
      </w:pPr>
      <w:r w:rsidRPr="00BC55C4">
        <w:rPr>
          <w:rFonts w:ascii="Cambria" w:hAnsi="Cambria"/>
          <w:b/>
          <w:bCs/>
        </w:rPr>
        <w:t xml:space="preserve">Financing </w:t>
      </w:r>
      <w:r w:rsidR="00251A33" w:rsidRPr="00BC55C4">
        <w:rPr>
          <w:rFonts w:ascii="Cambria" w:hAnsi="Cambria"/>
          <w:b/>
          <w:bCs/>
        </w:rPr>
        <w:t>Po</w:t>
      </w:r>
      <w:r w:rsidR="002C6D77" w:rsidRPr="00BC55C4">
        <w:rPr>
          <w:rFonts w:ascii="Cambria" w:hAnsi="Cambria"/>
          <w:b/>
          <w:bCs/>
        </w:rPr>
        <w:t xml:space="preserve">licy </w:t>
      </w:r>
      <w:r w:rsidRPr="00BC55C4">
        <w:rPr>
          <w:rFonts w:ascii="Cambria" w:hAnsi="Cambria"/>
          <w:b/>
          <w:bCs/>
        </w:rPr>
        <w:t>Brief</w:t>
      </w:r>
      <w:r w:rsidR="00174569" w:rsidRPr="00BC55C4">
        <w:rPr>
          <w:rFonts w:ascii="Cambria" w:hAnsi="Cambria"/>
          <w:b/>
          <w:bCs/>
        </w:rPr>
        <w:t xml:space="preserve"> Series </w:t>
      </w:r>
      <w:r w:rsidRPr="00BC55C4">
        <w:rPr>
          <w:rFonts w:ascii="Cambria" w:hAnsi="Cambria"/>
          <w:b/>
          <w:bCs/>
        </w:rPr>
        <w:t xml:space="preserve">– </w:t>
      </w:r>
      <w:r w:rsidR="00B52F12" w:rsidRPr="00BC55C4">
        <w:rPr>
          <w:rFonts w:ascii="Cambria" w:hAnsi="Cambria"/>
          <w:b/>
          <w:bCs/>
        </w:rPr>
        <w:t>Recommendations for</w:t>
      </w:r>
      <w:r w:rsidRPr="00BC55C4">
        <w:rPr>
          <w:rFonts w:ascii="Cambria" w:hAnsi="Cambria"/>
          <w:b/>
          <w:bCs/>
        </w:rPr>
        <w:t xml:space="preserve"> FfD4</w:t>
      </w:r>
    </w:p>
    <w:p w14:paraId="33D102E9" w14:textId="42A05E00" w:rsidR="00174569" w:rsidRPr="00B32D46" w:rsidRDefault="00A95BEE" w:rsidP="00BC55C4">
      <w:pPr>
        <w:pStyle w:val="Heading2"/>
        <w:spacing w:after="240"/>
        <w:jc w:val="center"/>
        <w:rPr>
          <w:rFonts w:asciiTheme="minorHAnsi" w:hAnsiTheme="minorHAnsi" w:cstheme="minorHAnsi"/>
          <w:b/>
          <w:bCs/>
        </w:rPr>
      </w:pPr>
      <w:r w:rsidRPr="00B32D46">
        <w:rPr>
          <w:rFonts w:asciiTheme="minorHAnsi" w:hAnsiTheme="minorHAnsi" w:cstheme="minorHAnsi"/>
          <w:b/>
          <w:bCs/>
        </w:rPr>
        <w:t xml:space="preserve">Accelerating the </w:t>
      </w:r>
      <w:r w:rsidR="00C71333" w:rsidRPr="00B32D46">
        <w:rPr>
          <w:rFonts w:asciiTheme="minorHAnsi" w:hAnsiTheme="minorHAnsi" w:cstheme="minorHAnsi"/>
          <w:b/>
          <w:bCs/>
        </w:rPr>
        <w:t>mobilization</w:t>
      </w:r>
      <w:r w:rsidRPr="00B32D46">
        <w:rPr>
          <w:rFonts w:asciiTheme="minorHAnsi" w:hAnsiTheme="minorHAnsi" w:cstheme="minorHAnsi"/>
          <w:b/>
          <w:bCs/>
        </w:rPr>
        <w:t xml:space="preserve"> of domestic and international private finance towards the S</w:t>
      </w:r>
      <w:r w:rsidR="00C71333">
        <w:rPr>
          <w:rFonts w:asciiTheme="minorHAnsi" w:hAnsiTheme="minorHAnsi" w:cstheme="minorHAnsi"/>
          <w:b/>
          <w:bCs/>
        </w:rPr>
        <w:t>ustainable Development Goals</w:t>
      </w:r>
    </w:p>
    <w:p w14:paraId="7E8FE961" w14:textId="77777777" w:rsidR="00B32D46" w:rsidRDefault="00B32D46" w:rsidP="00B32D46">
      <w:pPr>
        <w:spacing w:after="0" w:line="240" w:lineRule="auto"/>
        <w:jc w:val="center"/>
      </w:pPr>
      <w:r>
        <w:t>Prepared by the Economic and Social Commission of Asia and the Pacific (ESCAP)</w:t>
      </w:r>
    </w:p>
    <w:p w14:paraId="71F926A5" w14:textId="77777777" w:rsidR="00B32D46" w:rsidRDefault="00B32D46" w:rsidP="00B32D46">
      <w:pPr>
        <w:spacing w:after="0" w:line="240" w:lineRule="auto"/>
        <w:jc w:val="center"/>
      </w:pPr>
      <w:r>
        <w:t>Bangkok, Thailand</w:t>
      </w:r>
    </w:p>
    <w:p w14:paraId="3759A8D8" w14:textId="14E66DF6" w:rsidR="00B37572" w:rsidRDefault="00B32D46" w:rsidP="00C71333">
      <w:pPr>
        <w:jc w:val="center"/>
      </w:pPr>
      <w:r>
        <w:rPr>
          <w:sz w:val="20"/>
          <w:szCs w:val="20"/>
        </w:rPr>
        <w:t>1</w:t>
      </w:r>
      <w:r w:rsidR="00630995">
        <w:rPr>
          <w:sz w:val="20"/>
          <w:szCs w:val="20"/>
        </w:rPr>
        <w:t>8</w:t>
      </w:r>
      <w:r w:rsidRPr="007845CE">
        <w:rPr>
          <w:sz w:val="20"/>
          <w:szCs w:val="20"/>
        </w:rPr>
        <w:t xml:space="preserve"> October 2024</w:t>
      </w:r>
    </w:p>
    <w:p w14:paraId="399B4331" w14:textId="021DC4F6" w:rsidR="00AA4312" w:rsidRPr="00630995" w:rsidRDefault="00C627AC" w:rsidP="00630995">
      <w:pPr>
        <w:pStyle w:val="Heading2"/>
        <w:snapToGrid w:val="0"/>
        <w:spacing w:before="0" w:after="240" w:line="240" w:lineRule="auto"/>
        <w:jc w:val="both"/>
        <w:rPr>
          <w:rFonts w:cs="Cordia New"/>
          <w:b/>
          <w:bCs/>
          <w:sz w:val="24"/>
          <w:szCs w:val="30"/>
          <w:u w:val="single"/>
          <w:lang w:bidi="th-TH"/>
        </w:rPr>
      </w:pPr>
      <w:r w:rsidRPr="00880F68">
        <w:rPr>
          <w:rFonts w:asciiTheme="minorHAnsi" w:hAnsiTheme="minorHAnsi" w:cstheme="minorHAnsi"/>
          <w:b/>
          <w:bCs/>
          <w:sz w:val="24"/>
          <w:szCs w:val="24"/>
          <w:u w:val="single"/>
        </w:rPr>
        <w:t>Key messages</w:t>
      </w:r>
      <w:r w:rsidRPr="00880F68">
        <w:rPr>
          <w:b/>
          <w:bCs/>
          <w:sz w:val="24"/>
          <w:szCs w:val="24"/>
          <w:u w:val="single"/>
        </w:rPr>
        <w:t xml:space="preserve"> </w:t>
      </w:r>
      <w:r w:rsidRPr="00880F68">
        <w:rPr>
          <w:rFonts w:asciiTheme="minorHAnsi" w:hAnsiTheme="minorHAnsi" w:cstheme="minorHAnsi"/>
          <w:b/>
          <w:bCs/>
          <w:sz w:val="24"/>
          <w:szCs w:val="24"/>
          <w:u w:val="single"/>
        </w:rPr>
        <w:t>(</w:t>
      </w:r>
      <w:r w:rsidR="00C663B9">
        <w:rPr>
          <w:rFonts w:asciiTheme="minorHAnsi" w:hAnsiTheme="minorHAnsi" w:cstheme="minorHAnsi"/>
          <w:b/>
          <w:bCs/>
          <w:sz w:val="24"/>
          <w:szCs w:val="24"/>
          <w:u w:val="single"/>
        </w:rPr>
        <w:t xml:space="preserve">max. </w:t>
      </w:r>
      <w:r w:rsidRPr="00880F68">
        <w:rPr>
          <w:rFonts w:asciiTheme="minorHAnsi" w:hAnsiTheme="minorHAnsi" w:cstheme="minorHAnsi"/>
          <w:b/>
          <w:bCs/>
          <w:sz w:val="24"/>
          <w:szCs w:val="24"/>
          <w:u w:val="single"/>
        </w:rPr>
        <w:t>200 words)</w:t>
      </w:r>
    </w:p>
    <w:p w14:paraId="5DA054F9" w14:textId="5DB975A1" w:rsidR="007F17E3" w:rsidRPr="007F17E3" w:rsidRDefault="00A95BEE" w:rsidP="00630995">
      <w:pPr>
        <w:pStyle w:val="ListParagraph"/>
        <w:numPr>
          <w:ilvl w:val="0"/>
          <w:numId w:val="10"/>
        </w:numPr>
        <w:snapToGrid w:val="0"/>
        <w:spacing w:after="240" w:line="240" w:lineRule="auto"/>
        <w:contextualSpacing w:val="0"/>
        <w:jc w:val="both"/>
        <w:rPr>
          <w:rFonts w:cstheme="minorHAnsi"/>
        </w:rPr>
      </w:pPr>
      <w:r w:rsidRPr="00A95BEE">
        <w:t xml:space="preserve">Strengthen financial regulations </w:t>
      </w:r>
      <w:r w:rsidR="00C85A51">
        <w:t xml:space="preserve">to facilitate and accelerate </w:t>
      </w:r>
      <w:r w:rsidRPr="00A95BEE">
        <w:t>private financing towards the Sustainable Development Goals</w:t>
      </w:r>
      <w:r w:rsidR="007F10F0">
        <w:t>.</w:t>
      </w:r>
      <w:r w:rsidR="0008186F">
        <w:t xml:space="preserve"> R</w:t>
      </w:r>
      <w:r w:rsidR="007F17E3" w:rsidRPr="007F17E3">
        <w:rPr>
          <w:rFonts w:cstheme="minorHAnsi"/>
        </w:rPr>
        <w:t xml:space="preserve">egulators should also strive for greater consistency with regional and global sustainable finance taxonomies and roadmaps. This would ensure that international investors can benefit from interoperability and provide incentives for foreign capital. </w:t>
      </w:r>
    </w:p>
    <w:p w14:paraId="19163C97" w14:textId="228E1F17" w:rsidR="00174569" w:rsidRDefault="0008186F" w:rsidP="00630995">
      <w:pPr>
        <w:pStyle w:val="ListParagraph"/>
        <w:numPr>
          <w:ilvl w:val="0"/>
          <w:numId w:val="6"/>
        </w:numPr>
        <w:snapToGrid w:val="0"/>
        <w:spacing w:after="240" w:line="240" w:lineRule="auto"/>
        <w:contextualSpacing w:val="0"/>
      </w:pPr>
      <w:r>
        <w:t>U</w:t>
      </w:r>
      <w:r w:rsidR="00A95BEE" w:rsidRPr="00A95BEE">
        <w:t>ndertake actions to develop and deepen domestic banking and capital markets and ensure that sustainability considerations are fu</w:t>
      </w:r>
      <w:r w:rsidR="00922521">
        <w:t>lly</w:t>
      </w:r>
      <w:r w:rsidR="00A95BEE" w:rsidRPr="00A95BEE">
        <w:t xml:space="preserve"> embedded. </w:t>
      </w:r>
    </w:p>
    <w:p w14:paraId="53FFC062" w14:textId="5CBE12FA" w:rsidR="00A95BEE" w:rsidRDefault="00A95BEE" w:rsidP="00630995">
      <w:pPr>
        <w:pStyle w:val="ListParagraph"/>
        <w:numPr>
          <w:ilvl w:val="0"/>
          <w:numId w:val="6"/>
        </w:numPr>
        <w:snapToGrid w:val="0"/>
        <w:spacing w:after="240" w:line="240" w:lineRule="auto"/>
        <w:contextualSpacing w:val="0"/>
        <w:jc w:val="both"/>
      </w:pPr>
      <w:r w:rsidRPr="00A95BEE">
        <w:t xml:space="preserve">Ensure that more concessional and private finance flow towards the </w:t>
      </w:r>
      <w:r w:rsidR="003D2340">
        <w:t>l</w:t>
      </w:r>
      <w:r w:rsidRPr="00A95BEE">
        <w:t xml:space="preserve">east </w:t>
      </w:r>
      <w:r w:rsidR="003D2340">
        <w:t>d</w:t>
      </w:r>
      <w:r w:rsidRPr="00A95BEE">
        <w:t xml:space="preserve">eveloped </w:t>
      </w:r>
      <w:r w:rsidR="003D2340">
        <w:t>c</w:t>
      </w:r>
      <w:r w:rsidRPr="00A95BEE">
        <w:t>ountries</w:t>
      </w:r>
      <w:r w:rsidR="003D2340">
        <w:t xml:space="preserve"> (LDCs)</w:t>
      </w:r>
      <w:r w:rsidRPr="00A95BEE">
        <w:t xml:space="preserve">, as well as more challenging sectors and projects. For the </w:t>
      </w:r>
      <w:r w:rsidR="00AA44DD">
        <w:t>LDCs</w:t>
      </w:r>
      <w:r w:rsidRPr="00A95BEE">
        <w:t xml:space="preserve"> as well as countries with low sovereign credit ratings, concessional finance by multilateral development banks and development finance institutions can act as an effective de-risking mechanism for private finance, if undertaken in partnership with the government and the private sector.</w:t>
      </w:r>
    </w:p>
    <w:p w14:paraId="6CACC17D" w14:textId="32E84ABB" w:rsidR="00AA4312" w:rsidRPr="00FF0F2F" w:rsidRDefault="00A95BEE" w:rsidP="00630995">
      <w:pPr>
        <w:pStyle w:val="ListParagraph"/>
        <w:numPr>
          <w:ilvl w:val="0"/>
          <w:numId w:val="6"/>
        </w:numPr>
        <w:snapToGrid w:val="0"/>
        <w:spacing w:after="240" w:line="240" w:lineRule="auto"/>
        <w:contextualSpacing w:val="0"/>
        <w:jc w:val="both"/>
        <w:rPr>
          <w:rFonts w:cs="Cordia New"/>
          <w:b/>
          <w:bCs/>
          <w:sz w:val="24"/>
          <w:szCs w:val="30"/>
          <w:u w:val="single"/>
          <w:lang w:bidi="th-TH"/>
        </w:rPr>
      </w:pPr>
      <w:r w:rsidRPr="00A95BEE">
        <w:t xml:space="preserve">Enhance strategic </w:t>
      </w:r>
      <w:r w:rsidR="00A6753A">
        <w:t>f</w:t>
      </w:r>
      <w:r w:rsidRPr="00A95BEE">
        <w:t xml:space="preserve">oreign </w:t>
      </w:r>
      <w:r w:rsidR="00A6753A">
        <w:t>d</w:t>
      </w:r>
      <w:r w:rsidRPr="00A95BEE">
        <w:t xml:space="preserve">irect </w:t>
      </w:r>
      <w:r w:rsidR="00A6753A">
        <w:t>i</w:t>
      </w:r>
      <w:r w:rsidRPr="00A95BEE">
        <w:t xml:space="preserve">nvestment (FDI) promotion to accelerate </w:t>
      </w:r>
      <w:r w:rsidR="00A0488B" w:rsidRPr="00A95BEE">
        <w:t>Sustainable Development Goal</w:t>
      </w:r>
      <w:r w:rsidRPr="00A95BEE">
        <w:t>-aligned investments</w:t>
      </w:r>
      <w:r w:rsidR="00A6753A">
        <w:t xml:space="preserve">. </w:t>
      </w:r>
      <w:r w:rsidR="004D02AA">
        <w:t>Although FDI</w:t>
      </w:r>
      <w:r w:rsidRPr="00A95BEE">
        <w:t xml:space="preserve"> plays a crucial role in financing sustainable development, a significant gap remains in </w:t>
      </w:r>
      <w:r w:rsidR="00C663B9" w:rsidRPr="00A95BEE">
        <w:t>channe</w:t>
      </w:r>
      <w:r w:rsidR="00C663B9">
        <w:t>l</w:t>
      </w:r>
      <w:r w:rsidR="00C663B9" w:rsidRPr="00A95BEE">
        <w:t>ing</w:t>
      </w:r>
      <w:r w:rsidRPr="00A95BEE">
        <w:t xml:space="preserve"> these investments towards </w:t>
      </w:r>
      <w:r w:rsidR="00AA4312" w:rsidRPr="00A95BEE">
        <w:t>Sustainable Development Goal</w:t>
      </w:r>
      <w:r w:rsidRPr="00A95BEE">
        <w:t xml:space="preserve"> priorities in Asia-Pacific countries.</w:t>
      </w:r>
    </w:p>
    <w:p w14:paraId="01D132EA" w14:textId="6D2D948A" w:rsidR="00AA4312" w:rsidRPr="00FF0F2F" w:rsidRDefault="00174569" w:rsidP="00630995">
      <w:pPr>
        <w:pStyle w:val="Heading2"/>
        <w:snapToGrid w:val="0"/>
        <w:spacing w:before="0" w:after="240" w:line="240" w:lineRule="auto"/>
        <w:jc w:val="both"/>
        <w:rPr>
          <w:lang w:bidi="th-TH"/>
        </w:rPr>
      </w:pPr>
      <w:r w:rsidRPr="00D87226">
        <w:rPr>
          <w:rFonts w:asciiTheme="minorHAnsi" w:hAnsiTheme="minorHAnsi" w:cstheme="minorHAnsi"/>
          <w:b/>
          <w:bCs/>
          <w:sz w:val="24"/>
          <w:szCs w:val="24"/>
          <w:u w:val="single"/>
        </w:rPr>
        <w:t>Problem statement (</w:t>
      </w:r>
      <w:r w:rsidR="249587DD" w:rsidRPr="00D87226">
        <w:rPr>
          <w:rFonts w:asciiTheme="minorHAnsi" w:hAnsiTheme="minorHAnsi" w:cstheme="minorHAnsi"/>
          <w:b/>
          <w:bCs/>
          <w:sz w:val="24"/>
          <w:szCs w:val="24"/>
          <w:u w:val="single"/>
        </w:rPr>
        <w:t>5</w:t>
      </w:r>
      <w:r w:rsidR="002F4A33" w:rsidRPr="00D87226">
        <w:rPr>
          <w:rFonts w:asciiTheme="minorHAnsi" w:hAnsiTheme="minorHAnsi" w:cstheme="minorHAnsi"/>
          <w:b/>
          <w:bCs/>
          <w:sz w:val="24"/>
          <w:szCs w:val="24"/>
          <w:u w:val="single"/>
        </w:rPr>
        <w:t>00</w:t>
      </w:r>
      <w:r w:rsidRPr="00D87226">
        <w:rPr>
          <w:rFonts w:asciiTheme="minorHAnsi" w:hAnsiTheme="minorHAnsi" w:cstheme="minorHAnsi"/>
          <w:b/>
          <w:bCs/>
          <w:sz w:val="24"/>
          <w:szCs w:val="24"/>
          <w:u w:val="single"/>
        </w:rPr>
        <w:t xml:space="preserve"> words)</w:t>
      </w:r>
    </w:p>
    <w:p w14:paraId="763EF4A3" w14:textId="3833A5B3" w:rsidR="00A95BEE" w:rsidRPr="00FF0F2F" w:rsidRDefault="00A9695F" w:rsidP="00630995">
      <w:pPr>
        <w:pStyle w:val="ListParagraph"/>
        <w:snapToGrid w:val="0"/>
        <w:spacing w:after="240" w:line="240" w:lineRule="auto"/>
        <w:ind w:left="0"/>
        <w:contextualSpacing w:val="0"/>
        <w:jc w:val="both"/>
        <w:rPr>
          <w:rFonts w:cs="Cordia New"/>
          <w:szCs w:val="28"/>
          <w:lang w:bidi="th-TH"/>
        </w:rPr>
      </w:pPr>
      <w:r>
        <w:t xml:space="preserve">To effectively mobilize private finance in support of </w:t>
      </w:r>
      <w:r w:rsidR="00942989">
        <w:t xml:space="preserve">the </w:t>
      </w:r>
      <w:r w:rsidR="00942989" w:rsidRPr="00A95BEE">
        <w:t>Sustainable Development Goal</w:t>
      </w:r>
      <w:r w:rsidR="00EF6BB5">
        <w:t>s</w:t>
      </w:r>
      <w:r w:rsidR="00F31590">
        <w:t>,</w:t>
      </w:r>
      <w:r>
        <w:t xml:space="preserve"> a</w:t>
      </w:r>
      <w:r w:rsidRPr="00A95BEE">
        <w:t xml:space="preserve"> transformation of the national, regional and international financial architecture</w:t>
      </w:r>
      <w:r>
        <w:t xml:space="preserve"> </w:t>
      </w:r>
      <w:r w:rsidRPr="00A95BEE">
        <w:t xml:space="preserve">is required. </w:t>
      </w:r>
      <w:r>
        <w:t>In addition to actions needed by regulators and policymakers at the national level, such a transformation would also need a change in the approaches of multilateral concessional finance providers, such as the multilateral development banks. They need to work closely with private finance entities to de-risk investments, especially in LDCs and in more challenging sectors and projects. On their part, private businesses need to step up and implement their voluntary sustainability-related commitments. Many have already transformed their supply</w:t>
      </w:r>
      <w:r w:rsidRPr="003404AB">
        <w:t xml:space="preserve"> </w:t>
      </w:r>
      <w:r>
        <w:t xml:space="preserve">chains to </w:t>
      </w:r>
      <w:r w:rsidRPr="003404AB">
        <w:t>become more sustainable</w:t>
      </w:r>
      <w:r>
        <w:t xml:space="preserve">, </w:t>
      </w:r>
      <w:r w:rsidRPr="003404AB">
        <w:t>divest</w:t>
      </w:r>
      <w:r>
        <w:t>ed</w:t>
      </w:r>
      <w:r w:rsidRPr="003404AB">
        <w:t xml:space="preserve"> assets</w:t>
      </w:r>
      <w:r>
        <w:t>,</w:t>
      </w:r>
      <w:r w:rsidRPr="003404AB">
        <w:t xml:space="preserve"> ceas</w:t>
      </w:r>
      <w:r>
        <w:t xml:space="preserve">ed some </w:t>
      </w:r>
      <w:r w:rsidRPr="003404AB">
        <w:t xml:space="preserve">activities that do harm, and </w:t>
      </w:r>
      <w:r>
        <w:t>are designing</w:t>
      </w:r>
      <w:r w:rsidRPr="003404AB">
        <w:t xml:space="preserve"> future business plans</w:t>
      </w:r>
      <w:r>
        <w:t>,</w:t>
      </w:r>
      <w:r w:rsidRPr="003404AB">
        <w:t xml:space="preserve"> such as transition plans</w:t>
      </w:r>
      <w:r>
        <w:t>,</w:t>
      </w:r>
      <w:r w:rsidRPr="003404AB">
        <w:t xml:space="preserve"> that chart a progressively more sustainable path. </w:t>
      </w:r>
      <w:r>
        <w:t xml:space="preserve"> But much more needs to be done.</w:t>
      </w:r>
    </w:p>
    <w:p w14:paraId="018138F9" w14:textId="71A94806" w:rsidR="00802E84" w:rsidRPr="00C663B9" w:rsidRDefault="00802E84" w:rsidP="00630995">
      <w:pPr>
        <w:pStyle w:val="ListParagraph"/>
        <w:snapToGrid w:val="0"/>
        <w:spacing w:after="240" w:line="240" w:lineRule="auto"/>
        <w:ind w:left="0"/>
        <w:contextualSpacing w:val="0"/>
        <w:jc w:val="both"/>
        <w:rPr>
          <w:rFonts w:cs="Cordia New"/>
          <w:sz w:val="20"/>
          <w:szCs w:val="24"/>
          <w:lang w:bidi="th-TH"/>
        </w:rPr>
      </w:pPr>
      <w:r w:rsidRPr="00C663B9">
        <w:rPr>
          <w:b/>
          <w:bCs/>
          <w:i/>
          <w:iCs/>
        </w:rPr>
        <w:t>Key challenges hampering mobilization of domestic and international private finance</w:t>
      </w:r>
    </w:p>
    <w:p w14:paraId="7F2C479E" w14:textId="78A074D4" w:rsidR="00DE7CAF" w:rsidRPr="00FF0F2F" w:rsidRDefault="00DE7CAF" w:rsidP="00630995">
      <w:pPr>
        <w:pStyle w:val="ListParagraph"/>
        <w:snapToGrid w:val="0"/>
        <w:spacing w:after="240" w:line="240" w:lineRule="auto"/>
        <w:ind w:left="0"/>
        <w:contextualSpacing w:val="0"/>
        <w:jc w:val="both"/>
        <w:rPr>
          <w:rFonts w:ascii="Roboto" w:hAnsi="Roboto" w:cs="Cordia New"/>
          <w:szCs w:val="28"/>
          <w:lang w:bidi="th-TH"/>
        </w:rPr>
      </w:pPr>
      <w:r w:rsidRPr="0037795D">
        <w:t xml:space="preserve">The first </w:t>
      </w:r>
      <w:r>
        <w:t xml:space="preserve">main </w:t>
      </w:r>
      <w:r w:rsidRPr="0037795D">
        <w:t xml:space="preserve">challenge is the underdeveloped </w:t>
      </w:r>
      <w:r>
        <w:t>and highly disparate state of capital</w:t>
      </w:r>
      <w:r w:rsidRPr="0037795D">
        <w:t xml:space="preserve"> markets in most </w:t>
      </w:r>
      <w:r>
        <w:t xml:space="preserve">Asia-Pacific </w:t>
      </w:r>
      <w:r w:rsidRPr="0037795D">
        <w:t xml:space="preserve">economies. </w:t>
      </w:r>
      <w:r>
        <w:t xml:space="preserve">Key features of this </w:t>
      </w:r>
      <w:proofErr w:type="gramStart"/>
      <w:r>
        <w:t>include:</w:t>
      </w:r>
      <w:proofErr w:type="gramEnd"/>
      <w:r>
        <w:t xml:space="preserve"> weak </w:t>
      </w:r>
      <w:r w:rsidRPr="0037795D">
        <w:t>state of market infrastructure</w:t>
      </w:r>
      <w:r>
        <w:t xml:space="preserve"> as reflected in underdeveloped </w:t>
      </w:r>
      <w:r w:rsidRPr="0037795D">
        <w:t>exchanges</w:t>
      </w:r>
      <w:r>
        <w:t xml:space="preserve"> of stocks, securities, derivatives and other financial instruments; weak c</w:t>
      </w:r>
      <w:r w:rsidRPr="0037795D">
        <w:t xml:space="preserve">learing </w:t>
      </w:r>
      <w:r w:rsidRPr="0037795D">
        <w:lastRenderedPageBreak/>
        <w:t>systems</w:t>
      </w:r>
      <w:r>
        <w:t xml:space="preserve"> to settle financial trades;</w:t>
      </w:r>
      <w:r w:rsidRPr="0037795D">
        <w:t xml:space="preserve"> </w:t>
      </w:r>
      <w:r>
        <w:t>absence of guiding</w:t>
      </w:r>
      <w:r w:rsidRPr="0037795D">
        <w:t xml:space="preserve"> frameworks</w:t>
      </w:r>
      <w:r>
        <w:t xml:space="preserve"> to issue different financial instruments;</w:t>
      </w:r>
      <w:r w:rsidRPr="0037795D">
        <w:t xml:space="preserve"> </w:t>
      </w:r>
      <w:r>
        <w:t xml:space="preserve">absence of </w:t>
      </w:r>
      <w:r w:rsidRPr="0037795D">
        <w:t>bondholder rights</w:t>
      </w:r>
      <w:r>
        <w:t xml:space="preserve"> and </w:t>
      </w:r>
      <w:r w:rsidRPr="0037795D">
        <w:t>insolvency regulation</w:t>
      </w:r>
      <w:r>
        <w:t>s;</w:t>
      </w:r>
      <w:r w:rsidRPr="0037795D">
        <w:t xml:space="preserve"> lack of secondary markets particularly for corporate bonds</w:t>
      </w:r>
      <w:r>
        <w:t>;</w:t>
      </w:r>
      <w:r w:rsidRPr="0037795D">
        <w:t xml:space="preserve"> </w:t>
      </w:r>
      <w:r>
        <w:t xml:space="preserve">and </w:t>
      </w:r>
      <w:r w:rsidRPr="0037795D">
        <w:t>regulation</w:t>
      </w:r>
      <w:r>
        <w:t>s</w:t>
      </w:r>
      <w:r w:rsidRPr="0037795D">
        <w:t xml:space="preserve"> that hinder foreign ownership or produces taxation issues</w:t>
      </w:r>
      <w:r>
        <w:rPr>
          <w:rFonts w:ascii="Roboto" w:hAnsi="Roboto"/>
        </w:rPr>
        <w:t>.</w:t>
      </w:r>
      <w:r>
        <w:rPr>
          <w:rStyle w:val="FootnoteReference"/>
        </w:rPr>
        <w:footnoteReference w:id="2"/>
      </w:r>
      <w:r>
        <w:rPr>
          <w:rFonts w:ascii="Roboto" w:hAnsi="Roboto"/>
        </w:rPr>
        <w:t xml:space="preserve"> </w:t>
      </w:r>
    </w:p>
    <w:p w14:paraId="6E16C94F" w14:textId="50757FBE" w:rsidR="00DE7CAF" w:rsidRPr="00FF0F2F" w:rsidRDefault="00DE7CAF" w:rsidP="00630995">
      <w:pPr>
        <w:pStyle w:val="ListParagraph"/>
        <w:snapToGrid w:val="0"/>
        <w:spacing w:after="240" w:line="240" w:lineRule="auto"/>
        <w:ind w:left="0"/>
        <w:contextualSpacing w:val="0"/>
        <w:jc w:val="both"/>
        <w:rPr>
          <w:rFonts w:cs="Cordia New"/>
          <w:szCs w:val="28"/>
          <w:lang w:bidi="th-TH"/>
        </w:rPr>
      </w:pPr>
      <w:r w:rsidRPr="0037795D">
        <w:t>Two, the institutional investor base, such as pension funds or insurance companies which can provide stability and liquidity, is small</w:t>
      </w:r>
      <w:r>
        <w:t xml:space="preserve"> compared to </w:t>
      </w:r>
      <w:r w:rsidR="00C663B9" w:rsidRPr="00C663B9">
        <w:t>Organization</w:t>
      </w:r>
      <w:r w:rsidR="00906EF6" w:rsidRPr="00C663B9">
        <w:t xml:space="preserve"> for Economic Co-operation and Development</w:t>
      </w:r>
      <w:r w:rsidR="00C663B9">
        <w:rPr>
          <w:rFonts w:cstheme="minorHAnsi"/>
          <w:sz w:val="18"/>
          <w:szCs w:val="18"/>
        </w:rPr>
        <w:t xml:space="preserve"> (</w:t>
      </w:r>
      <w:r>
        <w:t>OECD</w:t>
      </w:r>
      <w:r w:rsidR="00C663B9">
        <w:t>)</w:t>
      </w:r>
      <w:r>
        <w:t xml:space="preserve"> countries</w:t>
      </w:r>
      <w:r w:rsidRPr="0037795D">
        <w:t xml:space="preserve">. Domestic savings are </w:t>
      </w:r>
      <w:r>
        <w:t xml:space="preserve">still </w:t>
      </w:r>
      <w:r w:rsidRPr="0037795D">
        <w:t xml:space="preserve">primarily </w:t>
      </w:r>
      <w:r w:rsidR="00C663B9" w:rsidRPr="0037795D">
        <w:t>channe</w:t>
      </w:r>
      <w:r w:rsidR="00C663B9">
        <w:t>l</w:t>
      </w:r>
      <w:r w:rsidR="00C663B9" w:rsidRPr="0037795D">
        <w:t>ed</w:t>
      </w:r>
      <w:r w:rsidRPr="0037795D">
        <w:t xml:space="preserve"> through banks rather than capital markets for </w:t>
      </w:r>
      <w:proofErr w:type="gramStart"/>
      <w:r w:rsidRPr="0037795D">
        <w:t>the majority of</w:t>
      </w:r>
      <w:proofErr w:type="gramEnd"/>
      <w:r w:rsidRPr="0037795D">
        <w:t xml:space="preserve"> countries in the region. </w:t>
      </w:r>
    </w:p>
    <w:p w14:paraId="5CF71697" w14:textId="180CF6B0" w:rsidR="00DE7CAF" w:rsidRPr="00FF0F2F" w:rsidRDefault="00DE7CAF" w:rsidP="00630995">
      <w:pPr>
        <w:pStyle w:val="ListParagraph"/>
        <w:snapToGrid w:val="0"/>
        <w:spacing w:after="240" w:line="240" w:lineRule="auto"/>
        <w:ind w:left="0"/>
        <w:contextualSpacing w:val="0"/>
        <w:jc w:val="both"/>
        <w:rPr>
          <w:rFonts w:cs="Cordia New"/>
          <w:szCs w:val="28"/>
          <w:lang w:bidi="th-TH"/>
        </w:rPr>
      </w:pPr>
      <w:r w:rsidRPr="0037795D">
        <w:t xml:space="preserve">Three, corporate governance remains a binding constraint in </w:t>
      </w:r>
      <w:r>
        <w:t>many</w:t>
      </w:r>
      <w:r w:rsidRPr="0037795D">
        <w:t xml:space="preserve"> capital markets</w:t>
      </w:r>
      <w:r w:rsidRPr="00E76BCA">
        <w:t xml:space="preserve"> because of the poor quality of financial reporting by domestic </w:t>
      </w:r>
      <w:r>
        <w:t>businesses</w:t>
      </w:r>
      <w:r w:rsidRPr="00E76BCA">
        <w:t xml:space="preserve"> and weaknesses in the legal system that makes it difficult for investors to seek redress in courts</w:t>
      </w:r>
      <w:r>
        <w:t>, if needed</w:t>
      </w:r>
      <w:r w:rsidRPr="0037795D">
        <w:t xml:space="preserve">. </w:t>
      </w:r>
    </w:p>
    <w:p w14:paraId="11C36F8B" w14:textId="299EE0C8" w:rsidR="00DE7CAF" w:rsidRPr="00FF0F2F" w:rsidRDefault="00DE7CAF" w:rsidP="00630995">
      <w:pPr>
        <w:pStyle w:val="ListParagraph"/>
        <w:snapToGrid w:val="0"/>
        <w:spacing w:after="240" w:line="240" w:lineRule="auto"/>
        <w:ind w:left="0"/>
        <w:contextualSpacing w:val="0"/>
        <w:jc w:val="both"/>
        <w:rPr>
          <w:rFonts w:cs="Cordia New"/>
          <w:szCs w:val="28"/>
          <w:lang w:bidi="th-TH"/>
        </w:rPr>
      </w:pPr>
      <w:r w:rsidRPr="00E87149">
        <w:rPr>
          <w:rFonts w:cstheme="minorHAnsi"/>
        </w:rPr>
        <w:t xml:space="preserve">Four, the enterprise landscape </w:t>
      </w:r>
      <w:r>
        <w:rPr>
          <w:rFonts w:cstheme="minorHAnsi"/>
        </w:rPr>
        <w:t xml:space="preserve">in Asia and the Pacific </w:t>
      </w:r>
      <w:r w:rsidRPr="00E87149">
        <w:rPr>
          <w:rFonts w:cstheme="minorHAnsi"/>
        </w:rPr>
        <w:t xml:space="preserve">is dominated by </w:t>
      </w:r>
      <w:r>
        <w:rPr>
          <w:rFonts w:cstheme="minorHAnsi"/>
        </w:rPr>
        <w:t>micro, small and medium enterprises (</w:t>
      </w:r>
      <w:r w:rsidRPr="00E87149">
        <w:rPr>
          <w:rFonts w:cstheme="minorHAnsi"/>
        </w:rPr>
        <w:t>MSMEs</w:t>
      </w:r>
      <w:r>
        <w:rPr>
          <w:rFonts w:cstheme="minorHAnsi"/>
        </w:rPr>
        <w:t>)</w:t>
      </w:r>
      <w:r w:rsidRPr="00E87149">
        <w:rPr>
          <w:rFonts w:cstheme="minorHAnsi"/>
        </w:rPr>
        <w:t>.</w:t>
      </w:r>
      <w:r>
        <w:rPr>
          <w:rStyle w:val="FootnoteReference"/>
          <w:rFonts w:cstheme="minorHAnsi"/>
        </w:rPr>
        <w:footnoteReference w:id="3"/>
      </w:r>
      <w:r>
        <w:rPr>
          <w:rFonts w:cstheme="minorHAnsi"/>
        </w:rPr>
        <w:t xml:space="preserve"> </w:t>
      </w:r>
      <w:r w:rsidRPr="009304FD">
        <w:t>Such enterprises are predominantly funded by internal funding (equity)</w:t>
      </w:r>
      <w:r>
        <w:t>. Sometimes they</w:t>
      </w:r>
      <w:r w:rsidRPr="009304FD">
        <w:t xml:space="preserve"> borrow from formal channels such as banks</w:t>
      </w:r>
      <w:r>
        <w:t xml:space="preserve">, however, they primarily do not </w:t>
      </w:r>
      <w:r w:rsidRPr="009304FD">
        <w:t>raise capital through securities in the capital markets</w:t>
      </w:r>
      <w:r>
        <w:t>.</w:t>
      </w:r>
    </w:p>
    <w:p w14:paraId="3868D822" w14:textId="5BB15129" w:rsidR="00AA4312" w:rsidRPr="00FF0F2F" w:rsidRDefault="00DE7CAF" w:rsidP="00C663B9">
      <w:pPr>
        <w:snapToGrid w:val="0"/>
        <w:spacing w:after="240" w:line="240" w:lineRule="auto"/>
        <w:jc w:val="both"/>
        <w:rPr>
          <w:rFonts w:cs="Cordia New"/>
          <w:szCs w:val="28"/>
          <w:lang w:bidi="th-TH"/>
        </w:rPr>
      </w:pPr>
      <w:r>
        <w:t xml:space="preserve">Five, less than desirable </w:t>
      </w:r>
      <w:r w:rsidRPr="00C778D2">
        <w:t>policy coherence and coordination in terms of national priorities and planning</w:t>
      </w:r>
      <w:r>
        <w:t>,</w:t>
      </w:r>
      <w:r w:rsidRPr="00C778D2">
        <w:t xml:space="preserve"> related to the </w:t>
      </w:r>
      <w:r w:rsidR="005807D1" w:rsidRPr="00A95BEE">
        <w:t>Sustainable Development Goal</w:t>
      </w:r>
      <w:r w:rsidR="007C438C">
        <w:t>s</w:t>
      </w:r>
      <w:r>
        <w:t>, between different ministries, departments and agencies remain an issue in several economies.</w:t>
      </w:r>
      <w:r w:rsidRPr="00FB1AEA">
        <w:t xml:space="preserve"> This </w:t>
      </w:r>
      <w:r>
        <w:t xml:space="preserve">creates uncertainty, </w:t>
      </w:r>
      <w:r w:rsidRPr="00FB1AEA">
        <w:t>imposes significant transaction costs on private finance</w:t>
      </w:r>
      <w:r>
        <w:t xml:space="preserve">, </w:t>
      </w:r>
      <w:r w:rsidRPr="00FB1AEA">
        <w:t xml:space="preserve">and reduces the financial efficiency of sustainable finance, </w:t>
      </w:r>
      <w:r>
        <w:t xml:space="preserve">bringing down returns and </w:t>
      </w:r>
      <w:r w:rsidRPr="00FB1AEA">
        <w:t xml:space="preserve">making </w:t>
      </w:r>
      <w:r>
        <w:t xml:space="preserve">private </w:t>
      </w:r>
      <w:r w:rsidRPr="00FB1AEA">
        <w:t xml:space="preserve">investments </w:t>
      </w:r>
      <w:r>
        <w:t xml:space="preserve">in support of </w:t>
      </w:r>
      <w:r w:rsidR="001601B0" w:rsidRPr="00A95BEE">
        <w:t xml:space="preserve">Sustainable Development </w:t>
      </w:r>
      <w:r>
        <w:t xml:space="preserve">Goals </w:t>
      </w:r>
      <w:r w:rsidRPr="00FB1AEA">
        <w:t>less desirable.</w:t>
      </w:r>
    </w:p>
    <w:p w14:paraId="10746B1E" w14:textId="51E10ABE" w:rsidR="00CE7CAF" w:rsidRPr="00C663B9" w:rsidRDefault="00CE7CAF" w:rsidP="00C663B9">
      <w:pPr>
        <w:pStyle w:val="ListParagraph"/>
        <w:snapToGrid w:val="0"/>
        <w:spacing w:after="240" w:line="240" w:lineRule="auto"/>
        <w:ind w:left="0"/>
        <w:contextualSpacing w:val="0"/>
        <w:jc w:val="both"/>
        <w:rPr>
          <w:rFonts w:cs="Cordia New"/>
          <w:sz w:val="20"/>
          <w:szCs w:val="24"/>
          <w:lang w:bidi="th-TH"/>
        </w:rPr>
      </w:pPr>
      <w:r w:rsidRPr="00C663B9">
        <w:rPr>
          <w:b/>
          <w:bCs/>
          <w:i/>
          <w:iCs/>
        </w:rPr>
        <w:t>Need for integrated actions by regulators and policymakers</w:t>
      </w:r>
    </w:p>
    <w:p w14:paraId="61BB4DAD" w14:textId="2B2446D6" w:rsidR="005951E5" w:rsidRDefault="00CE7CAF" w:rsidP="007E1999">
      <w:pPr>
        <w:pStyle w:val="ListParagraph"/>
        <w:spacing w:after="0" w:line="240" w:lineRule="auto"/>
        <w:ind w:left="0"/>
        <w:jc w:val="both"/>
        <w:rPr>
          <w:rFonts w:cstheme="minorHAnsi"/>
          <w:b/>
          <w:bCs/>
        </w:rPr>
      </w:pPr>
      <w:r>
        <w:t>Addressing these challenges and e</w:t>
      </w:r>
      <w:r w:rsidRPr="0037795D">
        <w:t>nsur</w:t>
      </w:r>
      <w:r>
        <w:t>ing</w:t>
      </w:r>
      <w:r w:rsidRPr="0037795D">
        <w:t xml:space="preserve"> that </w:t>
      </w:r>
      <w:r>
        <w:t>private finance</w:t>
      </w:r>
      <w:r w:rsidRPr="0037795D">
        <w:t xml:space="preserve"> flows at scale towards the </w:t>
      </w:r>
      <w:r w:rsidR="001601B0" w:rsidRPr="00A95BEE">
        <w:t>Sustainable Development Goal</w:t>
      </w:r>
      <w:r>
        <w:t>s</w:t>
      </w:r>
      <w:r w:rsidRPr="0037795D">
        <w:t xml:space="preserve"> </w:t>
      </w:r>
      <w:r>
        <w:t xml:space="preserve">would </w:t>
      </w:r>
      <w:r w:rsidRPr="0037795D">
        <w:t>require a suite of integrated actions by policymakers and regulators</w:t>
      </w:r>
      <w:r>
        <w:t xml:space="preserve">. Such actions encompass the developing and deepening financial markets and strengthening sustainable finance (figure </w:t>
      </w:r>
      <w:r w:rsidR="007E1999">
        <w:t>1</w:t>
      </w:r>
      <w:r>
        <w:t>)</w:t>
      </w:r>
      <w:r w:rsidRPr="0037795D">
        <w:t>.</w:t>
      </w:r>
      <w:r>
        <w:t xml:space="preserve"> </w:t>
      </w:r>
      <w:r w:rsidRPr="0037795D">
        <w:t>Examples of key actions</w:t>
      </w:r>
      <w:r>
        <w:t xml:space="preserve"> </w:t>
      </w:r>
      <w:r w:rsidRPr="0037795D">
        <w:t>include</w:t>
      </w:r>
      <w:r>
        <w:t xml:space="preserve"> implementation of sustainability-focused financial </w:t>
      </w:r>
      <w:r w:rsidRPr="0037795D">
        <w:t xml:space="preserve">risk management approaches, </w:t>
      </w:r>
      <w:r>
        <w:t xml:space="preserve">promotion of </w:t>
      </w:r>
      <w:r w:rsidRPr="0037795D">
        <w:t>sustainable</w:t>
      </w:r>
      <w:r>
        <w:t xml:space="preserve"> financial</w:t>
      </w:r>
      <w:r w:rsidRPr="0037795D">
        <w:t xml:space="preserve"> product development (such as sustainable bonds), </w:t>
      </w:r>
      <w:r>
        <w:t xml:space="preserve">and adoption of </w:t>
      </w:r>
      <w:r w:rsidRPr="0037795D">
        <w:t xml:space="preserve">sustainable </w:t>
      </w:r>
      <w:r>
        <w:t xml:space="preserve">taxonomies and </w:t>
      </w:r>
      <w:r w:rsidRPr="0037795D">
        <w:t xml:space="preserve">disclosure frameworks underpinned by a sustainable finance roadmap. Clear, </w:t>
      </w:r>
      <w:r>
        <w:t>coherent</w:t>
      </w:r>
      <w:r w:rsidRPr="0037795D">
        <w:t xml:space="preserve"> and integrated actions by banking and capital market regulators </w:t>
      </w:r>
      <w:r>
        <w:t xml:space="preserve">along these lines can </w:t>
      </w:r>
      <w:r w:rsidRPr="0037795D">
        <w:t>signal stability and predictability to investors</w:t>
      </w:r>
      <w:r>
        <w:t>,</w:t>
      </w:r>
      <w:r w:rsidRPr="0037795D">
        <w:t xml:space="preserve"> enabling long-term investments</w:t>
      </w:r>
      <w:r>
        <w:t>.</w:t>
      </w:r>
    </w:p>
    <w:p w14:paraId="24D69CE6" w14:textId="77777777" w:rsidR="005951E5" w:rsidRPr="00FF0F2F" w:rsidRDefault="005951E5" w:rsidP="007E1999">
      <w:pPr>
        <w:pStyle w:val="ListParagraph"/>
        <w:spacing w:after="0" w:line="240" w:lineRule="auto"/>
        <w:ind w:left="0"/>
        <w:jc w:val="both"/>
        <w:rPr>
          <w:rFonts w:cs="Cordia New"/>
          <w:b/>
          <w:bCs/>
          <w:szCs w:val="28"/>
          <w:lang w:bidi="th-TH"/>
        </w:rPr>
      </w:pPr>
    </w:p>
    <w:p w14:paraId="3DCBF93E" w14:textId="093C0681" w:rsidR="00857676" w:rsidRDefault="00857676">
      <w:pPr>
        <w:rPr>
          <w:rFonts w:cstheme="minorHAnsi"/>
          <w:b/>
          <w:bCs/>
        </w:rPr>
      </w:pPr>
      <w:r>
        <w:rPr>
          <w:rFonts w:cstheme="minorHAnsi"/>
          <w:b/>
          <w:bCs/>
        </w:rPr>
        <w:br w:type="page"/>
      </w:r>
    </w:p>
    <w:p w14:paraId="23C928A1" w14:textId="584DDAB3" w:rsidR="007E1999" w:rsidRDefault="007E1999" w:rsidP="006D4173">
      <w:pPr>
        <w:pStyle w:val="ListParagraph"/>
        <w:snapToGrid w:val="0"/>
        <w:spacing w:after="0" w:line="240" w:lineRule="auto"/>
        <w:ind w:left="0"/>
        <w:contextualSpacing w:val="0"/>
        <w:jc w:val="both"/>
        <w:rPr>
          <w:rFonts w:cstheme="minorHAnsi"/>
          <w:b/>
          <w:bCs/>
        </w:rPr>
      </w:pPr>
      <w:r w:rsidRPr="006162B3">
        <w:rPr>
          <w:rFonts w:cstheme="minorHAnsi"/>
          <w:b/>
          <w:bCs/>
        </w:rPr>
        <w:lastRenderedPageBreak/>
        <w:t xml:space="preserve">Figure </w:t>
      </w:r>
      <w:r>
        <w:rPr>
          <w:rFonts w:cstheme="minorHAnsi"/>
          <w:b/>
          <w:bCs/>
        </w:rPr>
        <w:t>1.</w:t>
      </w:r>
      <w:r w:rsidRPr="006162B3">
        <w:rPr>
          <w:rFonts w:cstheme="minorHAnsi"/>
          <w:b/>
          <w:bCs/>
        </w:rPr>
        <w:t xml:space="preserve"> </w:t>
      </w:r>
      <w:r>
        <w:rPr>
          <w:rFonts w:cstheme="minorHAnsi"/>
          <w:b/>
          <w:bCs/>
        </w:rPr>
        <w:t>F</w:t>
      </w:r>
      <w:r w:rsidRPr="006162B3">
        <w:rPr>
          <w:rFonts w:cstheme="minorHAnsi"/>
          <w:b/>
          <w:bCs/>
        </w:rPr>
        <w:t>inancial sector development</w:t>
      </w:r>
      <w:r>
        <w:rPr>
          <w:rFonts w:cstheme="minorHAnsi"/>
          <w:b/>
          <w:bCs/>
        </w:rPr>
        <w:t xml:space="preserve"> and sustainable finance actions</w:t>
      </w:r>
    </w:p>
    <w:p w14:paraId="1107D980" w14:textId="77777777" w:rsidR="0037795D" w:rsidRPr="006B278C" w:rsidRDefault="0037795D" w:rsidP="006D4173">
      <w:pPr>
        <w:pStyle w:val="ListParagraph"/>
        <w:snapToGrid w:val="0"/>
        <w:spacing w:after="0" w:line="240" w:lineRule="auto"/>
        <w:ind w:left="0"/>
        <w:contextualSpacing w:val="0"/>
        <w:rPr>
          <w:rFonts w:ascii="Roboto" w:hAnsi="Roboto"/>
          <w:b/>
          <w:bCs/>
        </w:rPr>
      </w:pPr>
    </w:p>
    <w:p w14:paraId="752FB314" w14:textId="467FF610" w:rsidR="0037795D" w:rsidRDefault="00A64748" w:rsidP="006D4173">
      <w:pPr>
        <w:pStyle w:val="ListParagraph"/>
        <w:snapToGrid w:val="0"/>
        <w:spacing w:after="0" w:line="240" w:lineRule="auto"/>
        <w:ind w:left="0"/>
        <w:contextualSpacing w:val="0"/>
        <w:jc w:val="both"/>
        <w:rPr>
          <w:rFonts w:ascii="Roboto" w:hAnsi="Roboto"/>
          <w:u w:val="single"/>
        </w:rPr>
      </w:pPr>
      <w:r w:rsidRPr="00A97FBB">
        <w:rPr>
          <w:rFonts w:ascii="Roboto" w:hAnsi="Roboto"/>
          <w:noProof/>
        </w:rPr>
        <w:drawing>
          <wp:inline distT="0" distB="0" distL="0" distR="0" wp14:anchorId="360F9ABB" wp14:editId="0FAFC663">
            <wp:extent cx="5876925" cy="3868900"/>
            <wp:effectExtent l="0" t="0" r="0" b="5080"/>
            <wp:docPr id="15858992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6925" cy="3868900"/>
                    </a:xfrm>
                    <a:prstGeom prst="rect">
                      <a:avLst/>
                    </a:prstGeom>
                    <a:noFill/>
                    <a:ln>
                      <a:noFill/>
                    </a:ln>
                  </pic:spPr>
                </pic:pic>
              </a:graphicData>
            </a:graphic>
          </wp:inline>
        </w:drawing>
      </w:r>
    </w:p>
    <w:p w14:paraId="73C0C1F7" w14:textId="77777777" w:rsidR="0099298A" w:rsidRDefault="0099298A" w:rsidP="006D4173">
      <w:pPr>
        <w:pStyle w:val="ListParagraph"/>
        <w:snapToGrid w:val="0"/>
        <w:spacing w:after="0" w:line="240" w:lineRule="auto"/>
        <w:ind w:left="0"/>
        <w:contextualSpacing w:val="0"/>
        <w:jc w:val="both"/>
        <w:rPr>
          <w:rFonts w:cstheme="minorHAnsi"/>
          <w:i/>
          <w:iCs/>
          <w:sz w:val="18"/>
          <w:szCs w:val="18"/>
        </w:rPr>
      </w:pPr>
    </w:p>
    <w:p w14:paraId="2124702D" w14:textId="36CB6D07" w:rsidR="00A64748" w:rsidRPr="00FF0F2F" w:rsidRDefault="0099298A" w:rsidP="006D4173">
      <w:pPr>
        <w:pStyle w:val="ListParagraph"/>
        <w:snapToGrid w:val="0"/>
        <w:spacing w:after="240" w:line="240" w:lineRule="auto"/>
        <w:ind w:left="0"/>
        <w:contextualSpacing w:val="0"/>
        <w:jc w:val="both"/>
        <w:rPr>
          <w:lang w:bidi="th-TH"/>
        </w:rPr>
      </w:pPr>
      <w:r w:rsidRPr="00274027">
        <w:rPr>
          <w:rFonts w:cstheme="minorHAnsi"/>
          <w:i/>
          <w:iCs/>
          <w:sz w:val="18"/>
          <w:szCs w:val="18"/>
        </w:rPr>
        <w:t xml:space="preserve">Source: </w:t>
      </w:r>
      <w:r>
        <w:rPr>
          <w:rFonts w:cstheme="minorHAnsi"/>
          <w:sz w:val="18"/>
          <w:szCs w:val="18"/>
        </w:rPr>
        <w:t>ESCAP</w:t>
      </w:r>
      <w:r w:rsidRPr="00274027">
        <w:rPr>
          <w:rFonts w:cstheme="minorHAnsi"/>
          <w:sz w:val="18"/>
          <w:szCs w:val="18"/>
        </w:rPr>
        <w:t xml:space="preserve"> and Global Green Growth Institute, “ASEAN Green Map”, paper prepared for </w:t>
      </w:r>
      <w:r>
        <w:rPr>
          <w:rFonts w:cstheme="minorHAnsi"/>
          <w:sz w:val="18"/>
          <w:szCs w:val="18"/>
        </w:rPr>
        <w:t xml:space="preserve">the </w:t>
      </w:r>
      <w:r w:rsidRPr="00274027">
        <w:rPr>
          <w:rFonts w:cstheme="minorHAnsi"/>
          <w:sz w:val="18"/>
          <w:szCs w:val="18"/>
        </w:rPr>
        <w:t>Association of Southeast Asian Nations, Jakarta, forthcoming.</w:t>
      </w:r>
    </w:p>
    <w:p w14:paraId="38D98A55" w14:textId="5A26C48B" w:rsidR="005A7A3D" w:rsidRPr="006D4173" w:rsidRDefault="00174569" w:rsidP="006D4173">
      <w:pPr>
        <w:pStyle w:val="Heading2"/>
        <w:snapToGrid w:val="0"/>
        <w:spacing w:before="0" w:after="240" w:line="240" w:lineRule="auto"/>
        <w:jc w:val="both"/>
        <w:rPr>
          <w:rFonts w:cs="Cordia New"/>
          <w:b/>
          <w:bCs/>
          <w:sz w:val="24"/>
          <w:szCs w:val="30"/>
          <w:u w:val="single"/>
          <w:lang w:bidi="th-TH"/>
        </w:rPr>
      </w:pPr>
      <w:r w:rsidRPr="005951E5">
        <w:rPr>
          <w:rFonts w:asciiTheme="minorHAnsi" w:hAnsiTheme="minorHAnsi" w:cstheme="minorHAnsi"/>
          <w:b/>
          <w:bCs/>
          <w:sz w:val="24"/>
          <w:szCs w:val="24"/>
          <w:u w:val="single"/>
        </w:rPr>
        <w:t>Policy solutions</w:t>
      </w:r>
      <w:r w:rsidR="002F4A33" w:rsidRPr="005951E5">
        <w:rPr>
          <w:rFonts w:asciiTheme="minorHAnsi" w:hAnsiTheme="minorHAnsi" w:cstheme="minorHAnsi"/>
          <w:b/>
          <w:bCs/>
          <w:sz w:val="24"/>
          <w:szCs w:val="24"/>
          <w:u w:val="single"/>
        </w:rPr>
        <w:t xml:space="preserve"> (500 words)</w:t>
      </w:r>
    </w:p>
    <w:p w14:paraId="3E159AC8" w14:textId="3AEE3503" w:rsidR="00D65812" w:rsidRPr="00FF0F2F" w:rsidRDefault="0037795D" w:rsidP="006D4173">
      <w:pPr>
        <w:pStyle w:val="ListParagraph"/>
        <w:numPr>
          <w:ilvl w:val="0"/>
          <w:numId w:val="8"/>
        </w:numPr>
        <w:snapToGrid w:val="0"/>
        <w:spacing w:after="240" w:line="240" w:lineRule="auto"/>
        <w:ind w:left="360"/>
        <w:contextualSpacing w:val="0"/>
        <w:jc w:val="both"/>
        <w:rPr>
          <w:rFonts w:cs="Cordia New"/>
          <w:szCs w:val="28"/>
          <w:lang w:bidi="th-TH"/>
        </w:rPr>
      </w:pPr>
      <w:r w:rsidRPr="00B103CB">
        <w:rPr>
          <w:rFonts w:cstheme="minorHAnsi"/>
          <w:b/>
          <w:bCs/>
        </w:rPr>
        <w:t>Strengthen financial regulations that accelerate private financing towards the Sustainable Development Goals, in line with national circumstances</w:t>
      </w:r>
      <w:r w:rsidRPr="00B103CB">
        <w:rPr>
          <w:rFonts w:cstheme="minorHAnsi"/>
        </w:rPr>
        <w:t xml:space="preserve">. </w:t>
      </w:r>
      <w:r w:rsidR="00B103CB" w:rsidRPr="0037795D">
        <w:rPr>
          <w:rFonts w:cstheme="minorHAnsi"/>
        </w:rPr>
        <w:t xml:space="preserve">Changes in financial regulations that prioritize sustainability considerations will influence the behavior of </w:t>
      </w:r>
      <w:r w:rsidR="00B103CB">
        <w:rPr>
          <w:rFonts w:cstheme="minorHAnsi"/>
        </w:rPr>
        <w:t>businesses operating in different sectors of the economy.</w:t>
      </w:r>
      <w:r w:rsidR="00B103CB" w:rsidRPr="0037795D">
        <w:rPr>
          <w:rFonts w:cstheme="minorHAnsi"/>
        </w:rPr>
        <w:t xml:space="preserve"> </w:t>
      </w:r>
      <w:r w:rsidR="00B103CB">
        <w:rPr>
          <w:rFonts w:cstheme="minorHAnsi"/>
        </w:rPr>
        <w:t xml:space="preserve">For this, </w:t>
      </w:r>
      <w:r w:rsidR="00B103CB" w:rsidRPr="0037795D">
        <w:rPr>
          <w:rFonts w:cstheme="minorHAnsi"/>
        </w:rPr>
        <w:t xml:space="preserve">regulators will need </w:t>
      </w:r>
      <w:r w:rsidR="00B103CB">
        <w:rPr>
          <w:rFonts w:cstheme="minorHAnsi"/>
        </w:rPr>
        <w:t xml:space="preserve">to </w:t>
      </w:r>
      <w:r w:rsidR="00B103CB" w:rsidRPr="0037795D">
        <w:rPr>
          <w:rFonts w:cstheme="minorHAnsi"/>
        </w:rPr>
        <w:t xml:space="preserve">invest in data and capacities </w:t>
      </w:r>
      <w:r w:rsidR="00B103CB">
        <w:rPr>
          <w:rFonts w:cstheme="minorHAnsi"/>
        </w:rPr>
        <w:t>of</w:t>
      </w:r>
      <w:r w:rsidR="00B103CB" w:rsidRPr="0037795D">
        <w:rPr>
          <w:rFonts w:cstheme="minorHAnsi"/>
        </w:rPr>
        <w:t xml:space="preserve"> their staff and systems to design, monitor and enforce effective sustainable financing regulations.</w:t>
      </w:r>
      <w:r w:rsidR="00B103CB">
        <w:rPr>
          <w:rFonts w:cstheme="minorHAnsi"/>
        </w:rPr>
        <w:t xml:space="preserve"> Moreover</w:t>
      </w:r>
      <w:r w:rsidR="00B103CB" w:rsidRPr="0037795D">
        <w:rPr>
          <w:rFonts w:cstheme="minorHAnsi"/>
        </w:rPr>
        <w:t xml:space="preserve">, regulators </w:t>
      </w:r>
      <w:r w:rsidR="00B103CB">
        <w:rPr>
          <w:rFonts w:cstheme="minorHAnsi"/>
        </w:rPr>
        <w:t>should also strive for</w:t>
      </w:r>
      <w:r w:rsidR="00B103CB" w:rsidRPr="0037795D">
        <w:rPr>
          <w:rFonts w:cstheme="minorHAnsi"/>
        </w:rPr>
        <w:t xml:space="preserve"> greater consistency with regional and global sustainable finance taxonomies and roadmaps</w:t>
      </w:r>
      <w:r w:rsidR="00B103CB">
        <w:rPr>
          <w:rFonts w:cstheme="minorHAnsi"/>
        </w:rPr>
        <w:t xml:space="preserve">. This would </w:t>
      </w:r>
      <w:r w:rsidR="00B103CB" w:rsidRPr="0037795D">
        <w:rPr>
          <w:rFonts w:cstheme="minorHAnsi"/>
        </w:rPr>
        <w:t>ensur</w:t>
      </w:r>
      <w:r w:rsidR="00B103CB">
        <w:rPr>
          <w:rFonts w:cstheme="minorHAnsi"/>
        </w:rPr>
        <w:t>e that</w:t>
      </w:r>
      <w:r w:rsidR="00B103CB" w:rsidRPr="0037795D">
        <w:rPr>
          <w:rFonts w:cstheme="minorHAnsi"/>
        </w:rPr>
        <w:t xml:space="preserve"> international investors can benefit from interoperability and </w:t>
      </w:r>
      <w:r w:rsidR="00B103CB">
        <w:rPr>
          <w:rFonts w:cstheme="minorHAnsi"/>
        </w:rPr>
        <w:t xml:space="preserve">provide </w:t>
      </w:r>
      <w:r w:rsidR="00B103CB" w:rsidRPr="0037795D">
        <w:rPr>
          <w:rFonts w:cstheme="minorHAnsi"/>
        </w:rPr>
        <w:t>incentiv</w:t>
      </w:r>
      <w:r w:rsidR="00B103CB">
        <w:rPr>
          <w:rFonts w:cstheme="minorHAnsi"/>
        </w:rPr>
        <w:t>es for</w:t>
      </w:r>
      <w:r w:rsidR="00B103CB" w:rsidRPr="0037795D">
        <w:rPr>
          <w:rFonts w:cstheme="minorHAnsi"/>
        </w:rPr>
        <w:t xml:space="preserve"> foreign capital to flow towards the </w:t>
      </w:r>
      <w:r w:rsidR="006D4173">
        <w:rPr>
          <w:rFonts w:cs="Browallia New"/>
          <w:szCs w:val="28"/>
          <w:lang w:bidi="th-TH"/>
        </w:rPr>
        <w:t>S</w:t>
      </w:r>
      <w:r w:rsidR="00B103CB" w:rsidRPr="0037795D">
        <w:rPr>
          <w:rFonts w:cstheme="minorHAnsi"/>
        </w:rPr>
        <w:t xml:space="preserve">ustainable </w:t>
      </w:r>
      <w:r w:rsidR="006D4173">
        <w:rPr>
          <w:rFonts w:cstheme="minorHAnsi"/>
        </w:rPr>
        <w:t>D</w:t>
      </w:r>
      <w:r w:rsidR="00B103CB" w:rsidRPr="0037795D">
        <w:rPr>
          <w:rFonts w:cstheme="minorHAnsi"/>
        </w:rPr>
        <w:t xml:space="preserve">evelopment </w:t>
      </w:r>
      <w:r w:rsidR="006D4173">
        <w:rPr>
          <w:rFonts w:cstheme="minorHAnsi"/>
        </w:rPr>
        <w:t>G</w:t>
      </w:r>
      <w:r w:rsidR="00B103CB" w:rsidRPr="0037795D">
        <w:rPr>
          <w:rFonts w:cstheme="minorHAnsi"/>
        </w:rPr>
        <w:t xml:space="preserve">oals. </w:t>
      </w:r>
    </w:p>
    <w:p w14:paraId="1A472231" w14:textId="2AE29621" w:rsidR="00FB1B5E" w:rsidRPr="007718AD" w:rsidRDefault="0037795D" w:rsidP="006D4173">
      <w:pPr>
        <w:pStyle w:val="ListParagraph"/>
        <w:numPr>
          <w:ilvl w:val="0"/>
          <w:numId w:val="8"/>
        </w:numPr>
        <w:snapToGrid w:val="0"/>
        <w:spacing w:after="240" w:line="240" w:lineRule="auto"/>
        <w:ind w:left="360"/>
        <w:contextualSpacing w:val="0"/>
        <w:jc w:val="both"/>
        <w:rPr>
          <w:rFonts w:cstheme="minorHAnsi"/>
          <w:b/>
          <w:bCs/>
        </w:rPr>
      </w:pPr>
      <w:r w:rsidRPr="0037795D">
        <w:rPr>
          <w:rFonts w:cstheme="minorHAnsi"/>
          <w:b/>
          <w:bCs/>
        </w:rPr>
        <w:t xml:space="preserve">Undertake actions to develop and deepen domestic banking and capital markets and ensure that sustainability considerations are further embedded. </w:t>
      </w:r>
      <w:r w:rsidR="00F775F9" w:rsidRPr="00BA3673">
        <w:rPr>
          <w:rFonts w:cstheme="minorHAnsi"/>
        </w:rPr>
        <w:t xml:space="preserve">Examples of potential actions </w:t>
      </w:r>
      <w:r w:rsidR="00F775F9">
        <w:rPr>
          <w:rFonts w:cstheme="minorHAnsi"/>
        </w:rPr>
        <w:t>i</w:t>
      </w:r>
      <w:r w:rsidR="00F775F9" w:rsidRPr="00BA3673">
        <w:rPr>
          <w:rFonts w:cstheme="minorHAnsi"/>
        </w:rPr>
        <w:t>nclude</w:t>
      </w:r>
      <w:r w:rsidR="00F775F9">
        <w:rPr>
          <w:rFonts w:cstheme="minorHAnsi"/>
        </w:rPr>
        <w:t>: efforts to</w:t>
      </w:r>
      <w:r w:rsidR="00F775F9" w:rsidRPr="00BA3673">
        <w:rPr>
          <w:rFonts w:cstheme="minorHAnsi"/>
        </w:rPr>
        <w:t xml:space="preserve"> increase the institutional investor base</w:t>
      </w:r>
      <w:r w:rsidR="00F775F9">
        <w:rPr>
          <w:rFonts w:cstheme="minorHAnsi"/>
        </w:rPr>
        <w:t>;</w:t>
      </w:r>
      <w:r w:rsidR="00F775F9" w:rsidRPr="00BA3673">
        <w:rPr>
          <w:rFonts w:cstheme="minorHAnsi"/>
        </w:rPr>
        <w:t xml:space="preserve"> </w:t>
      </w:r>
      <w:r w:rsidR="00F775F9">
        <w:rPr>
          <w:rFonts w:cstheme="minorHAnsi"/>
        </w:rPr>
        <w:t>strengthening of</w:t>
      </w:r>
      <w:r w:rsidR="00F775F9" w:rsidRPr="00BA3673">
        <w:rPr>
          <w:rFonts w:cstheme="minorHAnsi"/>
        </w:rPr>
        <w:t xml:space="preserve"> corporate governance</w:t>
      </w:r>
      <w:r w:rsidR="00F775F9">
        <w:rPr>
          <w:rFonts w:cstheme="minorHAnsi"/>
        </w:rPr>
        <w:t>;</w:t>
      </w:r>
      <w:r w:rsidR="00F775F9" w:rsidRPr="00BA3673">
        <w:rPr>
          <w:rFonts w:cstheme="minorHAnsi"/>
        </w:rPr>
        <w:t xml:space="preserve"> </w:t>
      </w:r>
      <w:r w:rsidR="00F775F9">
        <w:rPr>
          <w:rFonts w:cstheme="minorHAnsi"/>
        </w:rPr>
        <w:t xml:space="preserve">development of </w:t>
      </w:r>
      <w:r w:rsidR="00F775F9" w:rsidRPr="00BA3673">
        <w:rPr>
          <w:rFonts w:cstheme="minorHAnsi"/>
        </w:rPr>
        <w:t>more efficient banking and capital market infrastructure</w:t>
      </w:r>
      <w:r w:rsidR="00F775F9">
        <w:rPr>
          <w:rFonts w:cstheme="minorHAnsi"/>
        </w:rPr>
        <w:t>;</w:t>
      </w:r>
      <w:r w:rsidR="00F775F9" w:rsidRPr="00BA3673">
        <w:rPr>
          <w:rFonts w:cstheme="minorHAnsi"/>
        </w:rPr>
        <w:t xml:space="preserve"> sufficient technical capacity and knowledge provided to market intermediaries</w:t>
      </w:r>
      <w:r w:rsidR="00F775F9">
        <w:rPr>
          <w:rFonts w:cstheme="minorHAnsi"/>
        </w:rPr>
        <w:t>;</w:t>
      </w:r>
      <w:r w:rsidR="00F775F9" w:rsidRPr="00BA3673">
        <w:rPr>
          <w:rFonts w:cstheme="minorHAnsi"/>
        </w:rPr>
        <w:t xml:space="preserve"> implementation of robust regulatory and supervisory frameworks with strengthened investor protection </w:t>
      </w:r>
      <w:r w:rsidR="00F775F9">
        <w:rPr>
          <w:rFonts w:cstheme="minorHAnsi"/>
        </w:rPr>
        <w:t xml:space="preserve">policies; </w:t>
      </w:r>
      <w:r w:rsidR="00F775F9" w:rsidRPr="00BA3673">
        <w:rPr>
          <w:rFonts w:cstheme="minorHAnsi"/>
        </w:rPr>
        <w:t>ensuring adequate and independent credit risk assessment for companies of all sizes</w:t>
      </w:r>
      <w:r w:rsidR="00F775F9">
        <w:rPr>
          <w:rFonts w:cstheme="minorHAnsi"/>
        </w:rPr>
        <w:t>; and</w:t>
      </w:r>
      <w:r w:rsidR="00F775F9" w:rsidRPr="00BA3673">
        <w:rPr>
          <w:rFonts w:cstheme="minorHAnsi"/>
        </w:rPr>
        <w:t xml:space="preserve"> improving secondary market liquidity</w:t>
      </w:r>
      <w:r w:rsidR="00F775F9">
        <w:rPr>
          <w:rFonts w:cstheme="minorHAnsi"/>
        </w:rPr>
        <w:t>.</w:t>
      </w:r>
    </w:p>
    <w:p w14:paraId="2F97548E" w14:textId="2E33FB0B" w:rsidR="007706B2" w:rsidRPr="00FF0F2F" w:rsidRDefault="0037795D" w:rsidP="006D4173">
      <w:pPr>
        <w:pStyle w:val="ListParagraph"/>
        <w:numPr>
          <w:ilvl w:val="0"/>
          <w:numId w:val="8"/>
        </w:numPr>
        <w:snapToGrid w:val="0"/>
        <w:spacing w:after="240" w:line="240" w:lineRule="auto"/>
        <w:ind w:left="360"/>
        <w:contextualSpacing w:val="0"/>
        <w:jc w:val="both"/>
        <w:rPr>
          <w:rFonts w:cs="Cordia New"/>
          <w:szCs w:val="28"/>
          <w:lang w:bidi="th-TH"/>
        </w:rPr>
      </w:pPr>
      <w:r w:rsidRPr="0037795D">
        <w:rPr>
          <w:rFonts w:cstheme="minorHAnsi"/>
          <w:b/>
          <w:bCs/>
        </w:rPr>
        <w:lastRenderedPageBreak/>
        <w:t xml:space="preserve">Ensure that more concessional and private finance flow towards the </w:t>
      </w:r>
      <w:r w:rsidR="00CF1DB1">
        <w:rPr>
          <w:rFonts w:cstheme="minorHAnsi"/>
          <w:b/>
          <w:bCs/>
        </w:rPr>
        <w:t>LDC</w:t>
      </w:r>
      <w:r w:rsidR="00706920">
        <w:rPr>
          <w:rFonts w:cstheme="minorHAnsi"/>
          <w:b/>
          <w:bCs/>
        </w:rPr>
        <w:t>s</w:t>
      </w:r>
      <w:r w:rsidRPr="0037795D">
        <w:rPr>
          <w:rFonts w:cstheme="minorHAnsi"/>
          <w:b/>
          <w:bCs/>
        </w:rPr>
        <w:t xml:space="preserve">, as well as more challenging sectors and projects. </w:t>
      </w:r>
      <w:r w:rsidR="007706B2" w:rsidRPr="0037795D">
        <w:rPr>
          <w:rFonts w:cstheme="minorHAnsi"/>
        </w:rPr>
        <w:t xml:space="preserve">For the </w:t>
      </w:r>
      <w:r w:rsidR="007706B2">
        <w:rPr>
          <w:rFonts w:cstheme="minorHAnsi"/>
        </w:rPr>
        <w:t>LDCs</w:t>
      </w:r>
      <w:r w:rsidR="007706B2" w:rsidRPr="0037795D">
        <w:rPr>
          <w:rFonts w:cstheme="minorHAnsi"/>
        </w:rPr>
        <w:t xml:space="preserve"> as well as countries with low sovereign credit ratings, concessional finance by multilateral development banks and development finance institutions can act as an effective de-risking mechanism for private finance, if undertaken in partnership with the government and the private sector. Setting up a modality in which the private sector (project developers) and financial institutions regularly meet and co-create sustainable projects in a progressive and iterative manner can accelerate the preparation of effective pipelines of sustainable projects at scale. </w:t>
      </w:r>
      <w:r w:rsidR="007706B2">
        <w:rPr>
          <w:rFonts w:cstheme="minorHAnsi"/>
        </w:rPr>
        <w:t>Doing so</w:t>
      </w:r>
      <w:r w:rsidR="007706B2" w:rsidRPr="0037795D">
        <w:rPr>
          <w:rFonts w:cstheme="minorHAnsi"/>
        </w:rPr>
        <w:t xml:space="preserve"> would require</w:t>
      </w:r>
      <w:r w:rsidR="007706B2">
        <w:rPr>
          <w:rFonts w:cstheme="minorHAnsi"/>
        </w:rPr>
        <w:t xml:space="preserve"> a</w:t>
      </w:r>
      <w:r w:rsidR="007706B2" w:rsidRPr="0037795D">
        <w:rPr>
          <w:rFonts w:cstheme="minorHAnsi"/>
        </w:rPr>
        <w:t xml:space="preserve"> change in mindset of both </w:t>
      </w:r>
      <w:r w:rsidR="007706B2">
        <w:rPr>
          <w:rFonts w:cstheme="minorHAnsi"/>
        </w:rPr>
        <w:t xml:space="preserve">the </w:t>
      </w:r>
      <w:r w:rsidR="007706B2" w:rsidRPr="0037795D">
        <w:rPr>
          <w:rFonts w:cstheme="minorHAnsi"/>
        </w:rPr>
        <w:t>concessional and private finance providers</w:t>
      </w:r>
      <w:r w:rsidR="007706B2">
        <w:rPr>
          <w:rFonts w:cstheme="minorHAnsi"/>
        </w:rPr>
        <w:t xml:space="preserve"> </w:t>
      </w:r>
      <w:r w:rsidR="007706B2" w:rsidRPr="0037795D">
        <w:rPr>
          <w:rFonts w:cstheme="minorHAnsi"/>
        </w:rPr>
        <w:t>operating in</w:t>
      </w:r>
      <w:r w:rsidR="007706B2">
        <w:rPr>
          <w:rFonts w:cstheme="minorHAnsi"/>
        </w:rPr>
        <w:t xml:space="preserve"> LDCs.</w:t>
      </w:r>
    </w:p>
    <w:p w14:paraId="3DD0568A" w14:textId="3B4D76CF" w:rsidR="0037795D" w:rsidRPr="00FF0F2F" w:rsidRDefault="0037795D" w:rsidP="006D4173">
      <w:pPr>
        <w:pStyle w:val="ListParagraph"/>
        <w:numPr>
          <w:ilvl w:val="0"/>
          <w:numId w:val="8"/>
        </w:numPr>
        <w:spacing w:after="240" w:line="240" w:lineRule="auto"/>
        <w:ind w:left="360"/>
        <w:jc w:val="both"/>
        <w:rPr>
          <w:rFonts w:cs="Cordia New"/>
          <w:szCs w:val="28"/>
          <w:lang w:bidi="th-TH"/>
        </w:rPr>
      </w:pPr>
      <w:r w:rsidRPr="0037795D">
        <w:rPr>
          <w:rFonts w:cstheme="minorHAnsi"/>
          <w:b/>
          <w:bCs/>
        </w:rPr>
        <w:t>Enhance promotion</w:t>
      </w:r>
      <w:r w:rsidR="00C15F9F">
        <w:rPr>
          <w:rFonts w:cstheme="minorHAnsi"/>
          <w:b/>
          <w:bCs/>
        </w:rPr>
        <w:t xml:space="preserve"> of Foreign Direct Investment (FDI) </w:t>
      </w:r>
      <w:r w:rsidRPr="0037795D">
        <w:rPr>
          <w:rFonts w:cstheme="minorHAnsi"/>
          <w:b/>
          <w:bCs/>
        </w:rPr>
        <w:t xml:space="preserve">to accelerate </w:t>
      </w:r>
      <w:r w:rsidR="001C22F3">
        <w:rPr>
          <w:b/>
          <w:bCs/>
        </w:rPr>
        <w:t>S</w:t>
      </w:r>
      <w:r w:rsidR="006E7870" w:rsidRPr="006D4173">
        <w:rPr>
          <w:b/>
          <w:bCs/>
        </w:rPr>
        <w:t xml:space="preserve">ustainable </w:t>
      </w:r>
      <w:r w:rsidR="001C22F3">
        <w:rPr>
          <w:b/>
          <w:bCs/>
        </w:rPr>
        <w:t>D</w:t>
      </w:r>
      <w:r w:rsidR="006E7870" w:rsidRPr="006D4173">
        <w:rPr>
          <w:b/>
          <w:bCs/>
        </w:rPr>
        <w:t xml:space="preserve">evelopment </w:t>
      </w:r>
      <w:r w:rsidR="001C22F3">
        <w:rPr>
          <w:b/>
          <w:bCs/>
        </w:rPr>
        <w:t>G</w:t>
      </w:r>
      <w:r w:rsidR="006E7870" w:rsidRPr="006D4173">
        <w:rPr>
          <w:b/>
          <w:bCs/>
        </w:rPr>
        <w:t>oal</w:t>
      </w:r>
      <w:r w:rsidRPr="0037795D">
        <w:rPr>
          <w:rFonts w:cstheme="minorHAnsi"/>
          <w:b/>
          <w:bCs/>
        </w:rPr>
        <w:t>-aligned investments</w:t>
      </w:r>
      <w:r w:rsidR="007706B2">
        <w:rPr>
          <w:rFonts w:cstheme="minorHAnsi"/>
          <w:b/>
          <w:bCs/>
        </w:rPr>
        <w:t xml:space="preserve">. </w:t>
      </w:r>
      <w:r w:rsidRPr="0037795D">
        <w:rPr>
          <w:rFonts w:cstheme="minorHAnsi"/>
        </w:rPr>
        <w:t xml:space="preserve">FDI plays a crucial role in financing sustainable development, yet a significant gap remains in </w:t>
      </w:r>
      <w:r w:rsidR="00C15F9F" w:rsidRPr="0037795D">
        <w:rPr>
          <w:rFonts w:cstheme="minorHAnsi"/>
        </w:rPr>
        <w:t>channe</w:t>
      </w:r>
      <w:r w:rsidR="00C15F9F">
        <w:rPr>
          <w:rFonts w:cstheme="minorHAnsi"/>
        </w:rPr>
        <w:t>l</w:t>
      </w:r>
      <w:r w:rsidR="00C15F9F" w:rsidRPr="0037795D">
        <w:rPr>
          <w:rFonts w:cstheme="minorHAnsi"/>
        </w:rPr>
        <w:t>ing</w:t>
      </w:r>
      <w:r w:rsidRPr="0037795D">
        <w:rPr>
          <w:rFonts w:cstheme="minorHAnsi"/>
        </w:rPr>
        <w:t xml:space="preserve"> these investments towards </w:t>
      </w:r>
      <w:r w:rsidR="001C22F3">
        <w:rPr>
          <w:rFonts w:cstheme="minorHAnsi"/>
        </w:rPr>
        <w:t>S</w:t>
      </w:r>
      <w:r w:rsidR="00EC018E">
        <w:t xml:space="preserve">ustainable </w:t>
      </w:r>
      <w:r w:rsidR="001C22F3">
        <w:t>D</w:t>
      </w:r>
      <w:r w:rsidR="00EC018E">
        <w:t xml:space="preserve">evelopment </w:t>
      </w:r>
      <w:r w:rsidR="001C22F3">
        <w:t>G</w:t>
      </w:r>
      <w:r w:rsidR="00EC018E">
        <w:t>oal</w:t>
      </w:r>
      <w:r w:rsidRPr="0037795D">
        <w:rPr>
          <w:rFonts w:cstheme="minorHAnsi"/>
        </w:rPr>
        <w:t xml:space="preserve"> priorities in Asia-Pacific countries. Key considerations include developing sector-specific expertise within investment promotion agencies (IPAs)</w:t>
      </w:r>
      <w:r w:rsidR="006C0960">
        <w:rPr>
          <w:rFonts w:cstheme="minorHAnsi"/>
        </w:rPr>
        <w:t>;</w:t>
      </w:r>
      <w:r w:rsidRPr="0037795D">
        <w:rPr>
          <w:rFonts w:cstheme="minorHAnsi"/>
        </w:rPr>
        <w:t xml:space="preserve"> improving coordination between IPAs and policymakers</w:t>
      </w:r>
      <w:r w:rsidR="006C0960">
        <w:rPr>
          <w:rFonts w:cstheme="minorHAnsi"/>
        </w:rPr>
        <w:t>;</w:t>
      </w:r>
      <w:r w:rsidRPr="0037795D">
        <w:rPr>
          <w:rFonts w:cstheme="minorHAnsi"/>
        </w:rPr>
        <w:t xml:space="preserve"> leveraging digital technologies for better investor targeting</w:t>
      </w:r>
      <w:r w:rsidR="006C0960">
        <w:rPr>
          <w:rFonts w:cstheme="minorHAnsi"/>
        </w:rPr>
        <w:t>;</w:t>
      </w:r>
      <w:r w:rsidRPr="0037795D">
        <w:rPr>
          <w:rFonts w:cstheme="minorHAnsi"/>
        </w:rPr>
        <w:t xml:space="preserve"> and exploring innovative policy instruments to attract </w:t>
      </w:r>
      <w:r w:rsidR="001C22F3">
        <w:t>S</w:t>
      </w:r>
      <w:r w:rsidR="003C3845">
        <w:t xml:space="preserve">ustainable </w:t>
      </w:r>
      <w:r w:rsidR="001C22F3">
        <w:t>D</w:t>
      </w:r>
      <w:r w:rsidR="003C3845">
        <w:t xml:space="preserve">evelopment </w:t>
      </w:r>
      <w:r w:rsidR="001C22F3">
        <w:t>G</w:t>
      </w:r>
      <w:r w:rsidR="003C3845">
        <w:t>oal</w:t>
      </w:r>
      <w:r w:rsidRPr="0037795D">
        <w:rPr>
          <w:rFonts w:cstheme="minorHAnsi"/>
        </w:rPr>
        <w:t xml:space="preserve">-aligned FDI. By refocusing FDI promotion efforts on sustainable development priorities, countries can more effectively leverage international private finance to address pressing development challenges and accelerate progress towards the </w:t>
      </w:r>
      <w:r w:rsidR="00C17B6F">
        <w:rPr>
          <w:rFonts w:cstheme="minorHAnsi"/>
        </w:rPr>
        <w:t>S</w:t>
      </w:r>
      <w:r w:rsidR="00B61380">
        <w:t xml:space="preserve">ustainable </w:t>
      </w:r>
      <w:r w:rsidR="00C17B6F">
        <w:t>D</w:t>
      </w:r>
      <w:r w:rsidR="00B61380">
        <w:t xml:space="preserve">evelopment </w:t>
      </w:r>
      <w:r w:rsidR="00C17B6F">
        <w:t>G</w:t>
      </w:r>
      <w:r w:rsidR="00B61380">
        <w:t>oal</w:t>
      </w:r>
      <w:r w:rsidRPr="0037795D">
        <w:rPr>
          <w:rFonts w:cstheme="minorHAnsi"/>
        </w:rPr>
        <w:t>s, while balancing the quantity and quality of incoming investments.</w:t>
      </w:r>
    </w:p>
    <w:p w14:paraId="43B34C8E" w14:textId="0363CC15" w:rsidR="005A7A3D" w:rsidRPr="006D4173" w:rsidRDefault="081A7F1C" w:rsidP="006D4173">
      <w:pPr>
        <w:pStyle w:val="Heading2"/>
        <w:snapToGrid w:val="0"/>
        <w:spacing w:before="0" w:after="240" w:line="240" w:lineRule="auto"/>
        <w:jc w:val="both"/>
        <w:rPr>
          <w:rFonts w:cs="Cordia New"/>
          <w:b/>
          <w:bCs/>
          <w:sz w:val="24"/>
          <w:szCs w:val="30"/>
          <w:u w:val="single"/>
          <w:lang w:bidi="th-TH"/>
        </w:rPr>
      </w:pPr>
      <w:r w:rsidRPr="005F3F26">
        <w:rPr>
          <w:rFonts w:asciiTheme="minorHAnsi" w:hAnsiTheme="minorHAnsi" w:cstheme="minorHAnsi"/>
          <w:b/>
          <w:bCs/>
          <w:sz w:val="24"/>
          <w:szCs w:val="24"/>
          <w:u w:val="single"/>
        </w:rPr>
        <w:t xml:space="preserve">Specific </w:t>
      </w:r>
      <w:r w:rsidR="7BC9008D" w:rsidRPr="005F3F26">
        <w:rPr>
          <w:rFonts w:asciiTheme="minorHAnsi" w:hAnsiTheme="minorHAnsi" w:cstheme="minorHAnsi"/>
          <w:b/>
          <w:bCs/>
          <w:sz w:val="24"/>
          <w:szCs w:val="24"/>
          <w:u w:val="single"/>
        </w:rPr>
        <w:t>r</w:t>
      </w:r>
      <w:r w:rsidR="00174569" w:rsidRPr="005F3F26">
        <w:rPr>
          <w:rFonts w:asciiTheme="minorHAnsi" w:hAnsiTheme="minorHAnsi" w:cstheme="minorHAnsi"/>
          <w:b/>
          <w:bCs/>
          <w:sz w:val="24"/>
          <w:szCs w:val="24"/>
          <w:u w:val="single"/>
        </w:rPr>
        <w:t>ecommendations for FFD4</w:t>
      </w:r>
      <w:r w:rsidR="002F4A33" w:rsidRPr="005F3F26">
        <w:rPr>
          <w:rFonts w:asciiTheme="minorHAnsi" w:hAnsiTheme="minorHAnsi" w:cstheme="minorHAnsi"/>
          <w:b/>
          <w:bCs/>
          <w:sz w:val="24"/>
          <w:szCs w:val="24"/>
          <w:u w:val="single"/>
        </w:rPr>
        <w:t xml:space="preserve"> (</w:t>
      </w:r>
      <w:r w:rsidR="62705FD3" w:rsidRPr="005F3F26">
        <w:rPr>
          <w:rFonts w:asciiTheme="minorHAnsi" w:hAnsiTheme="minorHAnsi" w:cstheme="minorHAnsi"/>
          <w:b/>
          <w:bCs/>
          <w:sz w:val="24"/>
          <w:szCs w:val="24"/>
          <w:u w:val="single"/>
        </w:rPr>
        <w:t>3</w:t>
      </w:r>
      <w:r w:rsidR="002F4A33" w:rsidRPr="005F3F26">
        <w:rPr>
          <w:rFonts w:asciiTheme="minorHAnsi" w:hAnsiTheme="minorHAnsi" w:cstheme="minorHAnsi"/>
          <w:b/>
          <w:bCs/>
          <w:sz w:val="24"/>
          <w:szCs w:val="24"/>
          <w:u w:val="single"/>
        </w:rPr>
        <w:t>00 words)</w:t>
      </w:r>
    </w:p>
    <w:p w14:paraId="5F4FBDCA" w14:textId="2612F4B6" w:rsidR="002F6B6C" w:rsidRDefault="0037795D" w:rsidP="006D4173">
      <w:pPr>
        <w:pStyle w:val="ListParagraph"/>
        <w:numPr>
          <w:ilvl w:val="0"/>
          <w:numId w:val="9"/>
        </w:numPr>
        <w:snapToGrid w:val="0"/>
        <w:spacing w:after="240" w:line="240" w:lineRule="auto"/>
        <w:contextualSpacing w:val="0"/>
        <w:jc w:val="both"/>
      </w:pPr>
      <w:r>
        <w:t xml:space="preserve">Ensure that the </w:t>
      </w:r>
      <w:r w:rsidR="00BD2929">
        <w:t>Elements Paper and draft O</w:t>
      </w:r>
      <w:r>
        <w:t xml:space="preserve">utcome </w:t>
      </w:r>
      <w:r w:rsidR="00BD2929">
        <w:t>D</w:t>
      </w:r>
      <w:r>
        <w:t xml:space="preserve">ocument reflects </w:t>
      </w:r>
      <w:r w:rsidR="00016D11">
        <w:t>urgency towards a whole-of-government approach on strengthening the coherence of financial regulation</w:t>
      </w:r>
      <w:r w:rsidR="00542118">
        <w:t>s</w:t>
      </w:r>
      <w:r w:rsidR="00016D11">
        <w:t xml:space="preserve"> </w:t>
      </w:r>
      <w:r w:rsidR="004377D1">
        <w:t>by</w:t>
      </w:r>
      <w:r w:rsidR="00016D11">
        <w:t xml:space="preserve"> banking and capital markets regulators and policies</w:t>
      </w:r>
      <w:r w:rsidR="004377D1">
        <w:t xml:space="preserve"> from national policymakers</w:t>
      </w:r>
      <w:r w:rsidR="00BB37C3">
        <w:t xml:space="preserve"> </w:t>
      </w:r>
      <w:r w:rsidR="0019603A">
        <w:t xml:space="preserve">and aligning them with </w:t>
      </w:r>
      <w:r w:rsidR="00C17B6F">
        <w:t>the S</w:t>
      </w:r>
      <w:r w:rsidR="0019603A">
        <w:t xml:space="preserve">ustainable </w:t>
      </w:r>
      <w:r w:rsidR="00C15F9F">
        <w:t>D</w:t>
      </w:r>
      <w:r w:rsidR="0019603A">
        <w:t xml:space="preserve">evelopment </w:t>
      </w:r>
      <w:r w:rsidR="00C17B6F">
        <w:t>G</w:t>
      </w:r>
      <w:r w:rsidR="0019603A">
        <w:t>oals.</w:t>
      </w:r>
    </w:p>
    <w:p w14:paraId="1BBAFF31" w14:textId="276D81EA" w:rsidR="004377D1" w:rsidRPr="00C15F9F" w:rsidRDefault="004377D1" w:rsidP="006D4173">
      <w:pPr>
        <w:pStyle w:val="ListParagraph"/>
        <w:numPr>
          <w:ilvl w:val="0"/>
          <w:numId w:val="9"/>
        </w:numPr>
        <w:snapToGrid w:val="0"/>
        <w:spacing w:after="240" w:line="240" w:lineRule="auto"/>
        <w:contextualSpacing w:val="0"/>
        <w:jc w:val="both"/>
      </w:pPr>
      <w:r>
        <w:t xml:space="preserve">Ensure that financial deepening of domestic banking and capital markets is reflected as a </w:t>
      </w:r>
      <w:r w:rsidRPr="00C15F9F">
        <w:t xml:space="preserve">prerequisite to ensuring more private finance towards the </w:t>
      </w:r>
      <w:r w:rsidR="00C17B6F" w:rsidRPr="00C15F9F">
        <w:t>S</w:t>
      </w:r>
      <w:r w:rsidR="009A3B9D" w:rsidRPr="00C15F9F">
        <w:t xml:space="preserve">ustainable </w:t>
      </w:r>
      <w:r w:rsidR="00C17B6F" w:rsidRPr="00C15F9F">
        <w:t>D</w:t>
      </w:r>
      <w:r w:rsidR="009A3B9D" w:rsidRPr="00C15F9F">
        <w:t xml:space="preserve">evelopment </w:t>
      </w:r>
      <w:r w:rsidR="00C17B6F" w:rsidRPr="00C15F9F">
        <w:t>G</w:t>
      </w:r>
      <w:r w:rsidR="009A3B9D" w:rsidRPr="00C15F9F">
        <w:t>oal</w:t>
      </w:r>
      <w:r w:rsidRPr="00C15F9F">
        <w:t>s</w:t>
      </w:r>
      <w:r w:rsidR="00BB37C3" w:rsidRPr="00C15F9F">
        <w:t>.</w:t>
      </w:r>
    </w:p>
    <w:p w14:paraId="7162B53C" w14:textId="32AA7CEC" w:rsidR="005F3F26" w:rsidRPr="00C15F9F" w:rsidRDefault="004377D1" w:rsidP="006D4173">
      <w:pPr>
        <w:pStyle w:val="ListParagraph"/>
        <w:numPr>
          <w:ilvl w:val="0"/>
          <w:numId w:val="9"/>
        </w:numPr>
        <w:snapToGrid w:val="0"/>
        <w:spacing w:after="240" w:line="240" w:lineRule="auto"/>
        <w:contextualSpacing w:val="0"/>
        <w:jc w:val="both"/>
        <w:rPr>
          <w:rFonts w:cs="Cordia New"/>
          <w:szCs w:val="28"/>
          <w:lang w:bidi="th-TH"/>
        </w:rPr>
      </w:pPr>
      <w:r w:rsidRPr="00C15F9F">
        <w:t xml:space="preserve">Ensure that the </w:t>
      </w:r>
      <w:r w:rsidR="00BB37C3" w:rsidRPr="00C15F9F">
        <w:t>draft O</w:t>
      </w:r>
      <w:r w:rsidRPr="00C15F9F">
        <w:t xml:space="preserve">utcome </w:t>
      </w:r>
      <w:r w:rsidR="00BB37C3" w:rsidRPr="00C15F9F">
        <w:t>D</w:t>
      </w:r>
      <w:r w:rsidRPr="00C15F9F">
        <w:t xml:space="preserve">ocument reflects a differentiated approach towards </w:t>
      </w:r>
      <w:proofErr w:type="spellStart"/>
      <w:r w:rsidRPr="00C15F9F">
        <w:t>catalysing</w:t>
      </w:r>
      <w:proofErr w:type="spellEnd"/>
      <w:r w:rsidRPr="00C15F9F">
        <w:t xml:space="preserve"> both concessional and private finance in the </w:t>
      </w:r>
      <w:r w:rsidR="00C97867" w:rsidRPr="00C15F9F">
        <w:t>LDCs</w:t>
      </w:r>
      <w:r w:rsidRPr="00C15F9F">
        <w:t xml:space="preserve"> and calls for public and private stakeholders to reform their partnership approach to financing the </w:t>
      </w:r>
      <w:r w:rsidR="00955244" w:rsidRPr="00C15F9F">
        <w:t>S</w:t>
      </w:r>
      <w:r w:rsidR="000E59C7" w:rsidRPr="00C15F9F">
        <w:t xml:space="preserve">ustainable </w:t>
      </w:r>
      <w:r w:rsidR="00955244" w:rsidRPr="00C15F9F">
        <w:t>D</w:t>
      </w:r>
      <w:r w:rsidR="000E59C7" w:rsidRPr="00C15F9F">
        <w:t xml:space="preserve">evelopment </w:t>
      </w:r>
      <w:r w:rsidR="00955244" w:rsidRPr="00C15F9F">
        <w:t>G</w:t>
      </w:r>
      <w:r w:rsidR="000E59C7" w:rsidRPr="00C15F9F">
        <w:t>oal</w:t>
      </w:r>
      <w:r w:rsidRPr="00C15F9F">
        <w:t>s in these countries</w:t>
      </w:r>
      <w:r w:rsidR="007B7B3A" w:rsidRPr="00C15F9F">
        <w:t>.</w:t>
      </w:r>
    </w:p>
    <w:p w14:paraId="330ADA97" w14:textId="158AB058" w:rsidR="005A7A3D" w:rsidRPr="00FF0F2F" w:rsidRDefault="005F3F26" w:rsidP="006D4173">
      <w:pPr>
        <w:snapToGrid w:val="0"/>
        <w:spacing w:after="240" w:line="240" w:lineRule="auto"/>
        <w:rPr>
          <w:rFonts w:cs="Cordia New"/>
          <w:szCs w:val="28"/>
          <w:lang w:bidi="th-TH"/>
        </w:rPr>
      </w:pPr>
      <w:r w:rsidRPr="00C15F9F">
        <w:rPr>
          <w:b/>
          <w:bCs/>
        </w:rPr>
        <w:t>A</w:t>
      </w:r>
      <w:r w:rsidR="002F6B6C" w:rsidRPr="00C15F9F">
        <w:rPr>
          <w:b/>
          <w:bCs/>
        </w:rPr>
        <w:t xml:space="preserve"> 75-word summary of the brief for the website.</w:t>
      </w:r>
    </w:p>
    <w:p w14:paraId="75E5C2EB" w14:textId="5B2EF21B" w:rsidR="004377D1" w:rsidRDefault="004377D1" w:rsidP="006D4173">
      <w:pPr>
        <w:snapToGrid w:val="0"/>
        <w:spacing w:after="240" w:line="240" w:lineRule="auto"/>
        <w:jc w:val="both"/>
      </w:pPr>
      <w:r>
        <w:t>This brief focuses on the importance of s</w:t>
      </w:r>
      <w:r w:rsidRPr="00A95BEE">
        <w:t>trengthen</w:t>
      </w:r>
      <w:r>
        <w:t>ing</w:t>
      </w:r>
      <w:r w:rsidRPr="00A95BEE">
        <w:t xml:space="preserve"> financial regulations that </w:t>
      </w:r>
      <w:r w:rsidR="007B7B3A">
        <w:t xml:space="preserve">can </w:t>
      </w:r>
      <w:r w:rsidRPr="00A95BEE">
        <w:t xml:space="preserve">accelerate private financing towards the Sustainable Development Goals </w:t>
      </w:r>
      <w:r w:rsidR="00AE183B">
        <w:t>in the Asia-Pacific region</w:t>
      </w:r>
      <w:r w:rsidRPr="00A95BEE">
        <w:t xml:space="preserve">. </w:t>
      </w:r>
      <w:r w:rsidR="00AE183B">
        <w:t>The brief puts forward</w:t>
      </w:r>
      <w:r>
        <w:t xml:space="preserve"> actions to deepen banking and capital markets in Asia and the Pacific, as well as </w:t>
      </w:r>
      <w:r w:rsidR="00AE183B">
        <w:t xml:space="preserve">outlines </w:t>
      </w:r>
      <w:r>
        <w:t xml:space="preserve">a new approach </w:t>
      </w:r>
      <w:r w:rsidR="00AE183B">
        <w:t>that combines</w:t>
      </w:r>
      <w:r>
        <w:t xml:space="preserve"> concessional and private finance in the least developed countries in Asia and the Pacific.</w:t>
      </w:r>
    </w:p>
    <w:p w14:paraId="6779AD93" w14:textId="77777777" w:rsidR="007D1216" w:rsidRDefault="007D1216" w:rsidP="004377D1"/>
    <w:sectPr w:rsidR="007D121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29ED3" w14:textId="77777777" w:rsidR="00EF17FD" w:rsidRDefault="00EF17FD" w:rsidP="003A03B5">
      <w:pPr>
        <w:spacing w:after="0" w:line="240" w:lineRule="auto"/>
      </w:pPr>
      <w:r>
        <w:separator/>
      </w:r>
    </w:p>
  </w:endnote>
  <w:endnote w:type="continuationSeparator" w:id="0">
    <w:p w14:paraId="0B6B12FC" w14:textId="77777777" w:rsidR="00EF17FD" w:rsidRDefault="00EF17FD" w:rsidP="003A03B5">
      <w:pPr>
        <w:spacing w:after="0" w:line="240" w:lineRule="auto"/>
      </w:pPr>
      <w:r>
        <w:continuationSeparator/>
      </w:r>
    </w:p>
  </w:endnote>
  <w:endnote w:type="continuationNotice" w:id="1">
    <w:p w14:paraId="6934AE32" w14:textId="77777777" w:rsidR="00EF17FD" w:rsidRDefault="00EF1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Condensed">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Browallia New">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483146"/>
      <w:docPartObj>
        <w:docPartGallery w:val="Page Numbers (Bottom of Page)"/>
        <w:docPartUnique/>
      </w:docPartObj>
    </w:sdtPr>
    <w:sdtEndPr>
      <w:rPr>
        <w:noProof/>
      </w:rPr>
    </w:sdtEndPr>
    <w:sdtContent>
      <w:p w14:paraId="6FB66793" w14:textId="47CF5B40" w:rsidR="00C15F9F" w:rsidRDefault="00C15F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CFD0C" w14:textId="77777777" w:rsidR="00C15F9F" w:rsidRDefault="00C1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5CCA" w14:textId="77777777" w:rsidR="00EF17FD" w:rsidRDefault="00EF17FD" w:rsidP="003A03B5">
      <w:pPr>
        <w:spacing w:after="0" w:line="240" w:lineRule="auto"/>
      </w:pPr>
      <w:r>
        <w:separator/>
      </w:r>
    </w:p>
  </w:footnote>
  <w:footnote w:type="continuationSeparator" w:id="0">
    <w:p w14:paraId="75CA185C" w14:textId="77777777" w:rsidR="00EF17FD" w:rsidRDefault="00EF17FD" w:rsidP="003A03B5">
      <w:pPr>
        <w:spacing w:after="0" w:line="240" w:lineRule="auto"/>
      </w:pPr>
      <w:r>
        <w:continuationSeparator/>
      </w:r>
    </w:p>
  </w:footnote>
  <w:footnote w:type="continuationNotice" w:id="1">
    <w:p w14:paraId="06653A14" w14:textId="77777777" w:rsidR="00EF17FD" w:rsidRDefault="00EF17FD">
      <w:pPr>
        <w:spacing w:after="0" w:line="240" w:lineRule="auto"/>
      </w:pPr>
    </w:p>
  </w:footnote>
  <w:footnote w:id="2">
    <w:p w14:paraId="7B70A3E7" w14:textId="7C99A7E8" w:rsidR="00DE7CAF" w:rsidRPr="00E76E99" w:rsidRDefault="00DE7CAF" w:rsidP="00DE7CAF">
      <w:pPr>
        <w:pStyle w:val="FootnoteText"/>
        <w:rPr>
          <w:rFonts w:cstheme="minorHAnsi"/>
          <w:sz w:val="18"/>
          <w:szCs w:val="18"/>
        </w:rPr>
      </w:pPr>
      <w:r w:rsidRPr="00E76E99">
        <w:rPr>
          <w:rStyle w:val="FootnoteReference"/>
          <w:rFonts w:cstheme="minorHAnsi"/>
          <w:sz w:val="18"/>
          <w:szCs w:val="18"/>
        </w:rPr>
        <w:footnoteRef/>
      </w:r>
      <w:r w:rsidRPr="00E76E99">
        <w:rPr>
          <w:rFonts w:cstheme="minorHAnsi"/>
          <w:sz w:val="18"/>
          <w:szCs w:val="18"/>
        </w:rPr>
        <w:t xml:space="preserve"> </w:t>
      </w:r>
      <w:r>
        <w:rPr>
          <w:rFonts w:cstheme="minorHAnsi"/>
          <w:sz w:val="18"/>
          <w:szCs w:val="18"/>
        </w:rPr>
        <w:t>OECD</w:t>
      </w:r>
      <w:r w:rsidRPr="00E76E99">
        <w:rPr>
          <w:rFonts w:cstheme="minorHAnsi"/>
          <w:sz w:val="18"/>
          <w:szCs w:val="18"/>
        </w:rPr>
        <w:t xml:space="preserve">, </w:t>
      </w:r>
      <w:r w:rsidRPr="00E76E99">
        <w:rPr>
          <w:rFonts w:cstheme="minorHAnsi"/>
          <w:i/>
          <w:iCs/>
          <w:sz w:val="18"/>
          <w:szCs w:val="18"/>
        </w:rPr>
        <w:t>Corporate Bond Markets in Asia: Challenges and Opportunities for Growth Companies</w:t>
      </w:r>
      <w:r w:rsidRPr="00E76E99">
        <w:rPr>
          <w:rFonts w:cstheme="minorHAnsi"/>
          <w:sz w:val="18"/>
          <w:szCs w:val="18"/>
        </w:rPr>
        <w:t xml:space="preserve"> (Paris, OECD Publishing, 2024).</w:t>
      </w:r>
    </w:p>
  </w:footnote>
  <w:footnote w:id="3">
    <w:p w14:paraId="2B4CD8B8" w14:textId="68FEBFED" w:rsidR="00DE7CAF" w:rsidRPr="00F53BD4" w:rsidRDefault="00DE7CAF" w:rsidP="00DE7CAF">
      <w:pPr>
        <w:pStyle w:val="FootnoteText"/>
        <w:rPr>
          <w:sz w:val="18"/>
          <w:szCs w:val="18"/>
        </w:rPr>
      </w:pPr>
      <w:r w:rsidRPr="00F53BD4">
        <w:rPr>
          <w:rStyle w:val="FootnoteReference"/>
          <w:sz w:val="18"/>
          <w:szCs w:val="18"/>
        </w:rPr>
        <w:footnoteRef/>
      </w:r>
      <w:r w:rsidRPr="00F53BD4">
        <w:rPr>
          <w:sz w:val="18"/>
          <w:szCs w:val="18"/>
        </w:rPr>
        <w:t xml:space="preserve"> Asian Development Bank, </w:t>
      </w:r>
      <w:r w:rsidRPr="00F53BD4">
        <w:rPr>
          <w:i/>
          <w:iCs/>
          <w:sz w:val="18"/>
          <w:szCs w:val="18"/>
        </w:rPr>
        <w:t>Asia Small and Medium-sized Enterprise Monitor 2023: How Small Firms Can Contribute to Resilient Growth in the Pacific Post COVID-19 Pandemic</w:t>
      </w:r>
      <w:r w:rsidRPr="00F53BD4">
        <w:rPr>
          <w:sz w:val="18"/>
          <w:szCs w:val="18"/>
        </w:rPr>
        <w:t xml:space="preserve"> (Manila,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04B5"/>
    <w:multiLevelType w:val="hybridMultilevel"/>
    <w:tmpl w:val="65BC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AD16621"/>
    <w:multiLevelType w:val="hybridMultilevel"/>
    <w:tmpl w:val="F83A6506"/>
    <w:lvl w:ilvl="0" w:tplc="A69E75A6">
      <w:start w:val="1"/>
      <w:numFmt w:val="decimal"/>
      <w:lvlText w:val="(%1)"/>
      <w:lvlJc w:val="left"/>
      <w:pPr>
        <w:ind w:left="1152" w:hanging="360"/>
      </w:pPr>
      <w:rPr>
        <w:rFonts w:hint="eastAsia"/>
      </w:rPr>
    </w:lvl>
    <w:lvl w:ilvl="1" w:tplc="04090019" w:tentative="1">
      <w:start w:val="1"/>
      <w:numFmt w:val="lowerLetter"/>
      <w:lvlText w:val="%2)"/>
      <w:lvlJc w:val="left"/>
      <w:pPr>
        <w:ind w:left="1672" w:hanging="440"/>
      </w:pPr>
    </w:lvl>
    <w:lvl w:ilvl="2" w:tplc="0409001B" w:tentative="1">
      <w:start w:val="1"/>
      <w:numFmt w:val="lowerRoman"/>
      <w:lvlText w:val="%3."/>
      <w:lvlJc w:val="right"/>
      <w:pPr>
        <w:ind w:left="2112" w:hanging="440"/>
      </w:pPr>
    </w:lvl>
    <w:lvl w:ilvl="3" w:tplc="0409000F" w:tentative="1">
      <w:start w:val="1"/>
      <w:numFmt w:val="decimal"/>
      <w:lvlText w:val="%4."/>
      <w:lvlJc w:val="left"/>
      <w:pPr>
        <w:ind w:left="2552" w:hanging="440"/>
      </w:pPr>
    </w:lvl>
    <w:lvl w:ilvl="4" w:tplc="04090019" w:tentative="1">
      <w:start w:val="1"/>
      <w:numFmt w:val="lowerLetter"/>
      <w:lvlText w:val="%5)"/>
      <w:lvlJc w:val="left"/>
      <w:pPr>
        <w:ind w:left="2992" w:hanging="440"/>
      </w:pPr>
    </w:lvl>
    <w:lvl w:ilvl="5" w:tplc="0409001B" w:tentative="1">
      <w:start w:val="1"/>
      <w:numFmt w:val="lowerRoman"/>
      <w:lvlText w:val="%6."/>
      <w:lvlJc w:val="right"/>
      <w:pPr>
        <w:ind w:left="3432" w:hanging="440"/>
      </w:pPr>
    </w:lvl>
    <w:lvl w:ilvl="6" w:tplc="0409000F" w:tentative="1">
      <w:start w:val="1"/>
      <w:numFmt w:val="decimal"/>
      <w:lvlText w:val="%7."/>
      <w:lvlJc w:val="left"/>
      <w:pPr>
        <w:ind w:left="3872" w:hanging="440"/>
      </w:pPr>
    </w:lvl>
    <w:lvl w:ilvl="7" w:tplc="04090019" w:tentative="1">
      <w:start w:val="1"/>
      <w:numFmt w:val="lowerLetter"/>
      <w:lvlText w:val="%8)"/>
      <w:lvlJc w:val="left"/>
      <w:pPr>
        <w:ind w:left="4312" w:hanging="440"/>
      </w:pPr>
    </w:lvl>
    <w:lvl w:ilvl="8" w:tplc="0409001B" w:tentative="1">
      <w:start w:val="1"/>
      <w:numFmt w:val="lowerRoman"/>
      <w:lvlText w:val="%9."/>
      <w:lvlJc w:val="right"/>
      <w:pPr>
        <w:ind w:left="4752" w:hanging="440"/>
      </w:pPr>
    </w:lvl>
  </w:abstractNum>
  <w:abstractNum w:abstractNumId="9" w15:restartNumberingAfterBreak="0">
    <w:nsid w:val="691C2DFA"/>
    <w:multiLevelType w:val="hybridMultilevel"/>
    <w:tmpl w:val="F184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14310">
    <w:abstractNumId w:val="0"/>
  </w:num>
  <w:num w:numId="2" w16cid:durableId="705714083">
    <w:abstractNumId w:val="7"/>
  </w:num>
  <w:num w:numId="3" w16cid:durableId="1224489899">
    <w:abstractNumId w:val="4"/>
  </w:num>
  <w:num w:numId="4" w16cid:durableId="839007420">
    <w:abstractNumId w:val="5"/>
  </w:num>
  <w:num w:numId="5" w16cid:durableId="1795057800">
    <w:abstractNumId w:val="6"/>
  </w:num>
  <w:num w:numId="6" w16cid:durableId="1539704886">
    <w:abstractNumId w:val="3"/>
  </w:num>
  <w:num w:numId="7" w16cid:durableId="1965765382">
    <w:abstractNumId w:val="2"/>
  </w:num>
  <w:num w:numId="8" w16cid:durableId="1084455095">
    <w:abstractNumId w:val="8"/>
  </w:num>
  <w:num w:numId="9" w16cid:durableId="431826836">
    <w:abstractNumId w:val="1"/>
  </w:num>
  <w:num w:numId="10" w16cid:durableId="994138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6CF5"/>
    <w:rsid w:val="000143BB"/>
    <w:rsid w:val="00016D11"/>
    <w:rsid w:val="00030E3E"/>
    <w:rsid w:val="00071553"/>
    <w:rsid w:val="0008186F"/>
    <w:rsid w:val="000934C2"/>
    <w:rsid w:val="000A0C53"/>
    <w:rsid w:val="000A3B06"/>
    <w:rsid w:val="000B769F"/>
    <w:rsid w:val="000C22F5"/>
    <w:rsid w:val="000C7E94"/>
    <w:rsid w:val="000E59C7"/>
    <w:rsid w:val="00151B89"/>
    <w:rsid w:val="001601B0"/>
    <w:rsid w:val="00174569"/>
    <w:rsid w:val="0019603A"/>
    <w:rsid w:val="001A71B9"/>
    <w:rsid w:val="001B3DC4"/>
    <w:rsid w:val="001C22F3"/>
    <w:rsid w:val="001C5FC0"/>
    <w:rsid w:val="00213FC5"/>
    <w:rsid w:val="00226DDE"/>
    <w:rsid w:val="00230CC0"/>
    <w:rsid w:val="00251A33"/>
    <w:rsid w:val="00256658"/>
    <w:rsid w:val="00264832"/>
    <w:rsid w:val="002707C5"/>
    <w:rsid w:val="002723FF"/>
    <w:rsid w:val="00275650"/>
    <w:rsid w:val="00280A5A"/>
    <w:rsid w:val="00281863"/>
    <w:rsid w:val="0029592A"/>
    <w:rsid w:val="002C4EC9"/>
    <w:rsid w:val="002C6D77"/>
    <w:rsid w:val="002E31D3"/>
    <w:rsid w:val="002F4A33"/>
    <w:rsid w:val="002F6B6C"/>
    <w:rsid w:val="003151D7"/>
    <w:rsid w:val="00316586"/>
    <w:rsid w:val="00317113"/>
    <w:rsid w:val="0034282A"/>
    <w:rsid w:val="00344E1D"/>
    <w:rsid w:val="003468F0"/>
    <w:rsid w:val="0037795D"/>
    <w:rsid w:val="003963B8"/>
    <w:rsid w:val="003A03B5"/>
    <w:rsid w:val="003A1EF7"/>
    <w:rsid w:val="003B0332"/>
    <w:rsid w:val="003C3845"/>
    <w:rsid w:val="003D0660"/>
    <w:rsid w:val="003D2340"/>
    <w:rsid w:val="004126AF"/>
    <w:rsid w:val="0042016D"/>
    <w:rsid w:val="004278CD"/>
    <w:rsid w:val="00437465"/>
    <w:rsid w:val="004377D1"/>
    <w:rsid w:val="00473595"/>
    <w:rsid w:val="00487794"/>
    <w:rsid w:val="004C5A9A"/>
    <w:rsid w:val="004D02AA"/>
    <w:rsid w:val="004D48FB"/>
    <w:rsid w:val="004F4DF5"/>
    <w:rsid w:val="00503F9A"/>
    <w:rsid w:val="00524BEA"/>
    <w:rsid w:val="00530E05"/>
    <w:rsid w:val="00542118"/>
    <w:rsid w:val="00552014"/>
    <w:rsid w:val="0056344F"/>
    <w:rsid w:val="005807D1"/>
    <w:rsid w:val="005910B8"/>
    <w:rsid w:val="005951E5"/>
    <w:rsid w:val="005A5020"/>
    <w:rsid w:val="005A7A3D"/>
    <w:rsid w:val="005F2430"/>
    <w:rsid w:val="005F3F26"/>
    <w:rsid w:val="00623EC0"/>
    <w:rsid w:val="00630995"/>
    <w:rsid w:val="0063460B"/>
    <w:rsid w:val="00636F1F"/>
    <w:rsid w:val="0064355E"/>
    <w:rsid w:val="00652BF1"/>
    <w:rsid w:val="0067653B"/>
    <w:rsid w:val="00685241"/>
    <w:rsid w:val="006A343D"/>
    <w:rsid w:val="006A4E17"/>
    <w:rsid w:val="006C0960"/>
    <w:rsid w:val="006D4173"/>
    <w:rsid w:val="006D4D4C"/>
    <w:rsid w:val="006E2FD2"/>
    <w:rsid w:val="006E7870"/>
    <w:rsid w:val="006F561E"/>
    <w:rsid w:val="00706920"/>
    <w:rsid w:val="00760A36"/>
    <w:rsid w:val="007706B2"/>
    <w:rsid w:val="0077138E"/>
    <w:rsid w:val="007718AD"/>
    <w:rsid w:val="007814DE"/>
    <w:rsid w:val="007B7B3A"/>
    <w:rsid w:val="007C3FE3"/>
    <w:rsid w:val="007C438C"/>
    <w:rsid w:val="007D1216"/>
    <w:rsid w:val="007E0FAA"/>
    <w:rsid w:val="007E1999"/>
    <w:rsid w:val="007F075C"/>
    <w:rsid w:val="007F10F0"/>
    <w:rsid w:val="007F17E3"/>
    <w:rsid w:val="00802E84"/>
    <w:rsid w:val="00812F0E"/>
    <w:rsid w:val="00817599"/>
    <w:rsid w:val="00834DC7"/>
    <w:rsid w:val="008422FD"/>
    <w:rsid w:val="008523C5"/>
    <w:rsid w:val="00857676"/>
    <w:rsid w:val="008D4AB4"/>
    <w:rsid w:val="008F1642"/>
    <w:rsid w:val="00900366"/>
    <w:rsid w:val="00906EF6"/>
    <w:rsid w:val="00922521"/>
    <w:rsid w:val="00942989"/>
    <w:rsid w:val="00955244"/>
    <w:rsid w:val="00965E47"/>
    <w:rsid w:val="0099298A"/>
    <w:rsid w:val="009A3B9D"/>
    <w:rsid w:val="009C126D"/>
    <w:rsid w:val="009D6678"/>
    <w:rsid w:val="00A0488B"/>
    <w:rsid w:val="00A20E8E"/>
    <w:rsid w:val="00A252C5"/>
    <w:rsid w:val="00A50AE3"/>
    <w:rsid w:val="00A64748"/>
    <w:rsid w:val="00A6753A"/>
    <w:rsid w:val="00A75609"/>
    <w:rsid w:val="00A95BEE"/>
    <w:rsid w:val="00A9695F"/>
    <w:rsid w:val="00AA4312"/>
    <w:rsid w:val="00AA44DD"/>
    <w:rsid w:val="00AC5120"/>
    <w:rsid w:val="00AC635D"/>
    <w:rsid w:val="00AD1EA1"/>
    <w:rsid w:val="00AE183B"/>
    <w:rsid w:val="00AE2B30"/>
    <w:rsid w:val="00AF48C0"/>
    <w:rsid w:val="00B103CB"/>
    <w:rsid w:val="00B16F5C"/>
    <w:rsid w:val="00B303BA"/>
    <w:rsid w:val="00B32D46"/>
    <w:rsid w:val="00B37572"/>
    <w:rsid w:val="00B43EE6"/>
    <w:rsid w:val="00B52F12"/>
    <w:rsid w:val="00B61380"/>
    <w:rsid w:val="00B95DA4"/>
    <w:rsid w:val="00BB37C3"/>
    <w:rsid w:val="00BC55C4"/>
    <w:rsid w:val="00BD1E2F"/>
    <w:rsid w:val="00BD2929"/>
    <w:rsid w:val="00BD78FE"/>
    <w:rsid w:val="00C02B63"/>
    <w:rsid w:val="00C15F9F"/>
    <w:rsid w:val="00C17B6F"/>
    <w:rsid w:val="00C22947"/>
    <w:rsid w:val="00C401B3"/>
    <w:rsid w:val="00C627AC"/>
    <w:rsid w:val="00C663B9"/>
    <w:rsid w:val="00C67DDF"/>
    <w:rsid w:val="00C70F61"/>
    <w:rsid w:val="00C71333"/>
    <w:rsid w:val="00C75BAB"/>
    <w:rsid w:val="00C85A51"/>
    <w:rsid w:val="00C9157B"/>
    <w:rsid w:val="00C97867"/>
    <w:rsid w:val="00CA7FC6"/>
    <w:rsid w:val="00CE4121"/>
    <w:rsid w:val="00CE7CAF"/>
    <w:rsid w:val="00CF1DB1"/>
    <w:rsid w:val="00D04C1E"/>
    <w:rsid w:val="00D14383"/>
    <w:rsid w:val="00D16D5D"/>
    <w:rsid w:val="00D170A7"/>
    <w:rsid w:val="00D273F6"/>
    <w:rsid w:val="00D5534A"/>
    <w:rsid w:val="00D6347F"/>
    <w:rsid w:val="00D65812"/>
    <w:rsid w:val="00D87226"/>
    <w:rsid w:val="00D94DE9"/>
    <w:rsid w:val="00DE7CAF"/>
    <w:rsid w:val="00DF0811"/>
    <w:rsid w:val="00E2289C"/>
    <w:rsid w:val="00E52E8B"/>
    <w:rsid w:val="00E97C36"/>
    <w:rsid w:val="00EB44E9"/>
    <w:rsid w:val="00EC018E"/>
    <w:rsid w:val="00EC01DC"/>
    <w:rsid w:val="00EC70AE"/>
    <w:rsid w:val="00EF17FD"/>
    <w:rsid w:val="00EF6BB5"/>
    <w:rsid w:val="00F0085E"/>
    <w:rsid w:val="00F24E46"/>
    <w:rsid w:val="00F31590"/>
    <w:rsid w:val="00F31841"/>
    <w:rsid w:val="00F31DF6"/>
    <w:rsid w:val="00F41324"/>
    <w:rsid w:val="00F42023"/>
    <w:rsid w:val="00F63348"/>
    <w:rsid w:val="00F775F9"/>
    <w:rsid w:val="00FB1B5E"/>
    <w:rsid w:val="00FD3426"/>
    <w:rsid w:val="00FD7E6C"/>
    <w:rsid w:val="00FF0F2F"/>
    <w:rsid w:val="00FF2D68"/>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8B467"/>
  <w15:chartTrackingRefBased/>
  <w15:docId w15:val="{53DD7EB2-394C-4F7A-9F3E-153E442B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References,Numbered List Paragraph,Numbered Paragraph,Main numbered paragraph,123 List Paragraph,List Paragraph (numbered (a)),Bullets,List Paragraph nowy,Liste 1,List_Paragraph,Multilevel para_II,List Paragraph1,Bullet paras,Body,L"/>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aliases w:val="single space,FOOTNOTES,ADB,footnote text,Footnote Text Char1 Char,Footnote Text Char Char Char,Footnote Text Char1 Char Char Char,Footnote Text Char Char Char Char Char,fn Char Char Char Char Char,footnote text Char Char Char Char Char,ft"/>
    <w:basedOn w:val="Normal"/>
    <w:link w:val="FootnoteTextChar"/>
    <w:unhideWhenUsed/>
    <w:qFormat/>
    <w:rsid w:val="003A03B5"/>
    <w:pPr>
      <w:spacing w:after="0" w:line="240" w:lineRule="auto"/>
    </w:pPr>
    <w:rPr>
      <w:sz w:val="20"/>
      <w:szCs w:val="20"/>
    </w:rPr>
  </w:style>
  <w:style w:type="character" w:customStyle="1" w:styleId="FootnoteTextChar">
    <w:name w:val="Footnote Text Char"/>
    <w:aliases w:val="single space Char,FOOTNOTES Char,ADB Char,footnote text Char,Footnote Text Char1 Char Char,Footnote Text Char Char Char Char,Footnote Text Char1 Char Char Char Char,Footnote Text Char Char Char Char Char Char,ft Char"/>
    <w:basedOn w:val="DefaultParagraphFont"/>
    <w:link w:val="FootnoteText"/>
    <w:qFormat/>
    <w:rsid w:val="003A03B5"/>
    <w:rPr>
      <w:sz w:val="20"/>
      <w:szCs w:val="20"/>
    </w:rPr>
  </w:style>
  <w:style w:type="character" w:styleId="FootnoteReference">
    <w:name w:val="footnote reference"/>
    <w:aliases w:val="SUPERS,16 Point,Superscript 6 Point,ftref,Ref,de nota al pie,Footnote Reference Number,(NECG) Footnote Reference,Footnote text,SUPERS1,SUPERS2,SUPERS3,FNRefe Char,BVI fnr Char,BVI fnr Char Char,BVI fnr Car Car Char Char,footnote ref,E"/>
    <w:basedOn w:val="DefaultParagraphFont"/>
    <w:uiPriority w:val="99"/>
    <w:unhideWhenUsed/>
    <w:qFormat/>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Strong">
    <w:name w:val="Strong"/>
    <w:uiPriority w:val="22"/>
    <w:qFormat/>
    <w:rsid w:val="00A95BEE"/>
    <w:rPr>
      <w:rFonts w:ascii="Roboto Condensed" w:hAnsi="Roboto Condensed"/>
      <w:b w:val="0"/>
      <w:bCs/>
      <w:i w:val="0"/>
      <w:color w:val="ED7D31" w:themeColor="accent2"/>
      <w:sz w:val="20"/>
    </w:rPr>
  </w:style>
  <w:style w:type="character" w:customStyle="1" w:styleId="ListParagraphChar">
    <w:name w:val="List Paragraph Char"/>
    <w:aliases w:val="Table Char,References Char,Numbered List Paragraph Char,Numbered Paragraph Char,Main numbered paragraph Char,123 List Paragraph Char,List Paragraph (numbered (a)) Char,Bullets Char,List Paragraph nowy Char,Liste 1 Char,Body Char"/>
    <w:link w:val="ListParagraph"/>
    <w:uiPriority w:val="34"/>
    <w:qFormat/>
    <w:locked/>
    <w:rsid w:val="00A9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8AC33-38BD-4D7A-989C-8FDC00BF36F7}">
  <ds:schemaRefs>
    <ds:schemaRef ds:uri="http://schemas.microsoft.com/office/2006/metadata/properties"/>
    <ds:schemaRef ds:uri="http://schemas.microsoft.com/office/infopath/2007/PartnerControls"/>
    <ds:schemaRef ds:uri="985ec44e-1bab-4c0b-9df0-6ba128686fc9"/>
    <ds:schemaRef ds:uri="9fc581a9-ee63-45ff-ba08-f19768d0f580"/>
  </ds:schemaRefs>
</ds:datastoreItem>
</file>

<file path=customXml/itemProps2.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3.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4.xml><?xml version="1.0" encoding="utf-8"?>
<ds:datastoreItem xmlns:ds="http://schemas.openxmlformats.org/officeDocument/2006/customXml" ds:itemID="{08AC4980-FBB0-46B3-8841-A95988E0167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Hamza Ali Malik</cp:lastModifiedBy>
  <cp:revision>6</cp:revision>
  <dcterms:created xsi:type="dcterms:W3CDTF">2024-10-18T09:39:00Z</dcterms:created>
  <dcterms:modified xsi:type="dcterms:W3CDTF">2024-10-18T09:49:00Z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0x01010003D066B225902746A8CA72997E644555</vt:lpwstr>
  </property>
  <property fmtid="{D5CDD505-2E9C-101B-9397-08002B2CF9AE}" pid="3" name="MediaServiceImageTags">
    <vt:lpwstr/>
  </property>
</Properties>
</file>