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B5C0A" w14:textId="77777777" w:rsidR="00AC5E25" w:rsidRDefault="00AC5E25" w:rsidP="00AC5E25">
      <w:pPr>
        <w:pStyle w:val="Heading2"/>
        <w:spacing w:after="240"/>
        <w:jc w:val="center"/>
        <w:rPr>
          <w:rFonts w:ascii="Cambria" w:hAnsi="Cambria"/>
          <w:b/>
          <w:bCs/>
        </w:rPr>
      </w:pPr>
      <w:r w:rsidRPr="000A0585">
        <w:rPr>
          <w:rFonts w:ascii="Cambria" w:hAnsi="Cambria"/>
          <w:b/>
          <w:bCs/>
        </w:rPr>
        <w:t>Financing Policy Brief Series – Recommendations for FfD4</w:t>
      </w:r>
    </w:p>
    <w:p w14:paraId="22E6C39A" w14:textId="2420EB40" w:rsidR="00AC5E25" w:rsidRDefault="00AC5E25" w:rsidP="00AC5E25">
      <w:pPr>
        <w:pStyle w:val="Heading1"/>
        <w:spacing w:before="40" w:after="240"/>
        <w:jc w:val="center"/>
        <w:rPr>
          <w:rFonts w:asciiTheme="minorHAnsi" w:hAnsiTheme="minorHAnsi" w:cstheme="minorHAnsi"/>
          <w:b/>
          <w:bCs/>
          <w:sz w:val="24"/>
          <w:szCs w:val="24"/>
        </w:rPr>
      </w:pPr>
      <w:r>
        <w:rPr>
          <w:rFonts w:asciiTheme="minorHAnsi" w:hAnsiTheme="minorHAnsi" w:cstheme="minorHAnsi"/>
          <w:b/>
          <w:bCs/>
          <w:sz w:val="24"/>
          <w:szCs w:val="24"/>
        </w:rPr>
        <w:t xml:space="preserve">Addressing representation issues of </w:t>
      </w:r>
      <w:r w:rsidR="0085312C">
        <w:rPr>
          <w:rFonts w:asciiTheme="minorHAnsi" w:hAnsiTheme="minorHAnsi" w:cstheme="minorHAnsi"/>
          <w:b/>
          <w:bCs/>
          <w:sz w:val="24"/>
          <w:szCs w:val="24"/>
        </w:rPr>
        <w:t>developing countries in international financial institutions</w:t>
      </w:r>
    </w:p>
    <w:p w14:paraId="09EAA7DE" w14:textId="77777777" w:rsidR="00AC5E25" w:rsidRDefault="00AC5E25" w:rsidP="00AC5E25">
      <w:pPr>
        <w:spacing w:after="0" w:line="240" w:lineRule="auto"/>
        <w:jc w:val="center"/>
      </w:pPr>
      <w:r>
        <w:t>Prepared by the Economic and Social Commission of Asia and the Pacific (ESCAP)</w:t>
      </w:r>
    </w:p>
    <w:p w14:paraId="0A36969D" w14:textId="77777777" w:rsidR="00AC5E25" w:rsidRDefault="00AC5E25" w:rsidP="00AC5E25">
      <w:pPr>
        <w:spacing w:after="0" w:line="240" w:lineRule="auto"/>
        <w:jc w:val="center"/>
      </w:pPr>
      <w:r>
        <w:t>Bangkok, Thailand</w:t>
      </w:r>
    </w:p>
    <w:p w14:paraId="6B3CC9E4" w14:textId="13CF150D" w:rsidR="00AC5E25" w:rsidRDefault="008A6DF5" w:rsidP="00CE0ACD">
      <w:pPr>
        <w:spacing w:after="0" w:line="240" w:lineRule="auto"/>
        <w:jc w:val="center"/>
        <w:rPr>
          <w:sz w:val="20"/>
          <w:szCs w:val="20"/>
        </w:rPr>
      </w:pPr>
      <w:r>
        <w:rPr>
          <w:sz w:val="20"/>
          <w:szCs w:val="20"/>
        </w:rPr>
        <w:t xml:space="preserve">18 </w:t>
      </w:r>
      <w:r w:rsidR="00AC5E25" w:rsidRPr="008A6DF5">
        <w:rPr>
          <w:sz w:val="20"/>
          <w:szCs w:val="20"/>
        </w:rPr>
        <w:t>October 2024</w:t>
      </w:r>
    </w:p>
    <w:p w14:paraId="4DDFCC5C" w14:textId="77777777" w:rsidR="00FB2792" w:rsidRPr="008A6DF5" w:rsidRDefault="00FB2792" w:rsidP="008A6DF5">
      <w:pPr>
        <w:spacing w:after="0" w:line="240" w:lineRule="auto"/>
        <w:rPr>
          <w:sz w:val="20"/>
          <w:szCs w:val="20"/>
        </w:rPr>
      </w:pPr>
    </w:p>
    <w:p w14:paraId="5A61D63C" w14:textId="45298D6C" w:rsidR="00D6400D" w:rsidRPr="00880F68" w:rsidRDefault="00D6400D" w:rsidP="001A4D84">
      <w:pPr>
        <w:pStyle w:val="Heading2"/>
        <w:spacing w:before="0" w:line="240" w:lineRule="auto"/>
        <w:jc w:val="both"/>
        <w:rPr>
          <w:rFonts w:asciiTheme="minorHAnsi" w:hAnsiTheme="minorHAnsi" w:cstheme="minorHAnsi"/>
          <w:b/>
          <w:bCs/>
          <w:sz w:val="24"/>
          <w:szCs w:val="24"/>
          <w:u w:val="single"/>
        </w:rPr>
      </w:pPr>
      <w:r w:rsidRPr="00880F68">
        <w:rPr>
          <w:rFonts w:asciiTheme="minorHAnsi" w:hAnsiTheme="minorHAnsi" w:cstheme="minorHAnsi"/>
          <w:b/>
          <w:bCs/>
          <w:sz w:val="24"/>
          <w:szCs w:val="24"/>
          <w:u w:val="single"/>
        </w:rPr>
        <w:t>Key messages</w:t>
      </w:r>
      <w:r w:rsidRPr="00C330CC">
        <w:rPr>
          <w:rFonts w:asciiTheme="minorHAnsi" w:hAnsiTheme="minorHAnsi" w:cstheme="minorHAnsi"/>
          <w:b/>
          <w:bCs/>
          <w:sz w:val="24"/>
          <w:szCs w:val="24"/>
          <w:u w:val="single"/>
        </w:rPr>
        <w:t xml:space="preserve"> </w:t>
      </w:r>
      <w:r w:rsidRPr="00880F68">
        <w:rPr>
          <w:rFonts w:asciiTheme="minorHAnsi" w:hAnsiTheme="minorHAnsi" w:cstheme="minorHAnsi"/>
          <w:b/>
          <w:bCs/>
          <w:sz w:val="24"/>
          <w:szCs w:val="24"/>
          <w:u w:val="single"/>
        </w:rPr>
        <w:t>(</w:t>
      </w:r>
      <w:r w:rsidR="009849A9">
        <w:rPr>
          <w:rFonts w:asciiTheme="minorHAnsi" w:hAnsiTheme="minorHAnsi" w:cstheme="minorHAnsi"/>
          <w:b/>
          <w:bCs/>
          <w:sz w:val="24"/>
          <w:szCs w:val="24"/>
          <w:u w:val="single"/>
        </w:rPr>
        <w:t xml:space="preserve">max. </w:t>
      </w:r>
      <w:r w:rsidRPr="00880F68">
        <w:rPr>
          <w:rFonts w:asciiTheme="minorHAnsi" w:hAnsiTheme="minorHAnsi" w:cstheme="minorHAnsi"/>
          <w:b/>
          <w:bCs/>
          <w:sz w:val="24"/>
          <w:szCs w:val="24"/>
          <w:u w:val="single"/>
        </w:rPr>
        <w:t>200 words)</w:t>
      </w:r>
    </w:p>
    <w:p w14:paraId="79CB4D55" w14:textId="77777777" w:rsidR="001A4D84" w:rsidRPr="008A6DF5" w:rsidRDefault="001A4D84" w:rsidP="008A6DF5">
      <w:pPr>
        <w:spacing w:after="0" w:line="240" w:lineRule="auto"/>
      </w:pPr>
    </w:p>
    <w:p w14:paraId="07AF7767" w14:textId="3D3466B0" w:rsidR="00570005" w:rsidRPr="00586451" w:rsidRDefault="00EA325D" w:rsidP="008A6DF5">
      <w:pPr>
        <w:pStyle w:val="ListParagraph"/>
        <w:numPr>
          <w:ilvl w:val="0"/>
          <w:numId w:val="6"/>
        </w:numPr>
        <w:spacing w:after="0" w:line="240" w:lineRule="auto"/>
        <w:ind w:left="360"/>
        <w:jc w:val="both"/>
        <w:rPr>
          <w:rFonts w:cstheme="minorHAnsi"/>
        </w:rPr>
      </w:pPr>
      <w:r w:rsidRPr="00586451">
        <w:rPr>
          <w:rFonts w:cstheme="minorHAnsi"/>
        </w:rPr>
        <w:t>The issue of representation</w:t>
      </w:r>
      <w:r w:rsidR="00E53090" w:rsidRPr="00586451">
        <w:rPr>
          <w:rFonts w:cstheme="minorHAnsi"/>
        </w:rPr>
        <w:t xml:space="preserve"> of developing countries in major international financial institutions</w:t>
      </w:r>
      <w:r w:rsidR="00F33399" w:rsidRPr="00586451">
        <w:rPr>
          <w:rFonts w:cstheme="minorHAnsi"/>
        </w:rPr>
        <w:t xml:space="preserve">, such as the </w:t>
      </w:r>
      <w:r w:rsidR="00656A38" w:rsidRPr="008A6DF5">
        <w:rPr>
          <w:rFonts w:cstheme="minorHAnsi"/>
        </w:rPr>
        <w:t>International Monetary</w:t>
      </w:r>
      <w:r w:rsidR="00656A38" w:rsidRPr="00656A38">
        <w:rPr>
          <w:rFonts w:cstheme="minorHAnsi"/>
          <w:b/>
          <w:bCs/>
        </w:rPr>
        <w:t xml:space="preserve"> </w:t>
      </w:r>
      <w:r w:rsidR="00656A38" w:rsidRPr="008A6DF5">
        <w:rPr>
          <w:rFonts w:cstheme="minorHAnsi"/>
        </w:rPr>
        <w:t>Fund</w:t>
      </w:r>
      <w:r w:rsidR="00656A38" w:rsidRPr="00656A38">
        <w:rPr>
          <w:rFonts w:cstheme="minorHAnsi"/>
        </w:rPr>
        <w:t xml:space="preserve"> </w:t>
      </w:r>
      <w:r w:rsidR="00656A38">
        <w:rPr>
          <w:rFonts w:cstheme="minorHAnsi"/>
        </w:rPr>
        <w:t>(</w:t>
      </w:r>
      <w:r w:rsidR="00F33399" w:rsidRPr="00586451">
        <w:rPr>
          <w:rFonts w:cstheme="minorHAnsi"/>
        </w:rPr>
        <w:t>IMF</w:t>
      </w:r>
      <w:r w:rsidR="008A6DF5">
        <w:rPr>
          <w:rFonts w:cstheme="minorHAnsi"/>
        </w:rPr>
        <w:t>)</w:t>
      </w:r>
      <w:r w:rsidR="00F33399" w:rsidRPr="00586451">
        <w:rPr>
          <w:rFonts w:cstheme="minorHAnsi"/>
        </w:rPr>
        <w:t>,</w:t>
      </w:r>
      <w:r w:rsidR="00E53090" w:rsidRPr="00586451">
        <w:rPr>
          <w:rFonts w:cstheme="minorHAnsi"/>
        </w:rPr>
        <w:t xml:space="preserve"> has been under </w:t>
      </w:r>
      <w:r w:rsidR="008112AC" w:rsidRPr="00586451">
        <w:rPr>
          <w:rFonts w:cstheme="minorHAnsi"/>
        </w:rPr>
        <w:t>discussion</w:t>
      </w:r>
      <w:r w:rsidR="00E53090" w:rsidRPr="00586451">
        <w:rPr>
          <w:rFonts w:cstheme="minorHAnsi"/>
        </w:rPr>
        <w:t xml:space="preserve"> for </w:t>
      </w:r>
      <w:r w:rsidR="0008595A" w:rsidRPr="00586451">
        <w:rPr>
          <w:rFonts w:cstheme="minorHAnsi"/>
        </w:rPr>
        <w:t>decades but</w:t>
      </w:r>
      <w:r w:rsidR="008112AC" w:rsidRPr="00586451">
        <w:rPr>
          <w:rFonts w:cstheme="minorHAnsi"/>
        </w:rPr>
        <w:t xml:space="preserve"> has not been addressed yet.</w:t>
      </w:r>
    </w:p>
    <w:p w14:paraId="1B9757BF" w14:textId="0E446DDA" w:rsidR="006946EB" w:rsidRPr="00586451" w:rsidRDefault="006946EB" w:rsidP="008A6DF5">
      <w:pPr>
        <w:pStyle w:val="ListParagraph"/>
        <w:numPr>
          <w:ilvl w:val="0"/>
          <w:numId w:val="6"/>
        </w:numPr>
        <w:spacing w:after="0" w:line="240" w:lineRule="auto"/>
        <w:ind w:left="360"/>
        <w:jc w:val="both"/>
        <w:rPr>
          <w:rFonts w:cstheme="minorHAnsi"/>
        </w:rPr>
      </w:pPr>
      <w:r w:rsidRPr="00586451">
        <w:rPr>
          <w:rFonts w:cstheme="minorHAnsi"/>
        </w:rPr>
        <w:t xml:space="preserve">Voting right imbalances </w:t>
      </w:r>
      <w:r w:rsidR="0008595A" w:rsidRPr="00586451">
        <w:rPr>
          <w:rFonts w:cstheme="minorHAnsi"/>
        </w:rPr>
        <w:t xml:space="preserve">also </w:t>
      </w:r>
      <w:r w:rsidRPr="00586451">
        <w:rPr>
          <w:rFonts w:cstheme="minorHAnsi"/>
        </w:rPr>
        <w:t>persist in multiple international financial institutions with no golden solution</w:t>
      </w:r>
      <w:r w:rsidR="003C4F71" w:rsidRPr="00586451">
        <w:rPr>
          <w:rFonts w:cstheme="minorHAnsi"/>
        </w:rPr>
        <w:t xml:space="preserve"> to address the issue.</w:t>
      </w:r>
    </w:p>
    <w:p w14:paraId="1221FCBB" w14:textId="65DE087A" w:rsidR="00174569" w:rsidRPr="00586451" w:rsidRDefault="002B2B63" w:rsidP="008A6DF5">
      <w:pPr>
        <w:pStyle w:val="ListParagraph"/>
        <w:numPr>
          <w:ilvl w:val="0"/>
          <w:numId w:val="6"/>
        </w:numPr>
        <w:spacing w:after="0" w:line="240" w:lineRule="auto"/>
        <w:ind w:left="360"/>
        <w:jc w:val="both"/>
        <w:rPr>
          <w:rFonts w:cstheme="minorHAnsi"/>
        </w:rPr>
      </w:pPr>
      <w:r w:rsidRPr="00586451">
        <w:rPr>
          <w:rFonts w:cstheme="minorHAnsi"/>
        </w:rPr>
        <w:t xml:space="preserve">With </w:t>
      </w:r>
      <w:r w:rsidR="007D10D7" w:rsidRPr="00586451">
        <w:rPr>
          <w:rFonts w:cstheme="minorHAnsi"/>
        </w:rPr>
        <w:t xml:space="preserve">better representation and </w:t>
      </w:r>
      <w:r w:rsidR="00B06BAC" w:rsidRPr="00586451">
        <w:rPr>
          <w:rFonts w:cstheme="minorHAnsi"/>
        </w:rPr>
        <w:t>a greater</w:t>
      </w:r>
      <w:r w:rsidRPr="00586451">
        <w:rPr>
          <w:rFonts w:cstheme="minorHAnsi"/>
        </w:rPr>
        <w:t xml:space="preserve"> number of voting rights assigned to Asia and the Pacific</w:t>
      </w:r>
      <w:r w:rsidR="005C6F6F" w:rsidRPr="00586451">
        <w:rPr>
          <w:rFonts w:cstheme="minorHAnsi"/>
        </w:rPr>
        <w:t xml:space="preserve"> at </w:t>
      </w:r>
      <w:r w:rsidR="00D97BE6">
        <w:rPr>
          <w:rFonts w:cstheme="minorHAnsi"/>
        </w:rPr>
        <w:t xml:space="preserve">international financing </w:t>
      </w:r>
      <w:r w:rsidR="00355E77">
        <w:rPr>
          <w:rFonts w:cstheme="minorHAnsi"/>
        </w:rPr>
        <w:t>institutions,</w:t>
      </w:r>
      <w:r w:rsidRPr="00586451">
        <w:rPr>
          <w:rFonts w:cstheme="minorHAnsi"/>
        </w:rPr>
        <w:t xml:space="preserve"> the region would benefit from proportionally greater influence on policy decisions</w:t>
      </w:r>
      <w:r w:rsidR="00950391">
        <w:rPr>
          <w:rFonts w:cstheme="minorHAnsi"/>
        </w:rPr>
        <w:t>, including improved access to development financing.</w:t>
      </w:r>
    </w:p>
    <w:p w14:paraId="4BC137EE" w14:textId="55995142" w:rsidR="003C4F71" w:rsidRPr="00586451" w:rsidRDefault="00E6505E" w:rsidP="001A4D84">
      <w:pPr>
        <w:pStyle w:val="ListParagraph"/>
        <w:numPr>
          <w:ilvl w:val="0"/>
          <w:numId w:val="6"/>
        </w:numPr>
        <w:spacing w:after="0" w:line="240" w:lineRule="auto"/>
        <w:ind w:left="360"/>
        <w:jc w:val="both"/>
        <w:rPr>
          <w:rFonts w:cstheme="minorHAnsi"/>
        </w:rPr>
      </w:pPr>
      <w:r>
        <w:rPr>
          <w:rFonts w:cstheme="minorHAnsi"/>
        </w:rPr>
        <w:t xml:space="preserve">Amid </w:t>
      </w:r>
      <w:r w:rsidR="00355E77">
        <w:rPr>
          <w:rFonts w:cstheme="minorHAnsi"/>
        </w:rPr>
        <w:t>ongoing</w:t>
      </w:r>
      <w:r>
        <w:rPr>
          <w:rFonts w:cstheme="minorHAnsi"/>
        </w:rPr>
        <w:t xml:space="preserve"> </w:t>
      </w:r>
      <w:r w:rsidR="00355E77">
        <w:rPr>
          <w:rFonts w:cstheme="minorHAnsi"/>
        </w:rPr>
        <w:t xml:space="preserve">discussions on </w:t>
      </w:r>
      <w:r>
        <w:rPr>
          <w:rFonts w:cstheme="minorHAnsi"/>
        </w:rPr>
        <w:t xml:space="preserve">reforms </w:t>
      </w:r>
      <w:r w:rsidR="00C21CF5">
        <w:rPr>
          <w:rFonts w:cstheme="minorHAnsi"/>
        </w:rPr>
        <w:t xml:space="preserve">of the international financial architecture, </w:t>
      </w:r>
      <w:r w:rsidR="00CA7D0D">
        <w:rPr>
          <w:rFonts w:cstheme="minorHAnsi"/>
        </w:rPr>
        <w:t>regional initiatives</w:t>
      </w:r>
      <w:r w:rsidR="002D5643">
        <w:rPr>
          <w:rFonts w:cstheme="minorHAnsi"/>
        </w:rPr>
        <w:t xml:space="preserve"> </w:t>
      </w:r>
      <w:r w:rsidR="00C21CF5">
        <w:rPr>
          <w:rFonts w:cstheme="minorHAnsi"/>
        </w:rPr>
        <w:t xml:space="preserve">represent </w:t>
      </w:r>
      <w:r w:rsidR="000E161F">
        <w:rPr>
          <w:rFonts w:cstheme="minorHAnsi"/>
        </w:rPr>
        <w:t>a</w:t>
      </w:r>
      <w:r w:rsidR="002C3B08">
        <w:rPr>
          <w:rFonts w:cstheme="minorHAnsi"/>
        </w:rPr>
        <w:t xml:space="preserve"> complementary approach</w:t>
      </w:r>
      <w:r w:rsidR="00070396" w:rsidRPr="00586451">
        <w:rPr>
          <w:rFonts w:cstheme="minorHAnsi"/>
        </w:rPr>
        <w:t>.</w:t>
      </w:r>
    </w:p>
    <w:p w14:paraId="233C6277" w14:textId="77777777" w:rsidR="001A4D84" w:rsidRPr="00DD4A7A" w:rsidRDefault="001A4D84" w:rsidP="008A6DF5">
      <w:pPr>
        <w:spacing w:after="0" w:line="240" w:lineRule="auto"/>
        <w:jc w:val="both"/>
        <w:rPr>
          <w:rFonts w:cstheme="minorHAnsi"/>
        </w:rPr>
      </w:pPr>
    </w:p>
    <w:p w14:paraId="2B511B58" w14:textId="6BD1D5ED" w:rsidR="00174569" w:rsidRPr="00814170" w:rsidRDefault="00174569" w:rsidP="008A6DF5">
      <w:pPr>
        <w:pStyle w:val="Heading2"/>
        <w:spacing w:before="0" w:line="240" w:lineRule="auto"/>
        <w:jc w:val="both"/>
        <w:rPr>
          <w:rFonts w:asciiTheme="minorHAnsi" w:hAnsiTheme="minorHAnsi" w:cstheme="minorHAnsi"/>
          <w:b/>
          <w:bCs/>
          <w:sz w:val="24"/>
          <w:szCs w:val="24"/>
          <w:u w:val="single"/>
        </w:rPr>
      </w:pPr>
      <w:r w:rsidRPr="00814170">
        <w:rPr>
          <w:rFonts w:asciiTheme="minorHAnsi" w:hAnsiTheme="minorHAnsi" w:cstheme="minorHAnsi"/>
          <w:b/>
          <w:bCs/>
          <w:sz w:val="24"/>
          <w:szCs w:val="24"/>
          <w:u w:val="single"/>
        </w:rPr>
        <w:t>Problem statement (</w:t>
      </w:r>
      <w:r w:rsidR="009849A9">
        <w:rPr>
          <w:rFonts w:asciiTheme="minorHAnsi" w:hAnsiTheme="minorHAnsi" w:cstheme="minorHAnsi"/>
          <w:b/>
          <w:bCs/>
          <w:sz w:val="24"/>
          <w:szCs w:val="24"/>
          <w:u w:val="single"/>
        </w:rPr>
        <w:t xml:space="preserve">max. </w:t>
      </w:r>
      <w:r w:rsidR="249587DD" w:rsidRPr="00814170">
        <w:rPr>
          <w:rFonts w:asciiTheme="minorHAnsi" w:hAnsiTheme="minorHAnsi" w:cstheme="minorHAnsi"/>
          <w:b/>
          <w:bCs/>
          <w:sz w:val="24"/>
          <w:szCs w:val="24"/>
          <w:u w:val="single"/>
        </w:rPr>
        <w:t>5</w:t>
      </w:r>
      <w:r w:rsidR="002F4A33" w:rsidRPr="00814170">
        <w:rPr>
          <w:rFonts w:asciiTheme="minorHAnsi" w:hAnsiTheme="minorHAnsi" w:cstheme="minorHAnsi"/>
          <w:b/>
          <w:bCs/>
          <w:sz w:val="24"/>
          <w:szCs w:val="24"/>
          <w:u w:val="single"/>
        </w:rPr>
        <w:t>00</w:t>
      </w:r>
      <w:r w:rsidRPr="00814170">
        <w:rPr>
          <w:rFonts w:asciiTheme="minorHAnsi" w:hAnsiTheme="minorHAnsi" w:cstheme="minorHAnsi"/>
          <w:b/>
          <w:bCs/>
          <w:sz w:val="24"/>
          <w:szCs w:val="24"/>
          <w:u w:val="single"/>
        </w:rPr>
        <w:t xml:space="preserve"> words)</w:t>
      </w:r>
    </w:p>
    <w:p w14:paraId="14A75ACD" w14:textId="77777777" w:rsidR="001A4D84" w:rsidRDefault="001A4D84" w:rsidP="001A4D84">
      <w:pPr>
        <w:spacing w:after="0" w:line="240" w:lineRule="auto"/>
        <w:jc w:val="both"/>
        <w:rPr>
          <w:rFonts w:ascii="Calibri" w:hAnsi="Calibri" w:cs="Calibri"/>
          <w:b/>
          <w:bCs/>
          <w:i/>
          <w:iCs/>
        </w:rPr>
      </w:pPr>
    </w:p>
    <w:p w14:paraId="03041F36" w14:textId="39B29FC0" w:rsidR="007111E9" w:rsidRPr="00C815A6" w:rsidRDefault="00A77960" w:rsidP="008A6DF5">
      <w:pPr>
        <w:spacing w:after="0" w:line="240" w:lineRule="auto"/>
        <w:jc w:val="both"/>
        <w:rPr>
          <w:rFonts w:ascii="Calibri" w:hAnsi="Calibri" w:cs="Calibri"/>
        </w:rPr>
      </w:pPr>
      <w:r>
        <w:rPr>
          <w:rFonts w:ascii="Calibri" w:hAnsi="Calibri" w:cs="Calibri"/>
          <w:b/>
          <w:bCs/>
          <w:i/>
          <w:iCs/>
        </w:rPr>
        <w:t>Issue of r</w:t>
      </w:r>
      <w:r w:rsidR="007111E9" w:rsidRPr="00C815A6">
        <w:rPr>
          <w:rFonts w:ascii="Calibri" w:hAnsi="Calibri" w:cs="Calibri"/>
          <w:b/>
          <w:bCs/>
          <w:i/>
          <w:iCs/>
        </w:rPr>
        <w:t xml:space="preserve">epresentation of developing countries and voting power in international financial institutions </w:t>
      </w:r>
    </w:p>
    <w:p w14:paraId="5DE2555E" w14:textId="77777777" w:rsidR="001A4D84" w:rsidRDefault="001A4D84" w:rsidP="001A4D84">
      <w:pPr>
        <w:spacing w:after="0" w:line="240" w:lineRule="auto"/>
        <w:jc w:val="both"/>
        <w:rPr>
          <w:rFonts w:ascii="Calibri" w:hAnsi="Calibri" w:cs="Calibri"/>
        </w:rPr>
      </w:pPr>
    </w:p>
    <w:p w14:paraId="3D653662" w14:textId="6CF06868" w:rsidR="00085495" w:rsidRDefault="00085495" w:rsidP="001A4D84">
      <w:pPr>
        <w:spacing w:after="0" w:line="240" w:lineRule="auto"/>
        <w:jc w:val="both"/>
        <w:rPr>
          <w:rFonts w:ascii="Calibri" w:hAnsi="Calibri" w:cs="Calibri"/>
        </w:rPr>
      </w:pPr>
      <w:r w:rsidRPr="009647B6">
        <w:rPr>
          <w:rFonts w:ascii="Calibri" w:hAnsi="Calibri" w:cs="Calibri"/>
        </w:rPr>
        <w:t xml:space="preserve">The issue of representation </w:t>
      </w:r>
      <w:r>
        <w:rPr>
          <w:rFonts w:ascii="Calibri" w:hAnsi="Calibri" w:cs="Calibri"/>
        </w:rPr>
        <w:t xml:space="preserve">and voting power </w:t>
      </w:r>
      <w:r w:rsidRPr="009647B6">
        <w:rPr>
          <w:rFonts w:ascii="Calibri" w:hAnsi="Calibri" w:cs="Calibri"/>
        </w:rPr>
        <w:t xml:space="preserve">of developing countries in </w:t>
      </w:r>
      <w:r>
        <w:rPr>
          <w:rFonts w:ascii="Calibri" w:hAnsi="Calibri" w:cs="Calibri"/>
        </w:rPr>
        <w:t xml:space="preserve">major </w:t>
      </w:r>
      <w:r w:rsidRPr="009647B6">
        <w:rPr>
          <w:rFonts w:ascii="Calibri" w:hAnsi="Calibri" w:cs="Calibri"/>
        </w:rPr>
        <w:t>international financial institutions</w:t>
      </w:r>
      <w:r>
        <w:rPr>
          <w:rFonts w:ascii="Calibri" w:hAnsi="Calibri" w:cs="Calibri"/>
        </w:rPr>
        <w:t xml:space="preserve"> such as the IMF</w:t>
      </w:r>
      <w:r w:rsidRPr="009647B6">
        <w:rPr>
          <w:rFonts w:ascii="Calibri" w:hAnsi="Calibri" w:cs="Calibri"/>
        </w:rPr>
        <w:t xml:space="preserve"> has</w:t>
      </w:r>
      <w:r>
        <w:rPr>
          <w:rFonts w:ascii="Calibri" w:hAnsi="Calibri" w:cs="Calibri"/>
        </w:rPr>
        <w:t xml:space="preserve"> </w:t>
      </w:r>
      <w:r w:rsidRPr="009647B6">
        <w:rPr>
          <w:rFonts w:ascii="Calibri" w:hAnsi="Calibri" w:cs="Calibri"/>
        </w:rPr>
        <w:t xml:space="preserve">been under </w:t>
      </w:r>
      <w:r>
        <w:rPr>
          <w:rFonts w:ascii="Calibri" w:hAnsi="Calibri" w:cs="Calibri"/>
        </w:rPr>
        <w:t xml:space="preserve">discussion for </w:t>
      </w:r>
      <w:r w:rsidRPr="009647B6">
        <w:rPr>
          <w:rFonts w:ascii="Calibri" w:hAnsi="Calibri" w:cs="Calibri"/>
        </w:rPr>
        <w:t>decades</w:t>
      </w:r>
      <w:r>
        <w:rPr>
          <w:rFonts w:ascii="Calibri" w:hAnsi="Calibri" w:cs="Calibri"/>
        </w:rPr>
        <w:t xml:space="preserve">. Recently, in August 2023, the XV BRICS Johannesburg II Summit resolution 10 called for </w:t>
      </w:r>
      <w:r w:rsidRPr="0025439F">
        <w:rPr>
          <w:rFonts w:ascii="Calibri" w:hAnsi="Calibri" w:cs="Calibri"/>
        </w:rPr>
        <w:t>changes in IMF quotas to ensure higher representation of developing economies.</w:t>
      </w:r>
      <w:r>
        <w:rPr>
          <w:rStyle w:val="FootnoteReference"/>
          <w:rFonts w:ascii="Calibri" w:hAnsi="Calibri" w:cs="Calibri"/>
        </w:rPr>
        <w:footnoteReference w:id="2"/>
      </w:r>
      <w:r w:rsidRPr="0025439F">
        <w:rPr>
          <w:rFonts w:ascii="Calibri" w:hAnsi="Calibri" w:cs="Calibri"/>
        </w:rPr>
        <w:t xml:space="preserve"> In April 2024, the Intergovernmental Group of Twenty Four (G</w:t>
      </w:r>
      <w:r w:rsidR="009C000C">
        <w:rPr>
          <w:rFonts w:ascii="Calibri" w:hAnsi="Calibri" w:cs="Calibri"/>
        </w:rPr>
        <w:t>-</w:t>
      </w:r>
      <w:r w:rsidRPr="0025439F">
        <w:rPr>
          <w:rFonts w:ascii="Calibri" w:hAnsi="Calibri" w:cs="Calibri"/>
        </w:rPr>
        <w:t>24) noted the need to increase representation of emerging markets and developing economies, including from the Asia-Pacific region, in the IMF governance structure.</w:t>
      </w:r>
      <w:r>
        <w:rPr>
          <w:rStyle w:val="FootnoteReference"/>
          <w:rFonts w:ascii="Calibri" w:hAnsi="Calibri" w:cs="Calibri"/>
        </w:rPr>
        <w:footnoteReference w:id="3"/>
      </w:r>
      <w:r>
        <w:rPr>
          <w:rFonts w:ascii="Calibri" w:hAnsi="Calibri" w:cs="Calibri"/>
        </w:rPr>
        <w:t xml:space="preserve"> More recently, in September 2024, the recently adopted </w:t>
      </w:r>
      <w:r w:rsidRPr="00A86CA7">
        <w:rPr>
          <w:rFonts w:ascii="Calibri" w:hAnsi="Calibri" w:cs="Calibri"/>
          <w:i/>
          <w:iCs/>
        </w:rPr>
        <w:t>Pact of the Future</w:t>
      </w:r>
      <w:r>
        <w:rPr>
          <w:rFonts w:ascii="Calibri" w:hAnsi="Calibri" w:cs="Calibri"/>
        </w:rPr>
        <w:t xml:space="preserve"> </w:t>
      </w:r>
      <w:r w:rsidRPr="00560EEC">
        <w:rPr>
          <w:rFonts w:ascii="Calibri" w:hAnsi="Calibri" w:cs="Calibri"/>
        </w:rPr>
        <w:t xml:space="preserve">underscored </w:t>
      </w:r>
      <w:r>
        <w:rPr>
          <w:rFonts w:ascii="Calibri" w:hAnsi="Calibri" w:cs="Calibri"/>
        </w:rPr>
        <w:t>“</w:t>
      </w:r>
      <w:r w:rsidRPr="002B4A6B">
        <w:rPr>
          <w:rFonts w:ascii="Calibri" w:hAnsi="Calibri" w:cs="Calibri"/>
          <w:i/>
          <w:iCs/>
        </w:rPr>
        <w:t xml:space="preserve">the need to enhance the representation and voice of developing countries in global economic decision-making, norm-setting and global economic governance at international economic and financial institutions </w:t>
      </w:r>
      <w:r>
        <w:rPr>
          <w:rFonts w:ascii="Calibri" w:hAnsi="Calibri" w:cs="Calibri"/>
        </w:rPr>
        <w:t>(Action 48)”.</w:t>
      </w:r>
      <w:r>
        <w:rPr>
          <w:rStyle w:val="FootnoteReference"/>
          <w:rFonts w:ascii="Calibri" w:hAnsi="Calibri" w:cs="Calibri"/>
        </w:rPr>
        <w:footnoteReference w:id="4"/>
      </w:r>
    </w:p>
    <w:p w14:paraId="5F74E8C8" w14:textId="77777777" w:rsidR="001A4D84" w:rsidRDefault="001A4D84" w:rsidP="009849A9">
      <w:pPr>
        <w:spacing w:after="0" w:line="240" w:lineRule="auto"/>
        <w:jc w:val="both"/>
        <w:rPr>
          <w:rFonts w:ascii="Calibri" w:hAnsi="Calibri" w:cs="Calibri"/>
        </w:rPr>
      </w:pPr>
    </w:p>
    <w:p w14:paraId="520FF24C" w14:textId="77777777" w:rsidR="00481AF2" w:rsidRPr="009849A9" w:rsidRDefault="00481AF2" w:rsidP="009849A9">
      <w:pPr>
        <w:spacing w:after="0" w:line="240" w:lineRule="auto"/>
        <w:rPr>
          <w:rFonts w:ascii="Calibri" w:hAnsi="Calibri" w:cs="Calibri"/>
          <w:b/>
          <w:bCs/>
          <w:i/>
          <w:iCs/>
          <w:lang w:val="en-GB"/>
        </w:rPr>
      </w:pPr>
      <w:r w:rsidRPr="009849A9">
        <w:rPr>
          <w:rFonts w:ascii="Calibri" w:hAnsi="Calibri" w:cs="Calibri"/>
          <w:b/>
          <w:bCs/>
          <w:i/>
          <w:iCs/>
          <w:lang w:val="en-GB"/>
        </w:rPr>
        <w:t>An overview of v</w:t>
      </w:r>
      <w:r w:rsidR="008D30EE" w:rsidRPr="009849A9">
        <w:rPr>
          <w:rFonts w:ascii="Calibri" w:hAnsi="Calibri" w:cs="Calibri"/>
          <w:b/>
          <w:bCs/>
          <w:i/>
          <w:iCs/>
          <w:lang w:val="en-GB"/>
        </w:rPr>
        <w:t>oting rights at the international financial institutions</w:t>
      </w:r>
      <w:r w:rsidR="000B5645" w:rsidRPr="009849A9">
        <w:rPr>
          <w:rFonts w:ascii="Calibri" w:hAnsi="Calibri" w:cs="Calibri"/>
          <w:b/>
          <w:bCs/>
          <w:i/>
          <w:iCs/>
          <w:lang w:val="en-GB"/>
        </w:rPr>
        <w:t xml:space="preserve"> </w:t>
      </w:r>
    </w:p>
    <w:p w14:paraId="6E0C84F9" w14:textId="77777777" w:rsidR="001A4D84" w:rsidRDefault="001A4D84" w:rsidP="001A4D84">
      <w:pPr>
        <w:spacing w:after="0" w:line="240" w:lineRule="auto"/>
        <w:jc w:val="both"/>
        <w:rPr>
          <w:rFonts w:ascii="Calibri" w:hAnsi="Calibri" w:cs="Calibri"/>
          <w:lang w:val="en-GB"/>
        </w:rPr>
      </w:pPr>
    </w:p>
    <w:p w14:paraId="0678A97B" w14:textId="2E9BA858" w:rsidR="008D30EE" w:rsidRDefault="008D30EE" w:rsidP="009849A9">
      <w:pPr>
        <w:spacing w:after="0" w:line="240" w:lineRule="auto"/>
        <w:jc w:val="both"/>
        <w:rPr>
          <w:rFonts w:ascii="Calibri" w:hAnsi="Calibri" w:cs="Calibri"/>
          <w:lang w:val="en-GB"/>
        </w:rPr>
      </w:pPr>
      <w:r w:rsidRPr="00104E3D">
        <w:rPr>
          <w:rFonts w:ascii="Calibri" w:hAnsi="Calibri" w:cs="Calibri"/>
          <w:lang w:val="en-GB"/>
        </w:rPr>
        <w:t xml:space="preserve">Significant decisions at the IMF require an 85 per cent approval rate of all voting rights. This high threshold ensures that decisions represent </w:t>
      </w:r>
      <w:proofErr w:type="gramStart"/>
      <w:r w:rsidRPr="00104E3D">
        <w:rPr>
          <w:rFonts w:ascii="Calibri" w:hAnsi="Calibri" w:cs="Calibri"/>
          <w:lang w:val="en-GB"/>
        </w:rPr>
        <w:t>the vast majority of</w:t>
      </w:r>
      <w:proofErr w:type="gramEnd"/>
      <w:r w:rsidRPr="00104E3D">
        <w:rPr>
          <w:rFonts w:ascii="Calibri" w:hAnsi="Calibri" w:cs="Calibri"/>
          <w:lang w:val="en-GB"/>
        </w:rPr>
        <w:t xml:space="preserve"> members and facilitate their implementation. However,</w:t>
      </w:r>
      <w:r w:rsidR="001F497D">
        <w:rPr>
          <w:rFonts w:ascii="Calibri" w:hAnsi="Calibri" w:cs="Calibri"/>
          <w:lang w:val="en-GB"/>
        </w:rPr>
        <w:t xml:space="preserve"> </w:t>
      </w:r>
      <w:r w:rsidRPr="00104E3D">
        <w:rPr>
          <w:rFonts w:ascii="Calibri" w:hAnsi="Calibri" w:cs="Calibri"/>
          <w:lang w:val="en-GB"/>
        </w:rPr>
        <w:t>the United States of America, with 16.5 per cent of the votes, is the only country with effective veto power at the IMF (figure 1).</w:t>
      </w:r>
    </w:p>
    <w:p w14:paraId="62C7AEBB" w14:textId="77777777" w:rsidR="00E97328" w:rsidRPr="00104E3D" w:rsidRDefault="00E97328" w:rsidP="009849A9">
      <w:pPr>
        <w:spacing w:after="0" w:line="240" w:lineRule="auto"/>
        <w:rPr>
          <w:rFonts w:ascii="Calibri" w:hAnsi="Calibri" w:cs="Calibri"/>
          <w:lang w:val="en-GB"/>
        </w:rPr>
      </w:pPr>
    </w:p>
    <w:p w14:paraId="767B239C" w14:textId="488605F4" w:rsidR="008C6041" w:rsidRPr="002654ED" w:rsidRDefault="008C6041" w:rsidP="008C6041">
      <w:pPr>
        <w:pStyle w:val="ListParagraph"/>
        <w:spacing w:after="0" w:line="240" w:lineRule="auto"/>
        <w:ind w:left="0"/>
        <w:jc w:val="both"/>
        <w:rPr>
          <w:rFonts w:cstheme="minorHAnsi"/>
          <w:b/>
          <w:bCs/>
          <w:lang w:val="en"/>
        </w:rPr>
      </w:pPr>
      <w:r w:rsidRPr="002654ED">
        <w:rPr>
          <w:rFonts w:cstheme="minorHAnsi"/>
          <w:b/>
          <w:bCs/>
          <w:lang w:val="en"/>
        </w:rPr>
        <w:t xml:space="preserve">Figure </w:t>
      </w:r>
      <w:r w:rsidR="002654ED" w:rsidRPr="002654ED">
        <w:rPr>
          <w:rFonts w:cstheme="minorHAnsi"/>
          <w:b/>
          <w:bCs/>
          <w:lang w:val="en"/>
        </w:rPr>
        <w:t>1</w:t>
      </w:r>
      <w:r w:rsidRPr="002654ED">
        <w:rPr>
          <w:rFonts w:cstheme="minorHAnsi"/>
          <w:b/>
          <w:bCs/>
          <w:lang w:val="en"/>
        </w:rPr>
        <w:t xml:space="preserve">. Voting power at the IMF Executive </w:t>
      </w:r>
      <w:proofErr w:type="gramStart"/>
      <w:r w:rsidRPr="002654ED">
        <w:rPr>
          <w:rFonts w:cstheme="minorHAnsi"/>
          <w:b/>
          <w:bCs/>
          <w:lang w:val="en"/>
        </w:rPr>
        <w:t>Board,*</w:t>
      </w:r>
      <w:proofErr w:type="gramEnd"/>
      <w:r w:rsidRPr="002654ED">
        <w:rPr>
          <w:rFonts w:cstheme="minorHAnsi"/>
          <w:b/>
          <w:bCs/>
          <w:lang w:val="en"/>
        </w:rPr>
        <w:t xml:space="preserve"> June 2024</w:t>
      </w:r>
    </w:p>
    <w:p w14:paraId="607A2561" w14:textId="77777777" w:rsidR="00E61BA0" w:rsidRDefault="00E61BA0" w:rsidP="008C6041">
      <w:pPr>
        <w:pStyle w:val="ListParagraph"/>
        <w:spacing w:after="0" w:line="240" w:lineRule="auto"/>
        <w:ind w:left="0"/>
        <w:jc w:val="both"/>
        <w:rPr>
          <w:rFonts w:cstheme="minorHAnsi"/>
          <w:b/>
          <w:bCs/>
          <w:sz w:val="20"/>
          <w:szCs w:val="20"/>
          <w:lang w:val="en"/>
        </w:rPr>
      </w:pPr>
    </w:p>
    <w:p w14:paraId="529A1C77" w14:textId="2ED08C8C" w:rsidR="008D30EE" w:rsidRPr="00E71F6B" w:rsidRDefault="00E61BA0" w:rsidP="00E71F6B">
      <w:pPr>
        <w:rPr>
          <w:rFonts w:ascii="Calibri" w:hAnsi="Calibri" w:cs="Calibri"/>
          <w:lang w:val="en-GB"/>
        </w:rPr>
      </w:pPr>
      <w:r w:rsidRPr="00407306">
        <w:rPr>
          <w:rFonts w:ascii="Roboto" w:hAnsi="Roboto" w:cs="Calibri"/>
          <w:noProof/>
        </w:rPr>
        <w:drawing>
          <wp:inline distT="0" distB="0" distL="0" distR="0" wp14:anchorId="11ACAEC1" wp14:editId="28B8EF11">
            <wp:extent cx="4286250" cy="2181225"/>
            <wp:effectExtent l="0" t="0" r="0" b="0"/>
            <wp:docPr id="243711555" name="图表 27">
              <a:extLst xmlns:a="http://schemas.openxmlformats.org/drawingml/2006/main">
                <a:ext uri="{FF2B5EF4-FFF2-40B4-BE49-F238E27FC236}">
                  <a16:creationId xmlns:a16="http://schemas.microsoft.com/office/drawing/2014/main" id="{1FC1DE39-7109-5FBB-0410-0679547CD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9D5C92" w14:textId="7E683173" w:rsidR="00B209FF" w:rsidRPr="00AC70D9" w:rsidRDefault="00B209FF" w:rsidP="00B209FF">
      <w:pPr>
        <w:pStyle w:val="ListParagraph"/>
        <w:spacing w:after="0" w:line="240" w:lineRule="auto"/>
        <w:ind w:left="0"/>
        <w:jc w:val="both"/>
        <w:rPr>
          <w:rFonts w:ascii="Calibri" w:hAnsi="Calibri" w:cs="Calibri"/>
          <w:color w:val="0563C1" w:themeColor="hyperlink"/>
          <w:sz w:val="18"/>
          <w:szCs w:val="18"/>
          <w:highlight w:val="yellow"/>
          <w:u w:val="single"/>
        </w:rPr>
      </w:pPr>
      <w:r w:rsidRPr="00AC70D9">
        <w:rPr>
          <w:rFonts w:cstheme="minorHAnsi"/>
          <w:i/>
          <w:sz w:val="18"/>
          <w:szCs w:val="18"/>
          <w:lang w:val="en"/>
        </w:rPr>
        <w:t>Source</w:t>
      </w:r>
      <w:r w:rsidRPr="00AC70D9">
        <w:rPr>
          <w:rFonts w:cstheme="minorHAnsi"/>
          <w:sz w:val="18"/>
          <w:szCs w:val="18"/>
          <w:lang w:val="en"/>
        </w:rPr>
        <w:t xml:space="preserve">: </w:t>
      </w:r>
      <w:r w:rsidRPr="00AC70D9">
        <w:rPr>
          <w:rFonts w:ascii="Calibri" w:hAnsi="Calibri" w:cs="Calibri"/>
          <w:sz w:val="18"/>
          <w:szCs w:val="18"/>
        </w:rPr>
        <w:t>I</w:t>
      </w:r>
      <w:r>
        <w:rPr>
          <w:rFonts w:ascii="Calibri" w:hAnsi="Calibri" w:cs="Calibri"/>
          <w:sz w:val="18"/>
          <w:szCs w:val="18"/>
        </w:rPr>
        <w:t>MF</w:t>
      </w:r>
      <w:r w:rsidRPr="00AC70D9">
        <w:rPr>
          <w:rFonts w:ascii="Calibri" w:hAnsi="Calibri" w:cs="Calibri"/>
          <w:sz w:val="18"/>
          <w:szCs w:val="18"/>
        </w:rPr>
        <w:t>, “IMF members' quotas and voting power, and IMF Board of Governors”. Available at www.imf.org/en/About/executive-board/members-quotas.</w:t>
      </w:r>
    </w:p>
    <w:p w14:paraId="30F546F3" w14:textId="77777777" w:rsidR="00B209FF" w:rsidRPr="00AC70D9" w:rsidRDefault="00B209FF" w:rsidP="00B209FF">
      <w:pPr>
        <w:pStyle w:val="ListParagraph"/>
        <w:spacing w:after="0" w:line="240" w:lineRule="auto"/>
        <w:ind w:left="0"/>
        <w:jc w:val="both"/>
        <w:rPr>
          <w:rFonts w:ascii="Calibri" w:hAnsi="Calibri" w:cs="Calibri"/>
          <w:sz w:val="18"/>
          <w:szCs w:val="18"/>
          <w:lang w:val="en-GB"/>
        </w:rPr>
      </w:pPr>
      <w:r w:rsidRPr="00AC70D9">
        <w:rPr>
          <w:rFonts w:ascii="Calibri" w:hAnsi="Calibri" w:cs="Calibri"/>
          <w:i/>
          <w:iCs/>
          <w:sz w:val="18"/>
          <w:szCs w:val="18"/>
          <w:lang w:val="en-GB"/>
        </w:rPr>
        <w:t>Notes:</w:t>
      </w:r>
      <w:r w:rsidRPr="00AC70D9">
        <w:rPr>
          <w:rFonts w:ascii="Calibri" w:hAnsi="Calibri" w:cs="Calibri"/>
          <w:sz w:val="18"/>
          <w:szCs w:val="18"/>
          <w:lang w:val="en-GB"/>
        </w:rPr>
        <w:t xml:space="preserve"> * </w:t>
      </w:r>
      <w:r w:rsidRPr="00AC70D9">
        <w:rPr>
          <w:rFonts w:ascii="Calibri" w:hAnsi="Calibri" w:cs="Calibri"/>
          <w:sz w:val="18"/>
          <w:szCs w:val="18"/>
        </w:rPr>
        <w:t>The Executive Board (the Board) is responsible for conducting the day-to-day business of the IMF (IMF, “IMF Board of Governors approves quota increase under 16th General Review Quotas”, 18 December 2023.)</w:t>
      </w:r>
    </w:p>
    <w:p w14:paraId="4CAFA022" w14:textId="77777777" w:rsidR="00B209FF" w:rsidRPr="00AC70D9" w:rsidRDefault="00B209FF" w:rsidP="00B209FF">
      <w:pPr>
        <w:pStyle w:val="ListParagraph"/>
        <w:spacing w:after="0" w:line="240" w:lineRule="auto"/>
        <w:ind w:left="0" w:firstLine="540"/>
        <w:jc w:val="both"/>
        <w:rPr>
          <w:rStyle w:val="Hyperlink"/>
          <w:rFonts w:ascii="Calibri" w:hAnsi="Calibri" w:cs="Calibri"/>
          <w:sz w:val="18"/>
          <w:szCs w:val="18"/>
        </w:rPr>
      </w:pPr>
      <w:r w:rsidRPr="00AC70D9">
        <w:rPr>
          <w:sz w:val="18"/>
          <w:szCs w:val="18"/>
          <w:lang w:val="en-GB"/>
        </w:rPr>
        <w:t>** Effective veto power – the IMF Executive Board agrees on decisions with 85 per cent majority, therefore it is enough to have 15 per cent of the votes to block decisions.</w:t>
      </w:r>
    </w:p>
    <w:p w14:paraId="3F50E7F9" w14:textId="77777777" w:rsidR="00636E01" w:rsidRPr="00104E3D" w:rsidRDefault="00636E01" w:rsidP="009849A9">
      <w:pPr>
        <w:spacing w:after="0" w:line="240" w:lineRule="auto"/>
        <w:rPr>
          <w:rFonts w:ascii="Calibri" w:hAnsi="Calibri" w:cs="Calibri"/>
          <w:b/>
          <w:bCs/>
          <w:lang w:val="en-GB"/>
        </w:rPr>
      </w:pPr>
    </w:p>
    <w:p w14:paraId="0AC3BD3B" w14:textId="2DB444BE" w:rsidR="008D30EE" w:rsidRDefault="00636E01" w:rsidP="001A4D84">
      <w:pPr>
        <w:spacing w:after="0" w:line="240" w:lineRule="auto"/>
        <w:jc w:val="both"/>
        <w:rPr>
          <w:rFonts w:ascii="Calibri" w:hAnsi="Calibri" w:cs="Calibri"/>
          <w:lang w:val="en-GB"/>
        </w:rPr>
      </w:pPr>
      <w:r w:rsidRPr="00866DB0">
        <w:rPr>
          <w:rFonts w:ascii="Calibri" w:hAnsi="Calibri" w:cs="Calibri"/>
          <w:lang w:val="en-GB"/>
        </w:rPr>
        <w:t>I</w:t>
      </w:r>
      <w:r w:rsidR="008D30EE" w:rsidRPr="00866DB0">
        <w:rPr>
          <w:rFonts w:ascii="Calibri" w:hAnsi="Calibri" w:cs="Calibri"/>
          <w:lang w:val="en-GB"/>
        </w:rPr>
        <w:t xml:space="preserve">mbalances in voting power </w:t>
      </w:r>
      <w:r w:rsidR="00CB13A6">
        <w:rPr>
          <w:rFonts w:ascii="Calibri" w:hAnsi="Calibri" w:cs="Calibri"/>
          <w:lang w:val="en-GB"/>
        </w:rPr>
        <w:t>are also present at the Asian Infrastructure Investment Bank (AIIB)</w:t>
      </w:r>
      <w:r w:rsidRPr="00866DB0">
        <w:rPr>
          <w:rFonts w:ascii="Calibri" w:hAnsi="Calibri" w:cs="Calibri"/>
          <w:lang w:val="en-GB"/>
        </w:rPr>
        <w:t xml:space="preserve">, </w:t>
      </w:r>
      <w:proofErr w:type="gramStart"/>
      <w:r w:rsidRPr="00866DB0">
        <w:rPr>
          <w:rFonts w:ascii="Calibri" w:hAnsi="Calibri" w:cs="Calibri"/>
          <w:lang w:val="en-GB"/>
        </w:rPr>
        <w:t>similar to</w:t>
      </w:r>
      <w:proofErr w:type="gramEnd"/>
      <w:r w:rsidRPr="00866DB0">
        <w:rPr>
          <w:rFonts w:ascii="Calibri" w:hAnsi="Calibri" w:cs="Calibri"/>
          <w:lang w:val="en-GB"/>
        </w:rPr>
        <w:t xml:space="preserve"> those at the IMF</w:t>
      </w:r>
      <w:r w:rsidR="008D30EE" w:rsidRPr="00866DB0">
        <w:rPr>
          <w:rFonts w:ascii="Calibri" w:hAnsi="Calibri" w:cs="Calibri"/>
          <w:lang w:val="en-GB"/>
        </w:rPr>
        <w:t xml:space="preserve">. </w:t>
      </w:r>
      <w:r w:rsidR="00AA3912" w:rsidRPr="00866DB0">
        <w:rPr>
          <w:rFonts w:ascii="Calibri" w:hAnsi="Calibri" w:cs="Calibri"/>
          <w:lang w:val="en-GB"/>
        </w:rPr>
        <w:t>The</w:t>
      </w:r>
      <w:r w:rsidR="00AA3912" w:rsidRPr="00104E3D">
        <w:rPr>
          <w:rFonts w:ascii="Calibri" w:hAnsi="Calibri" w:cs="Calibri"/>
          <w:lang w:val="en-GB"/>
        </w:rPr>
        <w:t xml:space="preserve"> AIIB was established in 2016 as an Asia-focused multilateral development bank under China's auspices. AIIB initially aimed to support the One Belt and One Road initiative, but through deepening cooperation with neighbouring countries has further strengthened its place in the global financial architecture</w:t>
      </w:r>
      <w:r w:rsidR="00AA3912">
        <w:rPr>
          <w:rFonts w:ascii="Calibri" w:hAnsi="Calibri" w:cs="Calibri"/>
          <w:lang w:val="en-GB"/>
        </w:rPr>
        <w:t xml:space="preserve">. </w:t>
      </w:r>
      <w:r w:rsidR="008D30EE" w:rsidRPr="00104E3D">
        <w:rPr>
          <w:rFonts w:ascii="Calibri" w:hAnsi="Calibri" w:cs="Calibri"/>
          <w:lang w:val="en-GB"/>
        </w:rPr>
        <w:t xml:space="preserve">China, the largest shareholder, dominates the AIIB with 27 per cent of the votes and effective veto power (figure 2). </w:t>
      </w:r>
    </w:p>
    <w:p w14:paraId="32327131" w14:textId="77777777" w:rsidR="001A4D84" w:rsidRPr="00104E3D" w:rsidRDefault="001A4D84" w:rsidP="009849A9">
      <w:pPr>
        <w:spacing w:after="0" w:line="240" w:lineRule="auto"/>
        <w:jc w:val="both"/>
        <w:rPr>
          <w:lang w:val="en-GB"/>
        </w:rPr>
      </w:pPr>
    </w:p>
    <w:p w14:paraId="123F296C" w14:textId="5989757B" w:rsidR="008D30EE" w:rsidRPr="00104E3D" w:rsidRDefault="008D30EE" w:rsidP="008D30EE">
      <w:pPr>
        <w:jc w:val="both"/>
        <w:rPr>
          <w:rFonts w:ascii="Calibri" w:hAnsi="Calibri" w:cs="Calibri"/>
          <w:b/>
          <w:bCs/>
          <w:lang w:val="en-GB"/>
        </w:rPr>
      </w:pPr>
      <w:r w:rsidRPr="00104E3D">
        <w:rPr>
          <w:rFonts w:ascii="Calibri" w:hAnsi="Calibri" w:cs="Calibri"/>
          <w:b/>
          <w:bCs/>
          <w:lang w:val="en-GB"/>
        </w:rPr>
        <w:t>Figure 2</w:t>
      </w:r>
      <w:r w:rsidR="00EE0E1D">
        <w:rPr>
          <w:rFonts w:ascii="Calibri" w:hAnsi="Calibri" w:cs="Calibri"/>
          <w:b/>
          <w:bCs/>
          <w:lang w:val="en-GB"/>
        </w:rPr>
        <w:t>.</w:t>
      </w:r>
      <w:r w:rsidRPr="00104E3D">
        <w:rPr>
          <w:rFonts w:ascii="Calibri" w:hAnsi="Calibri" w:cs="Calibri"/>
          <w:b/>
          <w:bCs/>
          <w:lang w:val="en-GB"/>
        </w:rPr>
        <w:t xml:space="preserve"> Voting power at the Asian Infrastructure Development Bank, June 2024, percentage points</w:t>
      </w:r>
    </w:p>
    <w:p w14:paraId="1C24D56D" w14:textId="77777777" w:rsidR="008D30EE" w:rsidRPr="00104E3D" w:rsidRDefault="008D30EE" w:rsidP="00C146EF">
      <w:pPr>
        <w:pStyle w:val="ListParagraph"/>
        <w:ind w:leftChars="160" w:left="352"/>
        <w:rPr>
          <w:rFonts w:ascii="Calibri" w:hAnsi="Calibri" w:cs="Calibri"/>
          <w:lang w:val="en-GB"/>
        </w:rPr>
      </w:pPr>
      <w:r w:rsidRPr="00104E3D">
        <w:rPr>
          <w:rFonts w:ascii="Calibri" w:hAnsi="Calibri" w:cs="Calibri"/>
          <w:noProof/>
          <w:lang w:val="en-GB"/>
        </w:rPr>
        <w:drawing>
          <wp:inline distT="0" distB="0" distL="0" distR="0" wp14:anchorId="12FD0A43" wp14:editId="107F61F4">
            <wp:extent cx="4333875" cy="2143125"/>
            <wp:effectExtent l="0" t="0" r="0" b="0"/>
            <wp:docPr id="1480633151" name="图表 28">
              <a:extLst xmlns:a="http://schemas.openxmlformats.org/drawingml/2006/main">
                <a:ext uri="{FF2B5EF4-FFF2-40B4-BE49-F238E27FC236}">
                  <a16:creationId xmlns:a16="http://schemas.microsoft.com/office/drawing/2014/main" id="{7E4D228A-1D0D-C0C3-F56D-7361A1B7E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1C6B1F" w14:textId="3DD6BDA5" w:rsidR="008D30EE" w:rsidRPr="0085397B" w:rsidRDefault="008D30EE" w:rsidP="009849A9">
      <w:pPr>
        <w:spacing w:after="0" w:line="240" w:lineRule="auto"/>
        <w:rPr>
          <w:rFonts w:ascii="Calibri" w:hAnsi="Calibri" w:cs="Calibri"/>
          <w:sz w:val="18"/>
          <w:szCs w:val="18"/>
          <w:lang w:val="en-GB"/>
        </w:rPr>
      </w:pPr>
      <w:r w:rsidRPr="009849A9">
        <w:rPr>
          <w:rFonts w:ascii="Calibri" w:hAnsi="Calibri" w:cs="Calibri"/>
          <w:i/>
          <w:iCs/>
          <w:sz w:val="18"/>
          <w:szCs w:val="18"/>
          <w:lang w:val="en-GB"/>
        </w:rPr>
        <w:t>Source</w:t>
      </w:r>
      <w:r w:rsidRPr="009849A9">
        <w:rPr>
          <w:rFonts w:ascii="Calibri" w:hAnsi="Calibri" w:cs="Calibri"/>
          <w:sz w:val="18"/>
          <w:szCs w:val="18"/>
          <w:lang w:val="en-GB"/>
        </w:rPr>
        <w:t>: AIIB</w:t>
      </w:r>
      <w:r w:rsidR="0085397B" w:rsidRPr="009849A9">
        <w:rPr>
          <w:rFonts w:ascii="Calibri" w:hAnsi="Calibri" w:cs="Calibri"/>
          <w:sz w:val="18"/>
          <w:szCs w:val="18"/>
          <w:lang w:val="en-GB"/>
        </w:rPr>
        <w:t xml:space="preserve">, </w:t>
      </w:r>
      <w:r w:rsidR="0081662D" w:rsidRPr="009849A9">
        <w:rPr>
          <w:rFonts w:ascii="Calibri" w:hAnsi="Calibri" w:cs="Calibri"/>
          <w:sz w:val="18"/>
          <w:szCs w:val="18"/>
          <w:lang w:val="en-GB"/>
        </w:rPr>
        <w:t>“Governance: members and prospective members of the</w:t>
      </w:r>
      <w:r w:rsidR="0085397B" w:rsidRPr="009849A9">
        <w:rPr>
          <w:rFonts w:ascii="Calibri" w:hAnsi="Calibri" w:cs="Calibri"/>
          <w:sz w:val="18"/>
          <w:szCs w:val="18"/>
          <w:lang w:val="en-GB"/>
        </w:rPr>
        <w:t xml:space="preserve"> </w:t>
      </w:r>
      <w:r w:rsidR="004A24A6" w:rsidRPr="009849A9">
        <w:rPr>
          <w:rFonts w:ascii="Calibri" w:hAnsi="Calibri" w:cs="Calibri"/>
          <w:sz w:val="18"/>
          <w:szCs w:val="18"/>
          <w:lang w:val="en-GB"/>
        </w:rPr>
        <w:t>B</w:t>
      </w:r>
      <w:r w:rsidR="00EF0584" w:rsidRPr="009849A9">
        <w:rPr>
          <w:rFonts w:ascii="Calibri" w:hAnsi="Calibri" w:cs="Calibri"/>
          <w:sz w:val="18"/>
          <w:szCs w:val="18"/>
          <w:lang w:val="en-GB"/>
        </w:rPr>
        <w:t xml:space="preserve">ank”. Available at </w:t>
      </w:r>
      <w:r w:rsidR="0085397B" w:rsidRPr="009849A9">
        <w:rPr>
          <w:rFonts w:ascii="Calibri" w:hAnsi="Calibri" w:cs="Calibri"/>
          <w:sz w:val="18"/>
          <w:szCs w:val="18"/>
          <w:lang w:val="en-GB"/>
        </w:rPr>
        <w:t>www.aiib.org/en/about-aiib/governance/members-of-bank/</w:t>
      </w:r>
      <w:r w:rsidR="009849A9" w:rsidRPr="009849A9">
        <w:rPr>
          <w:rFonts w:ascii="Calibri" w:hAnsi="Calibri" w:cs="Calibri"/>
          <w:sz w:val="18"/>
          <w:szCs w:val="18"/>
          <w:lang w:val="en-GB"/>
        </w:rPr>
        <w:t>.</w:t>
      </w:r>
      <w:r w:rsidRPr="009849A9">
        <w:rPr>
          <w:rStyle w:val="Hyperlink"/>
          <w:rFonts w:ascii="Calibri" w:hAnsi="Calibri" w:cs="Calibri"/>
          <w:sz w:val="18"/>
          <w:szCs w:val="18"/>
          <w:lang w:val="en-GB"/>
        </w:rPr>
        <w:br/>
      </w:r>
      <w:r w:rsidRPr="009849A9">
        <w:rPr>
          <w:rFonts w:ascii="Calibri" w:hAnsi="Calibri" w:cs="Calibri"/>
          <w:i/>
          <w:iCs/>
          <w:sz w:val="18"/>
          <w:szCs w:val="18"/>
          <w:lang w:val="en-GB"/>
        </w:rPr>
        <w:t>Note</w:t>
      </w:r>
      <w:r w:rsidRPr="009849A9">
        <w:rPr>
          <w:rFonts w:ascii="Calibri" w:hAnsi="Calibri" w:cs="Calibri"/>
          <w:sz w:val="18"/>
          <w:szCs w:val="18"/>
          <w:lang w:val="en-GB"/>
        </w:rPr>
        <w:t xml:space="preserve">: </w:t>
      </w:r>
      <w:r w:rsidRPr="009849A9">
        <w:rPr>
          <w:sz w:val="18"/>
          <w:szCs w:val="18"/>
          <w:lang w:val="en-GB"/>
        </w:rPr>
        <w:t>*Effective veto power – the AIIB agrees on decisions with 75 per cent majority, therefore it is enough to have 25 per cent of the votes to block decisions.</w:t>
      </w:r>
    </w:p>
    <w:p w14:paraId="3B881A1E" w14:textId="77777777" w:rsidR="001A4D84" w:rsidRDefault="001A4D84" w:rsidP="00206C6E">
      <w:pPr>
        <w:spacing w:after="0" w:line="240" w:lineRule="auto"/>
        <w:jc w:val="both"/>
        <w:rPr>
          <w:rFonts w:ascii="Calibri" w:hAnsi="Calibri" w:cs="Calibri"/>
          <w:b/>
          <w:bCs/>
          <w:lang w:val="en-GB"/>
        </w:rPr>
      </w:pPr>
    </w:p>
    <w:p w14:paraId="79466AC3" w14:textId="6AA57432" w:rsidR="008D30EE" w:rsidRPr="00104E3D" w:rsidRDefault="008D30EE" w:rsidP="006E6117">
      <w:pPr>
        <w:spacing w:after="0" w:line="240" w:lineRule="auto"/>
        <w:jc w:val="both"/>
        <w:rPr>
          <w:rFonts w:ascii="Calibri" w:hAnsi="Calibri" w:cs="Calibri"/>
          <w:lang w:val="en-GB"/>
        </w:rPr>
      </w:pPr>
      <w:r w:rsidRPr="0085397B">
        <w:rPr>
          <w:rFonts w:ascii="Calibri" w:hAnsi="Calibri" w:cs="Calibri"/>
          <w:lang w:val="en-GB"/>
        </w:rPr>
        <w:t>The voting power distribution at the Asian Development Bank (ADB) is less concentrated than at the IMF or AIIB. ADB</w:t>
      </w:r>
      <w:r w:rsidRPr="00104E3D">
        <w:rPr>
          <w:rFonts w:ascii="Calibri" w:hAnsi="Calibri" w:cs="Calibri"/>
          <w:lang w:val="en-GB"/>
        </w:rPr>
        <w:t xml:space="preserve"> has more shareholders from developed countries who hold larger share positions. Major decisions at the ADB require a super majority of 75 per cent, but there is no ADB member that holds an effective veto power of 25 per cent of the votes (figure 3).</w:t>
      </w:r>
    </w:p>
    <w:p w14:paraId="5ED10AED" w14:textId="77777777" w:rsidR="006E6117" w:rsidRPr="00104E3D" w:rsidRDefault="006E6117" w:rsidP="00206C6E">
      <w:pPr>
        <w:spacing w:after="0" w:line="240" w:lineRule="auto"/>
        <w:jc w:val="both"/>
        <w:rPr>
          <w:rFonts w:ascii="Calibri" w:hAnsi="Calibri" w:cs="Calibri"/>
          <w:lang w:val="en-GB"/>
        </w:rPr>
      </w:pPr>
    </w:p>
    <w:p w14:paraId="1D7AA743" w14:textId="70F0BAE0" w:rsidR="008D30EE" w:rsidRDefault="008D30EE" w:rsidP="00892576">
      <w:pPr>
        <w:rPr>
          <w:lang w:val="en-GB"/>
        </w:rPr>
      </w:pPr>
      <w:r w:rsidRPr="00104E3D">
        <w:rPr>
          <w:rFonts w:ascii="Calibri" w:hAnsi="Calibri" w:cs="Calibri"/>
          <w:b/>
          <w:bCs/>
          <w:lang w:val="en-GB"/>
        </w:rPr>
        <w:t>Figure 3</w:t>
      </w:r>
      <w:r w:rsidR="00EE0E1D">
        <w:rPr>
          <w:rFonts w:ascii="Calibri" w:hAnsi="Calibri" w:cs="Calibri"/>
          <w:b/>
          <w:bCs/>
          <w:lang w:val="en-GB"/>
        </w:rPr>
        <w:t>.</w:t>
      </w:r>
      <w:r w:rsidRPr="00104E3D">
        <w:rPr>
          <w:rFonts w:ascii="Calibri" w:hAnsi="Calibri" w:cs="Calibri"/>
          <w:b/>
          <w:bCs/>
          <w:lang w:val="en-GB"/>
        </w:rPr>
        <w:t xml:space="preserve"> Voting power at the Asian Development Bank, percentage points</w:t>
      </w:r>
    </w:p>
    <w:p w14:paraId="0EF36888" w14:textId="516D862C" w:rsidR="00892576" w:rsidRPr="00104E3D" w:rsidRDefault="00892576" w:rsidP="00DA646E">
      <w:pPr>
        <w:rPr>
          <w:rFonts w:ascii="Calibri" w:hAnsi="Calibri" w:cs="Calibri"/>
          <w:lang w:val="en-GB"/>
        </w:rPr>
      </w:pPr>
      <w:r w:rsidRPr="00104E3D">
        <w:rPr>
          <w:noProof/>
          <w:lang w:val="en-GB"/>
        </w:rPr>
        <w:drawing>
          <wp:inline distT="0" distB="0" distL="0" distR="0" wp14:anchorId="71C117CE" wp14:editId="41A5F13E">
            <wp:extent cx="4619625" cy="2219325"/>
            <wp:effectExtent l="0" t="0" r="0" b="0"/>
            <wp:docPr id="1324837197" name="图表 29">
              <a:extLst xmlns:a="http://schemas.openxmlformats.org/drawingml/2006/main">
                <a:ext uri="{FF2B5EF4-FFF2-40B4-BE49-F238E27FC236}">
                  <a16:creationId xmlns:a16="http://schemas.microsoft.com/office/drawing/2014/main" id="{D97B7CAD-D937-44FC-B0A7-CC12C5ADF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A56986" w14:textId="5F7F61F4" w:rsidR="000531A8" w:rsidRPr="00206C6E" w:rsidRDefault="008D30EE" w:rsidP="00AD79B8">
      <w:pPr>
        <w:spacing w:after="0" w:line="240" w:lineRule="auto"/>
        <w:rPr>
          <w:rFonts w:ascii="Calibri" w:hAnsi="Calibri" w:cs="Calibri"/>
          <w:sz w:val="18"/>
          <w:szCs w:val="18"/>
          <w:lang w:val="en-GB"/>
        </w:rPr>
      </w:pPr>
      <w:r w:rsidRPr="00206C6E">
        <w:rPr>
          <w:rFonts w:ascii="Calibri" w:hAnsi="Calibri" w:cs="Calibri"/>
          <w:i/>
          <w:iCs/>
          <w:sz w:val="18"/>
          <w:szCs w:val="18"/>
          <w:lang w:val="en-GB"/>
        </w:rPr>
        <w:t>Source:</w:t>
      </w:r>
      <w:r w:rsidRPr="00206C6E">
        <w:rPr>
          <w:rFonts w:ascii="Calibri" w:hAnsi="Calibri" w:cs="Calibri"/>
          <w:sz w:val="18"/>
          <w:szCs w:val="18"/>
          <w:lang w:val="en-GB"/>
        </w:rPr>
        <w:t xml:space="preserve"> </w:t>
      </w:r>
      <w:r w:rsidR="00724704" w:rsidRPr="00206C6E">
        <w:rPr>
          <w:sz w:val="18"/>
          <w:szCs w:val="18"/>
        </w:rPr>
        <w:t xml:space="preserve">ADB, </w:t>
      </w:r>
      <w:r w:rsidR="00DB49D5" w:rsidRPr="00206C6E">
        <w:rPr>
          <w:i/>
          <w:iCs/>
          <w:sz w:val="18"/>
          <w:szCs w:val="18"/>
        </w:rPr>
        <w:t>Annual Report 2023: Accelerating Climate Action for Sustainable Development</w:t>
      </w:r>
      <w:r w:rsidR="00724704" w:rsidRPr="00206C6E">
        <w:rPr>
          <w:sz w:val="18"/>
          <w:szCs w:val="18"/>
        </w:rPr>
        <w:t xml:space="preserve"> (Manila, 2024</w:t>
      </w:r>
      <w:r w:rsidR="00CA6830" w:rsidRPr="00206C6E">
        <w:rPr>
          <w:rStyle w:val="Hyperlink"/>
          <w:rFonts w:ascii="Calibri" w:hAnsi="Calibri" w:cs="Calibri"/>
          <w:color w:val="auto"/>
          <w:sz w:val="18"/>
          <w:szCs w:val="18"/>
          <w:u w:val="none"/>
          <w:lang w:val="en-GB"/>
        </w:rPr>
        <w:t>)</w:t>
      </w:r>
      <w:r w:rsidRPr="00206C6E">
        <w:rPr>
          <w:rFonts w:ascii="Calibri" w:hAnsi="Calibri" w:cs="Calibri"/>
          <w:sz w:val="18"/>
          <w:szCs w:val="18"/>
          <w:lang w:val="en-GB"/>
        </w:rPr>
        <w:t>.</w:t>
      </w:r>
      <w:r w:rsidRPr="00206C6E">
        <w:rPr>
          <w:rFonts w:ascii="Calibri" w:hAnsi="Calibri" w:cs="Calibri"/>
          <w:sz w:val="18"/>
          <w:szCs w:val="18"/>
          <w:lang w:val="en-GB"/>
        </w:rPr>
        <w:br/>
      </w:r>
      <w:r w:rsidRPr="00206C6E">
        <w:rPr>
          <w:rFonts w:ascii="Calibri" w:hAnsi="Calibri" w:cs="Calibri"/>
          <w:i/>
          <w:iCs/>
          <w:sz w:val="18"/>
          <w:szCs w:val="18"/>
          <w:lang w:val="en-GB"/>
        </w:rPr>
        <w:t>Note</w:t>
      </w:r>
      <w:r w:rsidR="005B337E" w:rsidRPr="00206C6E">
        <w:rPr>
          <w:rFonts w:ascii="Calibri" w:hAnsi="Calibri" w:cs="Calibri"/>
          <w:i/>
          <w:iCs/>
          <w:sz w:val="18"/>
          <w:szCs w:val="18"/>
          <w:lang w:val="en-GB"/>
        </w:rPr>
        <w:t>s</w:t>
      </w:r>
      <w:r w:rsidRPr="00206C6E">
        <w:rPr>
          <w:rFonts w:ascii="Calibri" w:hAnsi="Calibri" w:cs="Calibri"/>
          <w:i/>
          <w:iCs/>
          <w:sz w:val="18"/>
          <w:szCs w:val="18"/>
          <w:lang w:val="en-GB"/>
        </w:rPr>
        <w:t>:</w:t>
      </w:r>
      <w:r w:rsidRPr="00206C6E">
        <w:rPr>
          <w:rFonts w:ascii="Calibri" w:hAnsi="Calibri" w:cs="Calibri"/>
          <w:sz w:val="18"/>
          <w:szCs w:val="18"/>
          <w:lang w:val="en-GB"/>
        </w:rPr>
        <w:t xml:space="preserve"> The table shows voting shares for ADB members as of 31 December 2023. </w:t>
      </w:r>
    </w:p>
    <w:p w14:paraId="056F88E4" w14:textId="14BBDDDB" w:rsidR="008D30EE" w:rsidRPr="00206C6E" w:rsidRDefault="008D30EE" w:rsidP="00206C6E">
      <w:pPr>
        <w:spacing w:after="0" w:line="240" w:lineRule="auto"/>
        <w:ind w:firstLine="540"/>
        <w:rPr>
          <w:rFonts w:ascii="Calibri" w:hAnsi="Calibri" w:cs="Calibri"/>
          <w:sz w:val="18"/>
          <w:szCs w:val="18"/>
          <w:lang w:val="en-GB"/>
        </w:rPr>
      </w:pPr>
      <w:r w:rsidRPr="00206C6E">
        <w:rPr>
          <w:rFonts w:ascii="Calibri" w:hAnsi="Calibri" w:cs="Calibri"/>
          <w:sz w:val="18"/>
          <w:szCs w:val="18"/>
          <w:lang w:val="en-GB"/>
        </w:rPr>
        <w:t>*Effective veto power – the ADB agrees on decisions with 75 per cent majority, therefore it is enough to have 25 per cent of the votes to block decisions (</w:t>
      </w:r>
      <w:hyperlink r:id="rId14" w:history="1">
        <w:r w:rsidRPr="00206C6E">
          <w:rPr>
            <w:rStyle w:val="Hyperlink"/>
            <w:rFonts w:ascii="Calibri" w:hAnsi="Calibri" w:cs="Calibri"/>
            <w:color w:val="auto"/>
            <w:sz w:val="18"/>
            <w:szCs w:val="18"/>
            <w:u w:val="none"/>
            <w:lang w:val="en-GB"/>
          </w:rPr>
          <w:t>A</w:t>
        </w:r>
        <w:r w:rsidR="001F7E43" w:rsidRPr="00206C6E">
          <w:rPr>
            <w:rStyle w:val="Hyperlink"/>
            <w:rFonts w:ascii="Calibri" w:hAnsi="Calibri" w:cs="Calibri"/>
            <w:color w:val="auto"/>
            <w:sz w:val="18"/>
            <w:szCs w:val="18"/>
            <w:u w:val="none"/>
            <w:lang w:val="en-GB"/>
          </w:rPr>
          <w:t>D</w:t>
        </w:r>
        <w:r w:rsidRPr="00206C6E">
          <w:rPr>
            <w:rStyle w:val="Hyperlink"/>
            <w:rFonts w:ascii="Calibri" w:hAnsi="Calibri" w:cs="Calibri"/>
            <w:color w:val="auto"/>
            <w:sz w:val="18"/>
            <w:szCs w:val="18"/>
            <w:u w:val="none"/>
            <w:lang w:val="en-GB"/>
          </w:rPr>
          <w:t>B,</w:t>
        </w:r>
        <w:r w:rsidR="001F7E43" w:rsidRPr="00206C6E">
          <w:rPr>
            <w:rStyle w:val="Hyperlink"/>
            <w:rFonts w:ascii="Calibri" w:hAnsi="Calibri" w:cs="Calibri"/>
            <w:color w:val="auto"/>
            <w:sz w:val="18"/>
            <w:szCs w:val="18"/>
            <w:u w:val="none"/>
            <w:lang w:val="en-GB"/>
          </w:rPr>
          <w:t xml:space="preserve"> </w:t>
        </w:r>
        <w:r w:rsidR="001F7E43" w:rsidRPr="00206C6E">
          <w:rPr>
            <w:rStyle w:val="Hyperlink"/>
            <w:rFonts w:ascii="Calibri" w:hAnsi="Calibri" w:cs="Calibri"/>
            <w:i/>
            <w:iCs/>
            <w:color w:val="auto"/>
            <w:sz w:val="18"/>
            <w:szCs w:val="18"/>
            <w:u w:val="none"/>
            <w:lang w:val="en-GB"/>
          </w:rPr>
          <w:t>Annual Report 2023</w:t>
        </w:r>
      </w:hyperlink>
      <w:r w:rsidRPr="00206C6E">
        <w:rPr>
          <w:rFonts w:ascii="Calibri" w:hAnsi="Calibri" w:cs="Calibri"/>
          <w:sz w:val="18"/>
          <w:szCs w:val="18"/>
          <w:lang w:val="en-GB"/>
        </w:rPr>
        <w:t>).</w:t>
      </w:r>
    </w:p>
    <w:p w14:paraId="1516AF30" w14:textId="77777777" w:rsidR="00671AF3" w:rsidRPr="00104E3D" w:rsidRDefault="00671AF3" w:rsidP="00671AF3">
      <w:pPr>
        <w:spacing w:after="0" w:line="240" w:lineRule="auto"/>
        <w:jc w:val="both"/>
        <w:rPr>
          <w:rFonts w:ascii="Calibri" w:hAnsi="Calibri" w:cs="Calibri"/>
          <w:color w:val="0070C0"/>
          <w:lang w:val="en-GB"/>
        </w:rPr>
      </w:pPr>
    </w:p>
    <w:p w14:paraId="388D1246" w14:textId="77777777" w:rsidR="00231F13" w:rsidRPr="00231F13" w:rsidRDefault="00231F13" w:rsidP="00231F13">
      <w:pPr>
        <w:pStyle w:val="ListParagraph"/>
        <w:spacing w:after="0" w:line="240" w:lineRule="auto"/>
        <w:ind w:left="0"/>
        <w:jc w:val="both"/>
        <w:rPr>
          <w:rFonts w:ascii="Calibri" w:hAnsi="Calibri" w:cs="Calibri"/>
          <w:b/>
          <w:bCs/>
          <w:i/>
          <w:iCs/>
        </w:rPr>
      </w:pPr>
      <w:r w:rsidRPr="00231F13">
        <w:rPr>
          <w:rFonts w:ascii="Calibri" w:hAnsi="Calibri" w:cs="Calibri"/>
          <w:b/>
          <w:bCs/>
          <w:i/>
          <w:iCs/>
        </w:rPr>
        <w:t>Besides quota allocation, other factors also play a role in availability of financing</w:t>
      </w:r>
    </w:p>
    <w:p w14:paraId="75DB41AA" w14:textId="77777777" w:rsidR="00671AF3" w:rsidRPr="00104E3D" w:rsidRDefault="00671AF3" w:rsidP="00671AF3">
      <w:pPr>
        <w:spacing w:after="0" w:line="240" w:lineRule="auto"/>
        <w:jc w:val="both"/>
        <w:rPr>
          <w:rFonts w:ascii="Calibri" w:hAnsi="Calibri" w:cs="Calibri"/>
          <w:lang w:val="en-GB"/>
        </w:rPr>
      </w:pPr>
    </w:p>
    <w:p w14:paraId="0D0B29FB" w14:textId="52404761" w:rsidR="002654ED" w:rsidRDefault="002654ED" w:rsidP="002654ED">
      <w:pPr>
        <w:spacing w:after="0" w:line="240" w:lineRule="auto"/>
        <w:jc w:val="both"/>
        <w:rPr>
          <w:rFonts w:ascii="Calibri" w:hAnsi="Calibri" w:cs="Calibri"/>
        </w:rPr>
      </w:pPr>
      <w:r w:rsidRPr="0025439F">
        <w:rPr>
          <w:rFonts w:ascii="Calibri" w:hAnsi="Calibri" w:cs="Calibri"/>
        </w:rPr>
        <w:t xml:space="preserve">As of the end of May 2024, around 60 per cent of the total credit outstanding </w:t>
      </w:r>
      <w:r>
        <w:rPr>
          <w:rFonts w:ascii="Calibri" w:hAnsi="Calibri" w:cs="Calibri"/>
        </w:rPr>
        <w:t xml:space="preserve">at the IMF </w:t>
      </w:r>
      <w:r w:rsidRPr="0025439F">
        <w:rPr>
          <w:rFonts w:ascii="Calibri" w:hAnsi="Calibri" w:cs="Calibri"/>
        </w:rPr>
        <w:t>ha</w:t>
      </w:r>
      <w:r>
        <w:rPr>
          <w:rFonts w:ascii="Calibri" w:hAnsi="Calibri" w:cs="Calibri"/>
        </w:rPr>
        <w:t>s</w:t>
      </w:r>
      <w:r w:rsidRPr="0025439F">
        <w:rPr>
          <w:rFonts w:ascii="Calibri" w:hAnsi="Calibri" w:cs="Calibri"/>
        </w:rPr>
        <w:t xml:space="preserve"> been given to only five borrowers with merely around 2.1 per cent of the total voting power (Argentina, Egypt, Ukraine, Pakistan and Ecuador), highlighting a skewed distribution against the majority of developing and least</w:t>
      </w:r>
      <w:r w:rsidR="007647E2">
        <w:rPr>
          <w:rFonts w:ascii="Calibri" w:hAnsi="Calibri" w:cs="Calibri"/>
        </w:rPr>
        <w:t xml:space="preserve"> </w:t>
      </w:r>
      <w:r w:rsidRPr="0025439F">
        <w:rPr>
          <w:rFonts w:ascii="Calibri" w:hAnsi="Calibri" w:cs="Calibri"/>
        </w:rPr>
        <w:t>developed countries, including from the Asia and the Pacific</w:t>
      </w:r>
      <w:r w:rsidR="00192DA3">
        <w:rPr>
          <w:rFonts w:ascii="Calibri" w:hAnsi="Calibri" w:cs="Calibri"/>
        </w:rPr>
        <w:t xml:space="preserve"> (figure 4)</w:t>
      </w:r>
      <w:r w:rsidRPr="0025439F">
        <w:rPr>
          <w:rFonts w:ascii="Calibri" w:hAnsi="Calibri" w:cs="Calibri"/>
        </w:rPr>
        <w:t>.</w:t>
      </w:r>
      <w:r>
        <w:rPr>
          <w:rStyle w:val="FootnoteReference"/>
          <w:rFonts w:ascii="Calibri" w:hAnsi="Calibri" w:cs="Calibri"/>
        </w:rPr>
        <w:footnoteReference w:id="5"/>
      </w:r>
      <w:r w:rsidRPr="0025439F">
        <w:rPr>
          <w:rFonts w:ascii="Calibri" w:hAnsi="Calibri" w:cs="Calibri"/>
        </w:rPr>
        <w:t xml:space="preserve"> Therefore, concerns about the distribution of votes remain overshadowed by the proportional access to financing by other developing and least</w:t>
      </w:r>
      <w:r w:rsidR="002A4016">
        <w:rPr>
          <w:rFonts w:ascii="Calibri" w:hAnsi="Calibri" w:cs="Calibri"/>
        </w:rPr>
        <w:t xml:space="preserve"> </w:t>
      </w:r>
      <w:r w:rsidRPr="0025439F">
        <w:rPr>
          <w:rFonts w:ascii="Calibri" w:hAnsi="Calibri" w:cs="Calibri"/>
        </w:rPr>
        <w:t>developed countries within already existing rules.</w:t>
      </w:r>
    </w:p>
    <w:p w14:paraId="60DDD22A" w14:textId="77777777" w:rsidR="002654ED" w:rsidRDefault="002654ED" w:rsidP="00206C6E">
      <w:pPr>
        <w:spacing w:after="0" w:line="240" w:lineRule="auto"/>
        <w:jc w:val="both"/>
        <w:rPr>
          <w:rFonts w:ascii="Calibri" w:hAnsi="Calibri" w:cs="Calibri"/>
          <w:b/>
          <w:bCs/>
          <w:lang w:val="en-GB"/>
        </w:rPr>
      </w:pPr>
    </w:p>
    <w:p w14:paraId="6EA89BA4" w14:textId="5610E360" w:rsidR="002654ED" w:rsidRDefault="00DD2198">
      <w:pPr>
        <w:rPr>
          <w:rFonts w:ascii="Calibri" w:hAnsi="Calibri" w:cs="Calibri"/>
          <w:b/>
          <w:bCs/>
          <w:lang w:val="en-GB"/>
        </w:rPr>
      </w:pPr>
      <w:r>
        <w:rPr>
          <w:rFonts w:ascii="Calibri" w:hAnsi="Calibri" w:cs="Calibri"/>
          <w:b/>
          <w:bCs/>
          <w:lang w:val="en-GB"/>
        </w:rPr>
        <w:br w:type="page"/>
      </w:r>
    </w:p>
    <w:p w14:paraId="35615B52" w14:textId="76673BE1" w:rsidR="0075484F" w:rsidRPr="00104E3D" w:rsidRDefault="0075484F" w:rsidP="0075484F">
      <w:pPr>
        <w:jc w:val="both"/>
        <w:rPr>
          <w:rFonts w:ascii="Calibri" w:hAnsi="Calibri" w:cs="Calibri"/>
          <w:b/>
          <w:bCs/>
          <w:lang w:val="en-GB"/>
        </w:rPr>
      </w:pPr>
      <w:r w:rsidRPr="00104E3D">
        <w:rPr>
          <w:rFonts w:ascii="Calibri" w:hAnsi="Calibri" w:cs="Calibri"/>
          <w:b/>
          <w:bCs/>
          <w:lang w:val="en-GB"/>
        </w:rPr>
        <w:lastRenderedPageBreak/>
        <w:t>Figure 4</w:t>
      </w:r>
      <w:r w:rsidR="00192DA3">
        <w:rPr>
          <w:rFonts w:ascii="Calibri" w:hAnsi="Calibri" w:cs="Calibri"/>
          <w:b/>
          <w:bCs/>
          <w:lang w:val="en-GB"/>
        </w:rPr>
        <w:t>.</w:t>
      </w:r>
      <w:r w:rsidRPr="00104E3D">
        <w:rPr>
          <w:rFonts w:ascii="Calibri" w:hAnsi="Calibri" w:cs="Calibri"/>
          <w:b/>
          <w:bCs/>
          <w:lang w:val="en-GB"/>
        </w:rPr>
        <w:t xml:space="preserve"> Total IMF credit outstanding against total voting power per member, 28 May 2024</w:t>
      </w:r>
    </w:p>
    <w:p w14:paraId="72F935C6" w14:textId="77777777" w:rsidR="0075484F" w:rsidRPr="00104E3D" w:rsidRDefault="0075484F" w:rsidP="002654ED">
      <w:pPr>
        <w:pStyle w:val="ListParagraph"/>
        <w:ind w:leftChars="160" w:left="352"/>
        <w:rPr>
          <w:rFonts w:ascii="Calibri" w:hAnsi="Calibri" w:cs="Calibri"/>
          <w:lang w:val="en-GB"/>
        </w:rPr>
      </w:pPr>
      <w:r w:rsidRPr="00104E3D">
        <w:rPr>
          <w:rFonts w:ascii="Calibri" w:hAnsi="Calibri" w:cs="Calibri"/>
          <w:noProof/>
          <w:lang w:val="en-GB"/>
        </w:rPr>
        <w:drawing>
          <wp:inline distT="0" distB="0" distL="0" distR="0" wp14:anchorId="188A89B2" wp14:editId="34DC02F5">
            <wp:extent cx="4646428" cy="2057400"/>
            <wp:effectExtent l="0" t="0" r="1905" b="0"/>
            <wp:docPr id="1007663181" name="图表 31">
              <a:extLst xmlns:a="http://schemas.openxmlformats.org/drawingml/2006/main">
                <a:ext uri="{FF2B5EF4-FFF2-40B4-BE49-F238E27FC236}">
                  <a16:creationId xmlns:a16="http://schemas.microsoft.com/office/drawing/2014/main" id="{4E72E9A1-8256-43C8-B9BB-9D79A87AE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90D6BA" w14:textId="6AB79A41" w:rsidR="0075484F" w:rsidRPr="00104E3D" w:rsidRDefault="0075484F" w:rsidP="0075484F">
      <w:pPr>
        <w:jc w:val="both"/>
        <w:rPr>
          <w:color w:val="0070C0"/>
          <w:lang w:val="en-GB"/>
        </w:rPr>
      </w:pPr>
      <w:r w:rsidRPr="004F72A0">
        <w:rPr>
          <w:rFonts w:ascii="Calibri" w:hAnsi="Calibri" w:cs="Calibri"/>
          <w:i/>
          <w:iCs/>
          <w:sz w:val="18"/>
          <w:szCs w:val="18"/>
          <w:lang w:val="en-GB"/>
        </w:rPr>
        <w:t>Source:</w:t>
      </w:r>
      <w:r w:rsidRPr="004F72A0">
        <w:rPr>
          <w:rFonts w:ascii="Calibri" w:hAnsi="Calibri" w:cs="Calibri"/>
          <w:lang w:val="en-GB"/>
        </w:rPr>
        <w:t xml:space="preserve"> </w:t>
      </w:r>
      <w:r w:rsidR="00416C64" w:rsidRPr="004F72A0">
        <w:rPr>
          <w:sz w:val="18"/>
          <w:szCs w:val="18"/>
        </w:rPr>
        <w:t xml:space="preserve">IMF, “Total IMF credit outstanding movement”. Available at </w:t>
      </w:r>
      <w:hyperlink r:id="rId16" w:history="1">
        <w:r w:rsidR="00416C64" w:rsidRPr="004F72A0">
          <w:rPr>
            <w:rStyle w:val="Hyperlink"/>
            <w:color w:val="auto"/>
            <w:sz w:val="18"/>
            <w:szCs w:val="18"/>
            <w:u w:val="none"/>
          </w:rPr>
          <w:t>www.imf.org/en/About/Factsheets/Sheets/2022/IMF-Quotas</w:t>
        </w:r>
      </w:hyperlink>
      <w:r w:rsidR="00416C64" w:rsidRPr="004F72A0">
        <w:rPr>
          <w:sz w:val="18"/>
          <w:szCs w:val="18"/>
        </w:rPr>
        <w:t xml:space="preserve"> (accessed on 28 May 2024).</w:t>
      </w:r>
    </w:p>
    <w:p w14:paraId="0F0E30F0" w14:textId="77777777" w:rsidR="00FD2825" w:rsidRPr="00104E3D" w:rsidRDefault="00FD2825" w:rsidP="004C5A83">
      <w:pPr>
        <w:jc w:val="both"/>
        <w:rPr>
          <w:rFonts w:ascii="Calibri" w:hAnsi="Calibri" w:cs="Calibri"/>
          <w:lang w:val="en-GB"/>
        </w:rPr>
      </w:pPr>
    </w:p>
    <w:p w14:paraId="5A410880" w14:textId="731D2EAE" w:rsidR="00173E34" w:rsidRPr="00473B29" w:rsidRDefault="00173E34" w:rsidP="00173E34">
      <w:pPr>
        <w:spacing w:after="0" w:line="240" w:lineRule="auto"/>
        <w:jc w:val="both"/>
        <w:rPr>
          <w:rFonts w:ascii="Calibri" w:hAnsi="Calibri" w:cs="Calibri"/>
          <w:b/>
          <w:bCs/>
          <w:i/>
          <w:iCs/>
          <w:lang w:val="en-GB"/>
        </w:rPr>
      </w:pPr>
      <w:r w:rsidRPr="00192DA3">
        <w:rPr>
          <w:rFonts w:ascii="Calibri" w:hAnsi="Calibri" w:cs="Calibri"/>
          <w:b/>
          <w:bCs/>
          <w:i/>
          <w:iCs/>
        </w:rPr>
        <w:t xml:space="preserve">Amid </w:t>
      </w:r>
      <w:r w:rsidR="00EA2385" w:rsidRPr="00192DA3">
        <w:rPr>
          <w:rFonts w:ascii="Calibri" w:hAnsi="Calibri" w:cs="Calibri"/>
          <w:b/>
          <w:bCs/>
          <w:i/>
          <w:iCs/>
        </w:rPr>
        <w:t xml:space="preserve">ongoing </w:t>
      </w:r>
      <w:r w:rsidR="00473B29" w:rsidRPr="00192DA3">
        <w:rPr>
          <w:rFonts w:ascii="Calibri" w:hAnsi="Calibri" w:cs="Calibri"/>
          <w:b/>
          <w:bCs/>
          <w:i/>
          <w:iCs/>
        </w:rPr>
        <w:t>reforms of the international financial institutions</w:t>
      </w:r>
      <w:r w:rsidRPr="00192DA3">
        <w:rPr>
          <w:rFonts w:ascii="Calibri" w:hAnsi="Calibri" w:cs="Calibri"/>
          <w:b/>
          <w:bCs/>
          <w:i/>
          <w:iCs/>
        </w:rPr>
        <w:t xml:space="preserve">, </w:t>
      </w:r>
      <w:r w:rsidR="000E161F" w:rsidRPr="00192DA3">
        <w:rPr>
          <w:rFonts w:ascii="Calibri" w:hAnsi="Calibri" w:cs="Calibri"/>
          <w:b/>
          <w:bCs/>
          <w:i/>
          <w:iCs/>
        </w:rPr>
        <w:t xml:space="preserve">some regional initiative </w:t>
      </w:r>
      <w:proofErr w:type="gramStart"/>
      <w:r w:rsidR="000E161F" w:rsidRPr="00192DA3">
        <w:rPr>
          <w:rFonts w:ascii="Calibri" w:hAnsi="Calibri" w:cs="Calibri"/>
          <w:b/>
          <w:bCs/>
          <w:i/>
          <w:iCs/>
        </w:rPr>
        <w:t>represent</w:t>
      </w:r>
      <w:proofErr w:type="gramEnd"/>
      <w:r w:rsidR="000E161F" w:rsidRPr="00192DA3">
        <w:rPr>
          <w:rFonts w:ascii="Calibri" w:hAnsi="Calibri" w:cs="Calibri"/>
          <w:b/>
          <w:bCs/>
          <w:i/>
          <w:iCs/>
        </w:rPr>
        <w:t xml:space="preserve"> a</w:t>
      </w:r>
      <w:r w:rsidR="00EA2385">
        <w:rPr>
          <w:rFonts w:ascii="Calibri" w:hAnsi="Calibri" w:cs="Calibri"/>
          <w:b/>
          <w:bCs/>
          <w:i/>
          <w:iCs/>
          <w:lang w:val="en-GB"/>
        </w:rPr>
        <w:t xml:space="preserve"> complementary </w:t>
      </w:r>
      <w:r w:rsidR="000E161F">
        <w:rPr>
          <w:rFonts w:ascii="Calibri" w:hAnsi="Calibri" w:cs="Calibri"/>
          <w:b/>
          <w:bCs/>
          <w:i/>
          <w:iCs/>
          <w:lang w:val="en-GB"/>
        </w:rPr>
        <w:t>approach</w:t>
      </w:r>
    </w:p>
    <w:p w14:paraId="7B2599DF" w14:textId="77777777" w:rsidR="006E6117" w:rsidRDefault="006E6117" w:rsidP="00192DA3">
      <w:pPr>
        <w:spacing w:after="0" w:line="240" w:lineRule="auto"/>
        <w:jc w:val="both"/>
        <w:rPr>
          <w:rFonts w:ascii="Calibri" w:hAnsi="Calibri" w:cs="Calibri"/>
          <w:lang w:val="en-GB"/>
        </w:rPr>
      </w:pPr>
    </w:p>
    <w:p w14:paraId="12B27F70" w14:textId="3269401D" w:rsidR="00173E34" w:rsidRPr="00104E3D" w:rsidRDefault="00F55B31" w:rsidP="00192DA3">
      <w:pPr>
        <w:spacing w:after="0" w:line="240" w:lineRule="auto"/>
        <w:jc w:val="both"/>
        <w:rPr>
          <w:rFonts w:ascii="Calibri" w:hAnsi="Calibri" w:cs="Calibri"/>
          <w:lang w:val="en-GB"/>
        </w:rPr>
      </w:pPr>
      <w:r>
        <w:rPr>
          <w:rFonts w:ascii="Calibri" w:hAnsi="Calibri" w:cs="Calibri"/>
          <w:lang w:val="en-GB"/>
        </w:rPr>
        <w:t>With the stalemate on voting rights distribution</w:t>
      </w:r>
      <w:r w:rsidR="00552AEB">
        <w:rPr>
          <w:rFonts w:ascii="Calibri" w:hAnsi="Calibri" w:cs="Calibri"/>
          <w:lang w:val="en-GB"/>
        </w:rPr>
        <w:t xml:space="preserve"> reform at the IMF, the status quo is likely to persist until at least</w:t>
      </w:r>
      <w:r w:rsidR="00552AEB">
        <w:rPr>
          <w:rFonts w:ascii="Calibri" w:hAnsi="Calibri" w:cs="Calibri"/>
          <w:lang w:val="en-GB"/>
        </w:rPr>
        <w:t xml:space="preserve"> </w:t>
      </w:r>
      <w:r w:rsidR="00731EF2">
        <w:rPr>
          <w:rFonts w:ascii="Calibri" w:hAnsi="Calibri" w:cs="Calibri"/>
          <w:lang w:val="en-GB"/>
        </w:rPr>
        <w:t>the</w:t>
      </w:r>
      <w:r w:rsidR="00552AEB">
        <w:rPr>
          <w:rFonts w:ascii="Calibri" w:hAnsi="Calibri" w:cs="Calibri"/>
          <w:lang w:val="en-GB"/>
        </w:rPr>
        <w:t xml:space="preserve"> 17</w:t>
      </w:r>
      <w:r w:rsidR="00552AEB" w:rsidRPr="00552AEB">
        <w:rPr>
          <w:rFonts w:ascii="Calibri" w:hAnsi="Calibri" w:cs="Calibri"/>
          <w:vertAlign w:val="superscript"/>
          <w:lang w:val="en-GB"/>
        </w:rPr>
        <w:t>th</w:t>
      </w:r>
      <w:r w:rsidR="00552AEB">
        <w:rPr>
          <w:rFonts w:ascii="Calibri" w:hAnsi="Calibri" w:cs="Calibri"/>
          <w:lang w:val="en-GB"/>
        </w:rPr>
        <w:t xml:space="preserve"> General Review of Quotas</w:t>
      </w:r>
      <w:r w:rsidR="00855AAE">
        <w:rPr>
          <w:rFonts w:ascii="Calibri" w:hAnsi="Calibri" w:cs="Calibri"/>
          <w:lang w:val="en-GB"/>
        </w:rPr>
        <w:t>, to be held no later than 2028.</w:t>
      </w:r>
      <w:r w:rsidR="000766FE">
        <w:rPr>
          <w:rFonts w:ascii="Calibri" w:hAnsi="Calibri" w:cs="Calibri"/>
          <w:lang w:val="en-GB"/>
        </w:rPr>
        <w:t xml:space="preserve"> Therefore, regional associations or individual countries</w:t>
      </w:r>
      <w:r w:rsidR="009E4449">
        <w:rPr>
          <w:rFonts w:ascii="Calibri" w:hAnsi="Calibri" w:cs="Calibri"/>
          <w:lang w:val="en-GB"/>
        </w:rPr>
        <w:t xml:space="preserve"> are seeking alternatives through creation of new financial institutions and systems. </w:t>
      </w:r>
      <w:r w:rsidR="00173E34" w:rsidRPr="00104E3D">
        <w:rPr>
          <w:rFonts w:ascii="Calibri" w:hAnsi="Calibri" w:cs="Calibri"/>
          <w:lang w:val="en-GB"/>
        </w:rPr>
        <w:t xml:space="preserve"> For example, the global financial stabili</w:t>
      </w:r>
      <w:r w:rsidR="004F72A0">
        <w:rPr>
          <w:rFonts w:ascii="Calibri" w:hAnsi="Calibri" w:cs="Calibri"/>
          <w:lang w:val="en-GB"/>
        </w:rPr>
        <w:t>z</w:t>
      </w:r>
      <w:r w:rsidR="00173E34" w:rsidRPr="00104E3D">
        <w:rPr>
          <w:rFonts w:ascii="Calibri" w:hAnsi="Calibri" w:cs="Calibri"/>
          <w:lang w:val="en-GB"/>
        </w:rPr>
        <w:t xml:space="preserve">ation system is being enriched by more regional initiatives. The European Stability Mechanism </w:t>
      </w:r>
      <w:r w:rsidR="00173E34" w:rsidRPr="004F72A0">
        <w:rPr>
          <w:rFonts w:ascii="Calibri" w:hAnsi="Calibri" w:cs="Calibri"/>
          <w:lang w:val="en-GB"/>
        </w:rPr>
        <w:t>has already disbursed EUR 295 billion and has a further EUR 422 billion in lending capacity as of June 2024.</w:t>
      </w:r>
      <w:r w:rsidR="00D112B1" w:rsidRPr="004F72A0">
        <w:rPr>
          <w:rStyle w:val="FootnoteReference"/>
          <w:rFonts w:ascii="Calibri" w:hAnsi="Calibri" w:cs="Calibri"/>
          <w:lang w:val="en-GB"/>
        </w:rPr>
        <w:footnoteReference w:id="6"/>
      </w:r>
      <w:r w:rsidR="00173E34" w:rsidRPr="004F72A0">
        <w:rPr>
          <w:rFonts w:ascii="Calibri" w:hAnsi="Calibri" w:cs="Calibri"/>
          <w:lang w:val="en-GB"/>
        </w:rPr>
        <w:t xml:space="preserve"> The ASEAN+3 established the Chiang Mai Initiative Multilateralisation (CMIM) in 2010, with $240 billion in reserves.</w:t>
      </w:r>
      <w:r w:rsidR="003F2596" w:rsidRPr="004F72A0">
        <w:rPr>
          <w:rStyle w:val="FootnoteReference"/>
          <w:rFonts w:ascii="Calibri" w:hAnsi="Calibri" w:cs="Calibri"/>
          <w:lang w:val="en-GB"/>
        </w:rPr>
        <w:footnoteReference w:id="7"/>
      </w:r>
      <w:r w:rsidR="00173E34" w:rsidRPr="004F72A0">
        <w:rPr>
          <w:rFonts w:ascii="Calibri" w:hAnsi="Calibri" w:cs="Calibri"/>
          <w:lang w:val="en-GB"/>
        </w:rPr>
        <w:t xml:space="preserve"> The New Development Bank, established by BRICS countries,</w:t>
      </w:r>
      <w:r w:rsidR="005F4732" w:rsidRPr="004F72A0">
        <w:rPr>
          <w:rStyle w:val="FootnoteReference"/>
          <w:rFonts w:ascii="Calibri" w:hAnsi="Calibri" w:cs="Calibri"/>
          <w:lang w:val="en-GB"/>
        </w:rPr>
        <w:footnoteReference w:id="8"/>
      </w:r>
      <w:r w:rsidR="00173E34" w:rsidRPr="004F72A0">
        <w:rPr>
          <w:rFonts w:ascii="Calibri" w:hAnsi="Calibri" w:cs="Calibri"/>
          <w:lang w:val="en-GB"/>
        </w:rPr>
        <w:t xml:space="preserve"> has $100 billion in assets. Furthermore, central banks have developed a vast network of swap lines, often unlimited in size, that provide further flexibility, decentrali</w:t>
      </w:r>
      <w:r w:rsidR="00AF2717" w:rsidRPr="004F72A0">
        <w:rPr>
          <w:rFonts w:ascii="Calibri" w:hAnsi="Calibri" w:cs="Calibri"/>
          <w:lang w:val="en-GB"/>
        </w:rPr>
        <w:t>z</w:t>
      </w:r>
      <w:r w:rsidR="00173E34" w:rsidRPr="004F72A0">
        <w:rPr>
          <w:rFonts w:ascii="Calibri" w:hAnsi="Calibri" w:cs="Calibri"/>
          <w:lang w:val="en-GB"/>
        </w:rPr>
        <w:t>ation, and strength to the</w:t>
      </w:r>
      <w:r w:rsidR="00173E34" w:rsidRPr="00104E3D">
        <w:rPr>
          <w:rFonts w:ascii="Calibri" w:hAnsi="Calibri" w:cs="Calibri"/>
          <w:lang w:val="en-GB"/>
        </w:rPr>
        <w:t xml:space="preserve"> international financial system, as well as increase the agency of respective countries. </w:t>
      </w:r>
    </w:p>
    <w:p w14:paraId="0E04A5F1" w14:textId="77777777" w:rsidR="00665BB7" w:rsidRDefault="00665BB7" w:rsidP="00192DA3">
      <w:pPr>
        <w:pStyle w:val="Heading2"/>
        <w:spacing w:before="0" w:line="240" w:lineRule="auto"/>
        <w:jc w:val="both"/>
        <w:rPr>
          <w:rFonts w:asciiTheme="minorHAnsi" w:hAnsiTheme="minorHAnsi" w:cstheme="minorHAnsi"/>
          <w:b/>
          <w:bCs/>
          <w:sz w:val="24"/>
          <w:szCs w:val="24"/>
          <w:u w:val="single"/>
        </w:rPr>
      </w:pPr>
    </w:p>
    <w:p w14:paraId="67C533ED" w14:textId="5ACC78CB" w:rsidR="00174569" w:rsidRPr="00665BB7" w:rsidRDefault="00174569" w:rsidP="00665BB7">
      <w:pPr>
        <w:pStyle w:val="Heading2"/>
        <w:jc w:val="both"/>
        <w:rPr>
          <w:rFonts w:asciiTheme="minorHAnsi" w:hAnsiTheme="minorHAnsi" w:cstheme="minorHAnsi"/>
          <w:b/>
          <w:bCs/>
          <w:sz w:val="24"/>
          <w:szCs w:val="24"/>
          <w:u w:val="single"/>
        </w:rPr>
      </w:pPr>
      <w:r w:rsidRPr="00665BB7">
        <w:rPr>
          <w:rFonts w:asciiTheme="minorHAnsi" w:hAnsiTheme="minorHAnsi" w:cstheme="minorHAnsi"/>
          <w:b/>
          <w:bCs/>
          <w:sz w:val="24"/>
          <w:szCs w:val="24"/>
          <w:u w:val="single"/>
        </w:rPr>
        <w:t>Policy solutions</w:t>
      </w:r>
      <w:r w:rsidR="002F4A33" w:rsidRPr="00665BB7">
        <w:rPr>
          <w:rFonts w:asciiTheme="minorHAnsi" w:hAnsiTheme="minorHAnsi" w:cstheme="minorHAnsi"/>
          <w:b/>
          <w:bCs/>
          <w:sz w:val="24"/>
          <w:szCs w:val="24"/>
          <w:u w:val="single"/>
        </w:rPr>
        <w:t xml:space="preserve"> (</w:t>
      </w:r>
      <w:r w:rsidR="0086308E">
        <w:rPr>
          <w:rFonts w:asciiTheme="minorHAnsi" w:hAnsiTheme="minorHAnsi" w:cstheme="minorHAnsi"/>
          <w:b/>
          <w:bCs/>
          <w:sz w:val="24"/>
          <w:szCs w:val="24"/>
          <w:u w:val="single"/>
        </w:rPr>
        <w:t xml:space="preserve">max. </w:t>
      </w:r>
      <w:r w:rsidR="002F4A33" w:rsidRPr="00665BB7">
        <w:rPr>
          <w:rFonts w:asciiTheme="minorHAnsi" w:hAnsiTheme="minorHAnsi" w:cstheme="minorHAnsi"/>
          <w:b/>
          <w:bCs/>
          <w:sz w:val="24"/>
          <w:szCs w:val="24"/>
          <w:u w:val="single"/>
        </w:rPr>
        <w:t>500 words)</w:t>
      </w:r>
    </w:p>
    <w:p w14:paraId="3C98F04E" w14:textId="77777777" w:rsidR="008F6893" w:rsidRPr="00EA2B41" w:rsidRDefault="008F6893" w:rsidP="00EA2B41">
      <w:pPr>
        <w:spacing w:after="0" w:line="240" w:lineRule="auto"/>
      </w:pPr>
    </w:p>
    <w:p w14:paraId="697BCD7C" w14:textId="52A2B300" w:rsidR="002F56DA" w:rsidRPr="00F03C3E" w:rsidRDefault="00925DFE" w:rsidP="00192DA3">
      <w:pPr>
        <w:numPr>
          <w:ilvl w:val="0"/>
          <w:numId w:val="11"/>
        </w:numPr>
        <w:spacing w:after="0" w:line="240" w:lineRule="auto"/>
        <w:ind w:left="0" w:firstLine="0"/>
        <w:jc w:val="both"/>
        <w:rPr>
          <w:rFonts w:ascii="Calibri" w:hAnsi="Calibri" w:cs="Calibri"/>
        </w:rPr>
      </w:pPr>
      <w:r w:rsidRPr="00EA2B41">
        <w:rPr>
          <w:b/>
          <w:bCs/>
        </w:rPr>
        <w:t>Ensure fair representation of Asia</w:t>
      </w:r>
      <w:r w:rsidR="002A5F3E">
        <w:rPr>
          <w:b/>
          <w:bCs/>
        </w:rPr>
        <w:t xml:space="preserve"> and the</w:t>
      </w:r>
      <w:r w:rsidR="004F72A0">
        <w:rPr>
          <w:b/>
          <w:bCs/>
        </w:rPr>
        <w:t xml:space="preserve"> </w:t>
      </w:r>
      <w:r w:rsidRPr="00EA2B41">
        <w:rPr>
          <w:b/>
          <w:bCs/>
        </w:rPr>
        <w:t>Pacific in global financial policymaking</w:t>
      </w:r>
      <w:r w:rsidRPr="00EA2B41">
        <w:t xml:space="preserve">. </w:t>
      </w:r>
      <w:r w:rsidR="00D452EA" w:rsidRPr="00EA2B41">
        <w:t>Asia</w:t>
      </w:r>
      <w:r w:rsidR="007D1999">
        <w:t xml:space="preserve"> and the </w:t>
      </w:r>
      <w:r w:rsidR="00D452EA" w:rsidRPr="00EA2B41">
        <w:t xml:space="preserve">Pacific should </w:t>
      </w:r>
      <w:r w:rsidR="00D452EA" w:rsidRPr="00F03C3E">
        <w:rPr>
          <w:rFonts w:ascii="Calibri" w:hAnsi="Calibri" w:cs="Calibri"/>
        </w:rPr>
        <w:t>raise a fair question about region’s representation in international financial institutions</w:t>
      </w:r>
      <w:r w:rsidR="00015038">
        <w:rPr>
          <w:rFonts w:ascii="Calibri" w:hAnsi="Calibri" w:cs="Calibri"/>
        </w:rPr>
        <w:t xml:space="preserve"> such as the IMF</w:t>
      </w:r>
      <w:r w:rsidR="000B0929" w:rsidRPr="00F03C3E">
        <w:rPr>
          <w:rFonts w:ascii="Calibri" w:hAnsi="Calibri" w:cs="Calibri"/>
        </w:rPr>
        <w:t xml:space="preserve">, </w:t>
      </w:r>
      <w:r w:rsidR="002825D4" w:rsidRPr="00F03C3E">
        <w:rPr>
          <w:rFonts w:ascii="Calibri" w:hAnsi="Calibri" w:cs="Calibri"/>
        </w:rPr>
        <w:t>given that it has</w:t>
      </w:r>
      <w:r w:rsidR="008F6893" w:rsidRPr="00F03C3E">
        <w:rPr>
          <w:rFonts w:ascii="Calibri" w:hAnsi="Calibri" w:cs="Calibri"/>
        </w:rPr>
        <w:t xml:space="preserve"> almost two-thirds of the world’s population, one-third of the voting rights, and only around one-fifteenth of the total credit flows towards</w:t>
      </w:r>
      <w:r w:rsidR="00BB6646" w:rsidRPr="00F03C3E">
        <w:rPr>
          <w:rFonts w:ascii="Calibri" w:hAnsi="Calibri" w:cs="Calibri"/>
        </w:rPr>
        <w:t xml:space="preserve"> the region</w:t>
      </w:r>
      <w:r w:rsidR="00A52C7E" w:rsidRPr="00F03C3E">
        <w:rPr>
          <w:rFonts w:ascii="Calibri" w:hAnsi="Calibri" w:cs="Calibri"/>
        </w:rPr>
        <w:t>.</w:t>
      </w:r>
      <w:r w:rsidRPr="00F03C3E">
        <w:rPr>
          <w:rFonts w:ascii="Calibri" w:hAnsi="Calibri" w:cs="Calibri"/>
        </w:rPr>
        <w:t xml:space="preserve"> With better representation of Asia and the Pacific, the region would benefit from proportionally greater influence on policy decisions. Consequently, policies that affect the global economy could align better towards regional needs and priorities. The move would also partly translate into improved access to resources for development financing, for example, the IMF quotas are linked to the availability of loans for the IMF members.</w:t>
      </w:r>
    </w:p>
    <w:p w14:paraId="62DA0355" w14:textId="77777777" w:rsidR="00EA2B41" w:rsidRPr="00EA2B41" w:rsidRDefault="00EA2B41" w:rsidP="00EA2B41">
      <w:pPr>
        <w:spacing w:after="0" w:line="240" w:lineRule="auto"/>
      </w:pPr>
    </w:p>
    <w:p w14:paraId="3FB69354" w14:textId="165829E4" w:rsidR="004D1812" w:rsidRPr="00EA2B41" w:rsidRDefault="002F56DA" w:rsidP="004F72A0">
      <w:pPr>
        <w:numPr>
          <w:ilvl w:val="0"/>
          <w:numId w:val="11"/>
        </w:numPr>
        <w:spacing w:after="0" w:line="240" w:lineRule="auto"/>
        <w:ind w:left="0" w:firstLine="0"/>
        <w:jc w:val="both"/>
      </w:pPr>
      <w:r w:rsidRPr="00EA2B41">
        <w:rPr>
          <w:b/>
          <w:bCs/>
        </w:rPr>
        <w:lastRenderedPageBreak/>
        <w:t>A</w:t>
      </w:r>
      <w:r w:rsidR="004D1812" w:rsidRPr="00EA2B41">
        <w:rPr>
          <w:b/>
          <w:bCs/>
        </w:rPr>
        <w:t xml:space="preserve"> shift towards smaller and more flexible regional financing institutions and development banks</w:t>
      </w:r>
      <w:r w:rsidR="00EA2B41">
        <w:rPr>
          <w:b/>
          <w:bCs/>
        </w:rPr>
        <w:t xml:space="preserve">. </w:t>
      </w:r>
      <w:r w:rsidR="007C5A5A">
        <w:t xml:space="preserve">This approach </w:t>
      </w:r>
      <w:r w:rsidR="004D1812" w:rsidRPr="00EA2B41">
        <w:t xml:space="preserve">might </w:t>
      </w:r>
      <w:r w:rsidR="007C5A5A">
        <w:t xml:space="preserve">serve as </w:t>
      </w:r>
      <w:r w:rsidR="004D1812" w:rsidRPr="00EA2B41">
        <w:t>a</w:t>
      </w:r>
      <w:r w:rsidR="00C35825">
        <w:t xml:space="preserve"> complementary approach</w:t>
      </w:r>
      <w:r w:rsidR="004D1812" w:rsidRPr="00EA2B41">
        <w:t xml:space="preserve"> to deliver more financing for development </w:t>
      </w:r>
      <w:r w:rsidR="0053327C" w:rsidRPr="00EA2B41">
        <w:t>in</w:t>
      </w:r>
      <w:r w:rsidR="004D1812" w:rsidRPr="00EA2B41">
        <w:t xml:space="preserve"> Asia</w:t>
      </w:r>
      <w:r w:rsidR="0053327C" w:rsidRPr="00EA2B41">
        <w:t xml:space="preserve"> and the </w:t>
      </w:r>
      <w:r w:rsidR="004D1812" w:rsidRPr="00EA2B41">
        <w:t xml:space="preserve">Pacific. </w:t>
      </w:r>
      <w:r w:rsidR="00190C81">
        <w:t>In any case</w:t>
      </w:r>
      <w:r w:rsidR="004D1812" w:rsidRPr="00EA2B41">
        <w:t xml:space="preserve">, even under the current international financial architecture, most development financing </w:t>
      </w:r>
      <w:r w:rsidR="00190C81">
        <w:t>is</w:t>
      </w:r>
      <w:r w:rsidR="004D1812" w:rsidRPr="00EA2B41">
        <w:t xml:space="preserve"> </w:t>
      </w:r>
      <w:r w:rsidR="004F72A0" w:rsidRPr="00EA2B41">
        <w:t>channel</w:t>
      </w:r>
      <w:r w:rsidR="004F72A0">
        <w:t>e</w:t>
      </w:r>
      <w:r w:rsidR="004F72A0" w:rsidRPr="00EA2B41">
        <w:t>d</w:t>
      </w:r>
      <w:r w:rsidR="004D1812" w:rsidRPr="00EA2B41">
        <w:t xml:space="preserve"> through private banks and smaller creditors at the national level. Therefore, there are no compelling reasons against further </w:t>
      </w:r>
      <w:r w:rsidR="00190C81" w:rsidRPr="00EA2B41">
        <w:t>regionalization</w:t>
      </w:r>
      <w:r w:rsidR="004D1812" w:rsidRPr="00EA2B41">
        <w:t xml:space="preserve"> of development financing initiatives.</w:t>
      </w:r>
    </w:p>
    <w:p w14:paraId="148FE260" w14:textId="77777777" w:rsidR="003633AF" w:rsidRPr="00104E3D" w:rsidRDefault="003633AF" w:rsidP="004F72A0">
      <w:pPr>
        <w:spacing w:after="0" w:line="240" w:lineRule="auto"/>
        <w:rPr>
          <w:lang w:val="en-GB"/>
        </w:rPr>
      </w:pPr>
    </w:p>
    <w:p w14:paraId="05870FE6" w14:textId="7407576D" w:rsidR="00FB6E17" w:rsidRPr="00880F68" w:rsidRDefault="00FB6E17" w:rsidP="004F72A0">
      <w:pPr>
        <w:pStyle w:val="Heading2"/>
        <w:spacing w:before="0" w:line="240" w:lineRule="auto"/>
        <w:jc w:val="both"/>
        <w:rPr>
          <w:rFonts w:asciiTheme="minorHAnsi" w:hAnsiTheme="minorHAnsi" w:cstheme="minorHAnsi"/>
          <w:b/>
          <w:bCs/>
          <w:sz w:val="24"/>
          <w:szCs w:val="24"/>
        </w:rPr>
      </w:pPr>
      <w:r w:rsidRPr="00880F68">
        <w:rPr>
          <w:rFonts w:asciiTheme="minorHAnsi" w:hAnsiTheme="minorHAnsi" w:cstheme="minorHAnsi"/>
          <w:b/>
          <w:bCs/>
          <w:sz w:val="24"/>
          <w:szCs w:val="24"/>
          <w:u w:val="single"/>
        </w:rPr>
        <w:t>Specific recommendations for FFD4</w:t>
      </w:r>
      <w:r w:rsidRPr="00880F68">
        <w:rPr>
          <w:rFonts w:asciiTheme="minorHAnsi" w:hAnsiTheme="minorHAnsi" w:cstheme="minorHAnsi"/>
          <w:b/>
          <w:bCs/>
          <w:sz w:val="24"/>
          <w:szCs w:val="24"/>
        </w:rPr>
        <w:t xml:space="preserve"> (</w:t>
      </w:r>
      <w:r w:rsidR="0086308E">
        <w:rPr>
          <w:rFonts w:asciiTheme="minorHAnsi" w:hAnsiTheme="minorHAnsi" w:cstheme="minorHAnsi"/>
          <w:b/>
          <w:bCs/>
          <w:sz w:val="24"/>
          <w:szCs w:val="24"/>
        </w:rPr>
        <w:t xml:space="preserve">max. </w:t>
      </w:r>
      <w:r w:rsidRPr="00880F68">
        <w:rPr>
          <w:rFonts w:asciiTheme="minorHAnsi" w:hAnsiTheme="minorHAnsi" w:cstheme="minorHAnsi"/>
          <w:b/>
          <w:bCs/>
          <w:sz w:val="24"/>
          <w:szCs w:val="24"/>
        </w:rPr>
        <w:t>300 words)</w:t>
      </w:r>
    </w:p>
    <w:p w14:paraId="1F9BF28D" w14:textId="77777777" w:rsidR="008E71E2" w:rsidRDefault="008E71E2" w:rsidP="004F72A0">
      <w:pPr>
        <w:spacing w:after="0" w:line="240" w:lineRule="auto"/>
        <w:rPr>
          <w:lang w:val="en-GB"/>
        </w:rPr>
      </w:pPr>
    </w:p>
    <w:p w14:paraId="5F4FBDCA" w14:textId="0236999B" w:rsidR="002F6B6C" w:rsidRPr="00BD4261" w:rsidRDefault="001F2899" w:rsidP="004F72A0">
      <w:pPr>
        <w:pStyle w:val="ListParagraph"/>
        <w:numPr>
          <w:ilvl w:val="0"/>
          <w:numId w:val="13"/>
        </w:numPr>
        <w:spacing w:after="0" w:line="240" w:lineRule="auto"/>
        <w:ind w:left="360"/>
        <w:jc w:val="both"/>
        <w:rPr>
          <w:rFonts w:cstheme="minorHAnsi"/>
        </w:rPr>
      </w:pPr>
      <w:r w:rsidRPr="00BD4261">
        <w:rPr>
          <w:rFonts w:cstheme="minorHAnsi"/>
        </w:rPr>
        <w:t>R</w:t>
      </w:r>
      <w:r w:rsidR="00691B2D" w:rsidRPr="00BD4261">
        <w:rPr>
          <w:rFonts w:cstheme="minorHAnsi"/>
        </w:rPr>
        <w:t xml:space="preserve">aise </w:t>
      </w:r>
      <w:r w:rsidR="004E6E99">
        <w:rPr>
          <w:rFonts w:cstheme="minorHAnsi"/>
        </w:rPr>
        <w:t xml:space="preserve">the issue of representation of </w:t>
      </w:r>
      <w:r w:rsidR="00691B2D" w:rsidRPr="00BD4261">
        <w:rPr>
          <w:rFonts w:cstheme="minorHAnsi"/>
        </w:rPr>
        <w:t>Asia</w:t>
      </w:r>
      <w:r w:rsidR="005276B5" w:rsidRPr="00BD4261">
        <w:rPr>
          <w:rFonts w:cstheme="minorHAnsi"/>
        </w:rPr>
        <w:t xml:space="preserve"> and the </w:t>
      </w:r>
      <w:r w:rsidR="00691B2D" w:rsidRPr="00BD4261">
        <w:rPr>
          <w:rFonts w:cstheme="minorHAnsi"/>
        </w:rPr>
        <w:t xml:space="preserve">Pacific </w:t>
      </w:r>
      <w:r w:rsidR="004E6E99">
        <w:rPr>
          <w:rFonts w:cstheme="minorHAnsi"/>
        </w:rPr>
        <w:t xml:space="preserve">at </w:t>
      </w:r>
      <w:r w:rsidR="00691B2D" w:rsidRPr="00BD4261">
        <w:rPr>
          <w:rFonts w:cstheme="minorHAnsi"/>
        </w:rPr>
        <w:t xml:space="preserve">the IMF, </w:t>
      </w:r>
      <w:r w:rsidR="00774AD6">
        <w:rPr>
          <w:rFonts w:cstheme="minorHAnsi"/>
        </w:rPr>
        <w:t xml:space="preserve">along with </w:t>
      </w:r>
      <w:r w:rsidR="00691B2D" w:rsidRPr="00BD4261">
        <w:rPr>
          <w:rFonts w:cstheme="minorHAnsi"/>
        </w:rPr>
        <w:t>the distribution of the credit outstanding</w:t>
      </w:r>
      <w:r w:rsidR="00774AD6">
        <w:rPr>
          <w:rFonts w:cstheme="minorHAnsi"/>
        </w:rPr>
        <w:t>,</w:t>
      </w:r>
      <w:r w:rsidRPr="00BD4261">
        <w:rPr>
          <w:rFonts w:cstheme="minorHAnsi"/>
        </w:rPr>
        <w:t xml:space="preserve"> </w:t>
      </w:r>
      <w:r w:rsidR="00774AD6">
        <w:rPr>
          <w:rFonts w:cstheme="minorHAnsi"/>
        </w:rPr>
        <w:t xml:space="preserve">in the FfD4 and </w:t>
      </w:r>
      <w:r w:rsidRPr="00BD4261">
        <w:rPr>
          <w:rFonts w:cstheme="minorHAnsi"/>
        </w:rPr>
        <w:t>before the upcoming deliberations on IMF voting rights reform</w:t>
      </w:r>
      <w:r w:rsidR="00275823" w:rsidRPr="00BD4261">
        <w:rPr>
          <w:rFonts w:cstheme="minorHAnsi"/>
        </w:rPr>
        <w:t>.</w:t>
      </w:r>
    </w:p>
    <w:p w14:paraId="0A7668B9" w14:textId="3D584950" w:rsidR="007D1216" w:rsidRPr="00BD4261" w:rsidRDefault="001F2899" w:rsidP="004F72A0">
      <w:pPr>
        <w:pStyle w:val="ListParagraph"/>
        <w:numPr>
          <w:ilvl w:val="0"/>
          <w:numId w:val="13"/>
        </w:numPr>
        <w:spacing w:after="0" w:line="240" w:lineRule="auto"/>
        <w:ind w:left="360"/>
        <w:jc w:val="both"/>
        <w:rPr>
          <w:rFonts w:cstheme="minorHAnsi"/>
        </w:rPr>
      </w:pPr>
      <w:r w:rsidRPr="00BD4261">
        <w:rPr>
          <w:rFonts w:cstheme="minorHAnsi"/>
        </w:rPr>
        <w:t>C</w:t>
      </w:r>
      <w:r w:rsidR="004D1812" w:rsidRPr="00BD4261">
        <w:rPr>
          <w:rFonts w:cstheme="minorHAnsi"/>
        </w:rPr>
        <w:t>ontinue</w:t>
      </w:r>
      <w:r w:rsidR="00104E3D" w:rsidRPr="00BD4261">
        <w:rPr>
          <w:rFonts w:cstheme="minorHAnsi"/>
        </w:rPr>
        <w:t xml:space="preserve"> efforts on regionali</w:t>
      </w:r>
      <w:r w:rsidR="00661018">
        <w:rPr>
          <w:rFonts w:cstheme="minorHAnsi"/>
        </w:rPr>
        <w:t>z</w:t>
      </w:r>
      <w:r w:rsidR="00104E3D" w:rsidRPr="00BD4261">
        <w:rPr>
          <w:rFonts w:cstheme="minorHAnsi"/>
        </w:rPr>
        <w:t xml:space="preserve">ation of development financing initiatives to better serve regional </w:t>
      </w:r>
      <w:r w:rsidR="007471B7" w:rsidRPr="00BD4261">
        <w:rPr>
          <w:rFonts w:cstheme="minorHAnsi"/>
        </w:rPr>
        <w:t xml:space="preserve">financing for development </w:t>
      </w:r>
      <w:r w:rsidR="00104E3D" w:rsidRPr="00BD4261">
        <w:rPr>
          <w:rFonts w:cstheme="minorHAnsi"/>
        </w:rPr>
        <w:t>needs.</w:t>
      </w:r>
    </w:p>
    <w:p w14:paraId="5FF33E1B" w14:textId="77777777" w:rsidR="007945B8" w:rsidRDefault="007945B8" w:rsidP="006E6117">
      <w:pPr>
        <w:spacing w:after="0" w:line="240" w:lineRule="auto"/>
        <w:jc w:val="both"/>
        <w:rPr>
          <w:highlight w:val="yellow"/>
        </w:rPr>
      </w:pPr>
    </w:p>
    <w:p w14:paraId="7C49FCE3" w14:textId="77777777" w:rsidR="006E6117" w:rsidRDefault="006E6117" w:rsidP="004F72A0">
      <w:pPr>
        <w:spacing w:after="0" w:line="240" w:lineRule="auto"/>
        <w:jc w:val="both"/>
        <w:rPr>
          <w:highlight w:val="yellow"/>
        </w:rPr>
      </w:pPr>
    </w:p>
    <w:p w14:paraId="29C5359C" w14:textId="0E5EA52C" w:rsidR="007945B8" w:rsidRPr="004F72A0" w:rsidRDefault="007945B8" w:rsidP="004F72A0">
      <w:pPr>
        <w:spacing w:after="0" w:line="240" w:lineRule="auto"/>
        <w:jc w:val="both"/>
        <w:rPr>
          <w:b/>
          <w:bCs/>
        </w:rPr>
      </w:pPr>
      <w:r w:rsidRPr="004F72A0">
        <w:rPr>
          <w:b/>
          <w:bCs/>
        </w:rPr>
        <w:t>A 75-word summary of the brief for the website.</w:t>
      </w:r>
    </w:p>
    <w:p w14:paraId="7107CFBF" w14:textId="77777777" w:rsidR="006E6117" w:rsidRDefault="006E6117" w:rsidP="006E6117">
      <w:pPr>
        <w:spacing w:after="0" w:line="240" w:lineRule="auto"/>
        <w:jc w:val="both"/>
        <w:rPr>
          <w:lang w:val="en-GB"/>
        </w:rPr>
      </w:pPr>
    </w:p>
    <w:p w14:paraId="6779AD93" w14:textId="5A5B0626" w:rsidR="007D1216" w:rsidRPr="00A43296" w:rsidRDefault="00A43296" w:rsidP="004F72A0">
      <w:pPr>
        <w:spacing w:after="0" w:line="240" w:lineRule="auto"/>
        <w:jc w:val="both"/>
        <w:rPr>
          <w:lang w:val="en-GB"/>
        </w:rPr>
      </w:pPr>
      <w:r w:rsidRPr="00A43296">
        <w:rPr>
          <w:lang w:val="en-GB"/>
        </w:rPr>
        <w:t xml:space="preserve">Voting right imbalances persist in international financial institutions with respect to the population and </w:t>
      </w:r>
      <w:r w:rsidR="007945B8">
        <w:rPr>
          <w:lang w:val="en-GB"/>
        </w:rPr>
        <w:t xml:space="preserve">size of the </w:t>
      </w:r>
      <w:r w:rsidRPr="00A43296">
        <w:rPr>
          <w:lang w:val="en-GB"/>
        </w:rPr>
        <w:t xml:space="preserve">economy of their member states. Aiming for greater influence on </w:t>
      </w:r>
      <w:r w:rsidR="00890ACB">
        <w:rPr>
          <w:lang w:val="en-GB"/>
        </w:rPr>
        <w:t xml:space="preserve">financing </w:t>
      </w:r>
      <w:r w:rsidRPr="00A43296">
        <w:rPr>
          <w:lang w:val="en-GB"/>
        </w:rPr>
        <w:t xml:space="preserve">policy decisions impacting developing countries, Asia-Pacific member states should </w:t>
      </w:r>
      <w:proofErr w:type="gramStart"/>
      <w:r w:rsidRPr="00A43296">
        <w:rPr>
          <w:lang w:val="en-GB"/>
        </w:rPr>
        <w:t>continue on</w:t>
      </w:r>
      <w:proofErr w:type="gramEnd"/>
      <w:r w:rsidRPr="00A43296">
        <w:rPr>
          <w:lang w:val="en-GB"/>
        </w:rPr>
        <w:t xml:space="preserve"> institutional reform discussions. However, strengthening of regional financial institutions in parallel as a</w:t>
      </w:r>
      <w:r w:rsidR="00104B6F">
        <w:rPr>
          <w:lang w:val="en-GB"/>
        </w:rPr>
        <w:t xml:space="preserve"> complementary approach.</w:t>
      </w:r>
    </w:p>
    <w:sectPr w:rsidR="007D1216" w:rsidRPr="00A4329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35461" w14:textId="77777777" w:rsidR="007177F8" w:rsidRDefault="007177F8" w:rsidP="003A03B5">
      <w:pPr>
        <w:spacing w:after="0" w:line="240" w:lineRule="auto"/>
      </w:pPr>
      <w:r>
        <w:separator/>
      </w:r>
    </w:p>
  </w:endnote>
  <w:endnote w:type="continuationSeparator" w:id="0">
    <w:p w14:paraId="79D10296" w14:textId="77777777" w:rsidR="007177F8" w:rsidRDefault="007177F8" w:rsidP="003A03B5">
      <w:pPr>
        <w:spacing w:after="0" w:line="240" w:lineRule="auto"/>
      </w:pPr>
      <w:r>
        <w:continuationSeparator/>
      </w:r>
    </w:p>
  </w:endnote>
  <w:endnote w:type="continuationNotice" w:id="1">
    <w:p w14:paraId="2E25921E" w14:textId="77777777" w:rsidR="007177F8" w:rsidRDefault="00717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824601"/>
      <w:docPartObj>
        <w:docPartGallery w:val="Page Numbers (Bottom of Page)"/>
        <w:docPartUnique/>
      </w:docPartObj>
    </w:sdtPr>
    <w:sdtEndPr>
      <w:rPr>
        <w:noProof/>
      </w:rPr>
    </w:sdtEndPr>
    <w:sdtContent>
      <w:p w14:paraId="2C47EC85" w14:textId="76CB50C0" w:rsidR="004F72A0" w:rsidRDefault="004F72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B5CA6" w14:textId="77777777" w:rsidR="00E97328" w:rsidRDefault="00E9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D5AA" w14:textId="77777777" w:rsidR="007177F8" w:rsidRDefault="007177F8" w:rsidP="003A03B5">
      <w:pPr>
        <w:spacing w:after="0" w:line="240" w:lineRule="auto"/>
      </w:pPr>
      <w:r>
        <w:separator/>
      </w:r>
    </w:p>
  </w:footnote>
  <w:footnote w:type="continuationSeparator" w:id="0">
    <w:p w14:paraId="302F30B4" w14:textId="77777777" w:rsidR="007177F8" w:rsidRDefault="007177F8" w:rsidP="003A03B5">
      <w:pPr>
        <w:spacing w:after="0" w:line="240" w:lineRule="auto"/>
      </w:pPr>
      <w:r>
        <w:continuationSeparator/>
      </w:r>
    </w:p>
  </w:footnote>
  <w:footnote w:type="continuationNotice" w:id="1">
    <w:p w14:paraId="5E47B580" w14:textId="77777777" w:rsidR="007177F8" w:rsidRDefault="007177F8">
      <w:pPr>
        <w:spacing w:after="0" w:line="240" w:lineRule="auto"/>
      </w:pPr>
    </w:p>
  </w:footnote>
  <w:footnote w:id="2">
    <w:p w14:paraId="6EE42EEE" w14:textId="77777777" w:rsidR="00085495" w:rsidRDefault="00085495" w:rsidP="00085495">
      <w:pPr>
        <w:pStyle w:val="FootnoteText"/>
      </w:pPr>
      <w:r>
        <w:rPr>
          <w:rStyle w:val="FootnoteReference"/>
        </w:rPr>
        <w:footnoteRef/>
      </w:r>
      <w:r>
        <w:t xml:space="preserve"> </w:t>
      </w:r>
      <w:r w:rsidRPr="00B11BCF">
        <w:rPr>
          <w:sz w:val="18"/>
          <w:szCs w:val="18"/>
        </w:rPr>
        <w:t xml:space="preserve">BRICS, “XV BRICS Summit Johannesburg II Declaration”, Gauteng, South Africa, 23 August 2023. Available at </w:t>
      </w:r>
      <w:hyperlink r:id="rId1" w:history="1">
        <w:r w:rsidRPr="00B11BCF">
          <w:rPr>
            <w:rStyle w:val="Hyperlink"/>
            <w:color w:val="auto"/>
            <w:sz w:val="18"/>
            <w:szCs w:val="18"/>
            <w:u w:val="none"/>
          </w:rPr>
          <w:t>http://brics2023.gov.za/wp-content/uploads/2023/08/Jhb-II-Declaration-24-August-2023-1.pdf</w:t>
        </w:r>
      </w:hyperlink>
      <w:r w:rsidRPr="00B11BCF">
        <w:rPr>
          <w:sz w:val="18"/>
          <w:szCs w:val="18"/>
        </w:rPr>
        <w:t>.</w:t>
      </w:r>
    </w:p>
  </w:footnote>
  <w:footnote w:id="3">
    <w:p w14:paraId="42E95ECA" w14:textId="77777777" w:rsidR="00085495" w:rsidRDefault="00085495" w:rsidP="00085495">
      <w:pPr>
        <w:pStyle w:val="FootnoteText"/>
      </w:pPr>
      <w:r>
        <w:rPr>
          <w:rStyle w:val="FootnoteReference"/>
        </w:rPr>
        <w:footnoteRef/>
      </w:r>
      <w:r>
        <w:t xml:space="preserve"> </w:t>
      </w:r>
      <w:r w:rsidRPr="00B11BCF">
        <w:rPr>
          <w:sz w:val="18"/>
          <w:szCs w:val="18"/>
        </w:rPr>
        <w:t>Group of Twenty-Four, “Communiqué”, 16 April 2024. Available at https://g24.org/wp-content/uploads/2024/07/ENG-G-24-2024-Spring-Meetings-Final-Communique-1.pdf.</w:t>
      </w:r>
    </w:p>
  </w:footnote>
  <w:footnote w:id="4">
    <w:p w14:paraId="0DE64ED1" w14:textId="77777777" w:rsidR="00085495" w:rsidRDefault="00085495" w:rsidP="00085495">
      <w:pPr>
        <w:pStyle w:val="FootnoteText"/>
      </w:pPr>
      <w:r w:rsidRPr="00A76718">
        <w:rPr>
          <w:rStyle w:val="FootnoteReference"/>
          <w:sz w:val="18"/>
          <w:szCs w:val="18"/>
        </w:rPr>
        <w:footnoteRef/>
      </w:r>
      <w:r w:rsidRPr="00A76718">
        <w:rPr>
          <w:sz w:val="18"/>
          <w:szCs w:val="18"/>
        </w:rPr>
        <w:t xml:space="preserve"> United Nations, </w:t>
      </w:r>
      <w:r w:rsidRPr="00A76718">
        <w:rPr>
          <w:i/>
          <w:iCs/>
          <w:sz w:val="18"/>
          <w:szCs w:val="18"/>
        </w:rPr>
        <w:t xml:space="preserve">Summit of the Future Outcome Documents: Pact for the Future, Global Digital Compact, and Declaration on Future Generations </w:t>
      </w:r>
      <w:r w:rsidRPr="00A76718">
        <w:rPr>
          <w:sz w:val="18"/>
          <w:szCs w:val="18"/>
        </w:rPr>
        <w:t xml:space="preserve">(September 2024). Available at </w:t>
      </w:r>
      <w:hyperlink r:id="rId2" w:history="1">
        <w:r w:rsidRPr="00911160">
          <w:rPr>
            <w:rStyle w:val="Hyperlink"/>
            <w:color w:val="auto"/>
            <w:sz w:val="18"/>
            <w:szCs w:val="18"/>
            <w:u w:val="none"/>
          </w:rPr>
          <w:t>www.un.org/sites/un2.un.org/files/sotf-pact_for_the_future_adopted.pdf</w:t>
        </w:r>
      </w:hyperlink>
      <w:r w:rsidRPr="00A76718">
        <w:rPr>
          <w:sz w:val="18"/>
          <w:szCs w:val="18"/>
        </w:rPr>
        <w:t>.</w:t>
      </w:r>
    </w:p>
  </w:footnote>
  <w:footnote w:id="5">
    <w:p w14:paraId="00562EEC" w14:textId="77777777" w:rsidR="002654ED" w:rsidRDefault="002654ED" w:rsidP="002654ED">
      <w:pPr>
        <w:pStyle w:val="FootnoteText"/>
      </w:pPr>
      <w:r w:rsidRPr="00AC70D9">
        <w:rPr>
          <w:rStyle w:val="FootnoteReference"/>
          <w:sz w:val="18"/>
          <w:szCs w:val="18"/>
        </w:rPr>
        <w:footnoteRef/>
      </w:r>
      <w:r w:rsidRPr="00AC70D9">
        <w:rPr>
          <w:sz w:val="18"/>
          <w:szCs w:val="18"/>
        </w:rPr>
        <w:t xml:space="preserve"> I</w:t>
      </w:r>
      <w:r>
        <w:rPr>
          <w:sz w:val="18"/>
          <w:szCs w:val="18"/>
        </w:rPr>
        <w:t>MF</w:t>
      </w:r>
      <w:r w:rsidRPr="00AC70D9">
        <w:rPr>
          <w:sz w:val="18"/>
          <w:szCs w:val="18"/>
        </w:rPr>
        <w:t xml:space="preserve">, “Total IMF credit outstanding movement”. Available at </w:t>
      </w:r>
      <w:hyperlink r:id="rId3" w:history="1">
        <w:r w:rsidRPr="00AC70D9">
          <w:rPr>
            <w:rStyle w:val="Hyperlink"/>
            <w:color w:val="auto"/>
            <w:sz w:val="18"/>
            <w:szCs w:val="18"/>
            <w:u w:val="none"/>
          </w:rPr>
          <w:t>www.imf.org/en/About/Factsheets/Sheets/2022/IMF-Quotas</w:t>
        </w:r>
      </w:hyperlink>
      <w:r w:rsidRPr="00AC70D9">
        <w:rPr>
          <w:sz w:val="18"/>
          <w:szCs w:val="18"/>
        </w:rPr>
        <w:t xml:space="preserve"> (accessed on 28 May 2024).</w:t>
      </w:r>
    </w:p>
  </w:footnote>
  <w:footnote w:id="6">
    <w:p w14:paraId="3A0C6833" w14:textId="4EFFF555" w:rsidR="00D112B1" w:rsidRPr="00192DA3" w:rsidRDefault="00D112B1">
      <w:pPr>
        <w:pStyle w:val="FootnoteText"/>
        <w:rPr>
          <w:sz w:val="18"/>
          <w:szCs w:val="18"/>
        </w:rPr>
      </w:pPr>
      <w:r w:rsidRPr="00192DA3">
        <w:rPr>
          <w:rStyle w:val="FootnoteReference"/>
          <w:sz w:val="18"/>
          <w:szCs w:val="18"/>
        </w:rPr>
        <w:footnoteRef/>
      </w:r>
      <w:r w:rsidRPr="00192DA3">
        <w:rPr>
          <w:sz w:val="18"/>
          <w:szCs w:val="18"/>
        </w:rPr>
        <w:t xml:space="preserve"> European Stability Mechanism</w:t>
      </w:r>
      <w:r w:rsidR="00DE3AFD" w:rsidRPr="00192DA3">
        <w:rPr>
          <w:sz w:val="18"/>
          <w:szCs w:val="18"/>
        </w:rPr>
        <w:t>, “</w:t>
      </w:r>
      <w:r w:rsidRPr="00192DA3">
        <w:rPr>
          <w:sz w:val="18"/>
          <w:szCs w:val="18"/>
        </w:rPr>
        <w:t>Facts</w:t>
      </w:r>
      <w:r w:rsidR="00DE3AFD" w:rsidRPr="00192DA3">
        <w:rPr>
          <w:sz w:val="18"/>
          <w:szCs w:val="18"/>
        </w:rPr>
        <w:t>”</w:t>
      </w:r>
      <w:r w:rsidRPr="00192DA3">
        <w:rPr>
          <w:sz w:val="18"/>
          <w:szCs w:val="18"/>
        </w:rPr>
        <w:t>. Available at www.esm.europa.eu.</w:t>
      </w:r>
    </w:p>
  </w:footnote>
  <w:footnote w:id="7">
    <w:p w14:paraId="01227391" w14:textId="50BA012E" w:rsidR="003F2596" w:rsidRPr="00192DA3" w:rsidRDefault="003F2596">
      <w:pPr>
        <w:pStyle w:val="FootnoteText"/>
        <w:rPr>
          <w:sz w:val="18"/>
          <w:szCs w:val="18"/>
        </w:rPr>
      </w:pPr>
      <w:r w:rsidRPr="00192DA3">
        <w:rPr>
          <w:rStyle w:val="FootnoteReference"/>
          <w:sz w:val="18"/>
          <w:szCs w:val="18"/>
        </w:rPr>
        <w:footnoteRef/>
      </w:r>
      <w:r w:rsidRPr="00192DA3">
        <w:rPr>
          <w:sz w:val="18"/>
          <w:szCs w:val="18"/>
        </w:rPr>
        <w:t xml:space="preserve"> ASEAN+3 Macroeconomic Research Office, “Overview”</w:t>
      </w:r>
      <w:r w:rsidRPr="00192DA3">
        <w:rPr>
          <w:sz w:val="18"/>
          <w:szCs w:val="18"/>
        </w:rPr>
        <w:t/>
      </w:r>
      <w:r w:rsidRPr="00192DA3">
        <w:rPr>
          <w:sz w:val="18"/>
          <w:szCs w:val="18"/>
        </w:rPr>
        <w:t/>
      </w:r>
      <w:r w:rsidRPr="00192DA3">
        <w:rPr>
          <w:sz w:val="18"/>
          <w:szCs w:val="18"/>
        </w:rPr>
        <w:t>. Available at https://amro-asia.org/about-us/regional-financing-arrangements/.</w:t>
      </w:r>
    </w:p>
  </w:footnote>
  <w:footnote w:id="8">
    <w:p w14:paraId="2948026E" w14:textId="1FA22422" w:rsidR="005F4732" w:rsidRPr="00192DA3" w:rsidRDefault="005F4732">
      <w:pPr>
        <w:pStyle w:val="FootnoteText"/>
        <w:rPr>
          <w:sz w:val="18"/>
          <w:szCs w:val="18"/>
        </w:rPr>
      </w:pPr>
      <w:r w:rsidRPr="00192DA3">
        <w:rPr>
          <w:rStyle w:val="FootnoteReference"/>
          <w:sz w:val="18"/>
          <w:szCs w:val="18"/>
        </w:rPr>
        <w:footnoteRef/>
      </w:r>
      <w:r w:rsidRPr="00192DA3">
        <w:rPr>
          <w:sz w:val="18"/>
          <w:szCs w:val="18"/>
        </w:rPr>
        <w:t xml:space="preserve"> </w:t>
      </w:r>
      <w:r w:rsidR="003C415C" w:rsidRPr="00192DA3">
        <w:rPr>
          <w:sz w:val="18"/>
          <w:szCs w:val="18"/>
        </w:rPr>
        <w:t>Brazil, Russia</w:t>
      </w:r>
      <w:r w:rsidR="00AF2717">
        <w:rPr>
          <w:sz w:val="18"/>
          <w:szCs w:val="18"/>
        </w:rPr>
        <w:t>n Federation</w:t>
      </w:r>
      <w:r w:rsidR="003C415C" w:rsidRPr="00192DA3">
        <w:rPr>
          <w:sz w:val="18"/>
          <w:szCs w:val="18"/>
        </w:rPr>
        <w:t>, India, China</w:t>
      </w:r>
      <w:r w:rsidR="00AF2717">
        <w:rPr>
          <w:sz w:val="18"/>
          <w:szCs w:val="18"/>
        </w:rPr>
        <w:t xml:space="preserve"> and</w:t>
      </w:r>
      <w:r w:rsidR="003C415C" w:rsidRPr="00192DA3">
        <w:rPr>
          <w:sz w:val="18"/>
          <w:szCs w:val="18"/>
        </w:rPr>
        <w:t xml:space="preserve"> South Africa</w:t>
      </w:r>
      <w:r w:rsidR="00AF271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3807"/>
    <w:multiLevelType w:val="hybridMultilevel"/>
    <w:tmpl w:val="50A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F1FE6"/>
    <w:multiLevelType w:val="hybridMultilevel"/>
    <w:tmpl w:val="BA34CB82"/>
    <w:lvl w:ilvl="0" w:tplc="77709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84CA8"/>
    <w:multiLevelType w:val="hybridMultilevel"/>
    <w:tmpl w:val="FC8C4784"/>
    <w:lvl w:ilvl="0" w:tplc="5B202C2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2A42F90"/>
    <w:multiLevelType w:val="hybridMultilevel"/>
    <w:tmpl w:val="B8F2B222"/>
    <w:lvl w:ilvl="0" w:tplc="D2FA4C9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399"/>
    <w:multiLevelType w:val="hybridMultilevel"/>
    <w:tmpl w:val="8E9A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3343A"/>
    <w:multiLevelType w:val="hybridMultilevel"/>
    <w:tmpl w:val="42867E50"/>
    <w:lvl w:ilvl="0" w:tplc="64080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014310">
    <w:abstractNumId w:val="0"/>
  </w:num>
  <w:num w:numId="2" w16cid:durableId="705714083">
    <w:abstractNumId w:val="9"/>
  </w:num>
  <w:num w:numId="3" w16cid:durableId="1224489899">
    <w:abstractNumId w:val="6"/>
  </w:num>
  <w:num w:numId="4" w16cid:durableId="839007420">
    <w:abstractNumId w:val="7"/>
  </w:num>
  <w:num w:numId="5" w16cid:durableId="1795057800">
    <w:abstractNumId w:val="8"/>
  </w:num>
  <w:num w:numId="6" w16cid:durableId="1539704886">
    <w:abstractNumId w:val="5"/>
  </w:num>
  <w:num w:numId="7" w16cid:durableId="1965765382">
    <w:abstractNumId w:val="4"/>
  </w:num>
  <w:num w:numId="8" w16cid:durableId="1229880943">
    <w:abstractNumId w:val="11"/>
  </w:num>
  <w:num w:numId="9" w16cid:durableId="765612708">
    <w:abstractNumId w:val="3"/>
  </w:num>
  <w:num w:numId="10" w16cid:durableId="908343060">
    <w:abstractNumId w:val="12"/>
  </w:num>
  <w:num w:numId="11" w16cid:durableId="92943264">
    <w:abstractNumId w:val="2"/>
  </w:num>
  <w:num w:numId="12" w16cid:durableId="1417358678">
    <w:abstractNumId w:val="10"/>
  </w:num>
  <w:num w:numId="13" w16cid:durableId="93278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2ACA"/>
    <w:rsid w:val="00004ED7"/>
    <w:rsid w:val="00015038"/>
    <w:rsid w:val="000157D6"/>
    <w:rsid w:val="00021E22"/>
    <w:rsid w:val="00021EE5"/>
    <w:rsid w:val="00030E3E"/>
    <w:rsid w:val="000312F0"/>
    <w:rsid w:val="000328F9"/>
    <w:rsid w:val="00040400"/>
    <w:rsid w:val="000531A8"/>
    <w:rsid w:val="000572B6"/>
    <w:rsid w:val="00057FDE"/>
    <w:rsid w:val="00070396"/>
    <w:rsid w:val="00071553"/>
    <w:rsid w:val="00076091"/>
    <w:rsid w:val="000766FE"/>
    <w:rsid w:val="00085495"/>
    <w:rsid w:val="0008595A"/>
    <w:rsid w:val="00090BBF"/>
    <w:rsid w:val="00092A18"/>
    <w:rsid w:val="000A0C53"/>
    <w:rsid w:val="000B0929"/>
    <w:rsid w:val="000B3305"/>
    <w:rsid w:val="000B5645"/>
    <w:rsid w:val="000B5797"/>
    <w:rsid w:val="000C7E94"/>
    <w:rsid w:val="000D2E05"/>
    <w:rsid w:val="000E161F"/>
    <w:rsid w:val="000E66C5"/>
    <w:rsid w:val="00100A80"/>
    <w:rsid w:val="00104B6F"/>
    <w:rsid w:val="00104E3D"/>
    <w:rsid w:val="00105759"/>
    <w:rsid w:val="0011055D"/>
    <w:rsid w:val="00127222"/>
    <w:rsid w:val="00133861"/>
    <w:rsid w:val="00147327"/>
    <w:rsid w:val="00171823"/>
    <w:rsid w:val="00173E34"/>
    <w:rsid w:val="00174569"/>
    <w:rsid w:val="0017676A"/>
    <w:rsid w:val="00177924"/>
    <w:rsid w:val="00190C81"/>
    <w:rsid w:val="00192DA3"/>
    <w:rsid w:val="001A35B9"/>
    <w:rsid w:val="001A4D84"/>
    <w:rsid w:val="001A71B9"/>
    <w:rsid w:val="001C3403"/>
    <w:rsid w:val="001C5FC0"/>
    <w:rsid w:val="001E215D"/>
    <w:rsid w:val="001F2899"/>
    <w:rsid w:val="001F497D"/>
    <w:rsid w:val="001F521D"/>
    <w:rsid w:val="001F7E43"/>
    <w:rsid w:val="00206C6E"/>
    <w:rsid w:val="0021549E"/>
    <w:rsid w:val="00226DDE"/>
    <w:rsid w:val="00230CC0"/>
    <w:rsid w:val="00231F13"/>
    <w:rsid w:val="00236E4E"/>
    <w:rsid w:val="0024273D"/>
    <w:rsid w:val="00245E6E"/>
    <w:rsid w:val="00251A33"/>
    <w:rsid w:val="0025623A"/>
    <w:rsid w:val="00256658"/>
    <w:rsid w:val="00264832"/>
    <w:rsid w:val="002654ED"/>
    <w:rsid w:val="002723FF"/>
    <w:rsid w:val="00275650"/>
    <w:rsid w:val="00275823"/>
    <w:rsid w:val="00280A5A"/>
    <w:rsid w:val="002825D4"/>
    <w:rsid w:val="00282A67"/>
    <w:rsid w:val="002A3337"/>
    <w:rsid w:val="002A4016"/>
    <w:rsid w:val="002A5F3E"/>
    <w:rsid w:val="002B2B37"/>
    <w:rsid w:val="002B2B63"/>
    <w:rsid w:val="002C3B08"/>
    <w:rsid w:val="002C6D77"/>
    <w:rsid w:val="002D40D8"/>
    <w:rsid w:val="002D5643"/>
    <w:rsid w:val="002E31D3"/>
    <w:rsid w:val="002F4A33"/>
    <w:rsid w:val="002F56DA"/>
    <w:rsid w:val="002F6B6C"/>
    <w:rsid w:val="00306FEE"/>
    <w:rsid w:val="0031146D"/>
    <w:rsid w:val="00313915"/>
    <w:rsid w:val="003151D7"/>
    <w:rsid w:val="00316586"/>
    <w:rsid w:val="00317113"/>
    <w:rsid w:val="0032456F"/>
    <w:rsid w:val="0033099C"/>
    <w:rsid w:val="00341B1C"/>
    <w:rsid w:val="0034282A"/>
    <w:rsid w:val="00346462"/>
    <w:rsid w:val="003468F0"/>
    <w:rsid w:val="00355E77"/>
    <w:rsid w:val="003633AF"/>
    <w:rsid w:val="00377BA7"/>
    <w:rsid w:val="003963B8"/>
    <w:rsid w:val="003A03B5"/>
    <w:rsid w:val="003A1EF7"/>
    <w:rsid w:val="003B16DC"/>
    <w:rsid w:val="003B4AD0"/>
    <w:rsid w:val="003C349E"/>
    <w:rsid w:val="003C3638"/>
    <w:rsid w:val="003C415C"/>
    <w:rsid w:val="003C4F71"/>
    <w:rsid w:val="003F2596"/>
    <w:rsid w:val="004126AF"/>
    <w:rsid w:val="00416C64"/>
    <w:rsid w:val="0042016D"/>
    <w:rsid w:val="004267A6"/>
    <w:rsid w:val="00427288"/>
    <w:rsid w:val="004278CD"/>
    <w:rsid w:val="00437762"/>
    <w:rsid w:val="00442292"/>
    <w:rsid w:val="00456746"/>
    <w:rsid w:val="00462D29"/>
    <w:rsid w:val="00473B29"/>
    <w:rsid w:val="00481AF2"/>
    <w:rsid w:val="00491012"/>
    <w:rsid w:val="004931AA"/>
    <w:rsid w:val="004A24A6"/>
    <w:rsid w:val="004A5A55"/>
    <w:rsid w:val="004C5A83"/>
    <w:rsid w:val="004C5A9A"/>
    <w:rsid w:val="004D1812"/>
    <w:rsid w:val="004D48FB"/>
    <w:rsid w:val="004E6E99"/>
    <w:rsid w:val="004F2A19"/>
    <w:rsid w:val="004F31BA"/>
    <w:rsid w:val="004F3EA7"/>
    <w:rsid w:val="004F4DF5"/>
    <w:rsid w:val="004F72A0"/>
    <w:rsid w:val="005031D7"/>
    <w:rsid w:val="005276B5"/>
    <w:rsid w:val="00530E05"/>
    <w:rsid w:val="0053327C"/>
    <w:rsid w:val="005461F5"/>
    <w:rsid w:val="00552AEB"/>
    <w:rsid w:val="005601DA"/>
    <w:rsid w:val="00570005"/>
    <w:rsid w:val="00586451"/>
    <w:rsid w:val="005910B8"/>
    <w:rsid w:val="0059315C"/>
    <w:rsid w:val="00596FB1"/>
    <w:rsid w:val="005A5020"/>
    <w:rsid w:val="005B337E"/>
    <w:rsid w:val="005C29DB"/>
    <w:rsid w:val="005C6F6F"/>
    <w:rsid w:val="005D03C8"/>
    <w:rsid w:val="005D04A3"/>
    <w:rsid w:val="005F4732"/>
    <w:rsid w:val="00607903"/>
    <w:rsid w:val="006152D9"/>
    <w:rsid w:val="00623EC0"/>
    <w:rsid w:val="0063460B"/>
    <w:rsid w:val="00636E01"/>
    <w:rsid w:val="00656A38"/>
    <w:rsid w:val="00657C05"/>
    <w:rsid w:val="00661018"/>
    <w:rsid w:val="00665BB7"/>
    <w:rsid w:val="00671AF3"/>
    <w:rsid w:val="00691B2D"/>
    <w:rsid w:val="00693560"/>
    <w:rsid w:val="006946EB"/>
    <w:rsid w:val="006A343D"/>
    <w:rsid w:val="006D4D4C"/>
    <w:rsid w:val="006E2FD2"/>
    <w:rsid w:val="006E6117"/>
    <w:rsid w:val="006F4129"/>
    <w:rsid w:val="007013B0"/>
    <w:rsid w:val="00702805"/>
    <w:rsid w:val="0070759C"/>
    <w:rsid w:val="00710736"/>
    <w:rsid w:val="007111E9"/>
    <w:rsid w:val="007177F8"/>
    <w:rsid w:val="00724704"/>
    <w:rsid w:val="00731EF2"/>
    <w:rsid w:val="007403B7"/>
    <w:rsid w:val="007471B7"/>
    <w:rsid w:val="0075484F"/>
    <w:rsid w:val="007647E2"/>
    <w:rsid w:val="0077138E"/>
    <w:rsid w:val="00773F75"/>
    <w:rsid w:val="00774AD6"/>
    <w:rsid w:val="007814DE"/>
    <w:rsid w:val="0078539C"/>
    <w:rsid w:val="00791CE2"/>
    <w:rsid w:val="007945B8"/>
    <w:rsid w:val="007B06A8"/>
    <w:rsid w:val="007C5A5A"/>
    <w:rsid w:val="007D10D7"/>
    <w:rsid w:val="007D1216"/>
    <w:rsid w:val="007D1999"/>
    <w:rsid w:val="007F075C"/>
    <w:rsid w:val="007F3DC7"/>
    <w:rsid w:val="007F4C94"/>
    <w:rsid w:val="00805572"/>
    <w:rsid w:val="008112AC"/>
    <w:rsid w:val="00812F0E"/>
    <w:rsid w:val="00814170"/>
    <w:rsid w:val="0081662D"/>
    <w:rsid w:val="00817599"/>
    <w:rsid w:val="00820ACF"/>
    <w:rsid w:val="0083795C"/>
    <w:rsid w:val="00840F47"/>
    <w:rsid w:val="008422FD"/>
    <w:rsid w:val="0085312C"/>
    <w:rsid w:val="0085397B"/>
    <w:rsid w:val="00855AAE"/>
    <w:rsid w:val="0086308E"/>
    <w:rsid w:val="00866DB0"/>
    <w:rsid w:val="00870D4F"/>
    <w:rsid w:val="00890ACB"/>
    <w:rsid w:val="00892576"/>
    <w:rsid w:val="008A06F4"/>
    <w:rsid w:val="008A2E18"/>
    <w:rsid w:val="008A6DF5"/>
    <w:rsid w:val="008B263A"/>
    <w:rsid w:val="008C4A2E"/>
    <w:rsid w:val="008C6041"/>
    <w:rsid w:val="008C6F76"/>
    <w:rsid w:val="008D30EE"/>
    <w:rsid w:val="008D4AB4"/>
    <w:rsid w:val="008E4C59"/>
    <w:rsid w:val="008E71E2"/>
    <w:rsid w:val="008F6893"/>
    <w:rsid w:val="0091564C"/>
    <w:rsid w:val="00922926"/>
    <w:rsid w:val="00925DFE"/>
    <w:rsid w:val="00933DB4"/>
    <w:rsid w:val="0093795C"/>
    <w:rsid w:val="00950391"/>
    <w:rsid w:val="00982A6B"/>
    <w:rsid w:val="009834A4"/>
    <w:rsid w:val="009849A9"/>
    <w:rsid w:val="00997EF0"/>
    <w:rsid w:val="009A2872"/>
    <w:rsid w:val="009C000C"/>
    <w:rsid w:val="009C126D"/>
    <w:rsid w:val="009C6F71"/>
    <w:rsid w:val="009D38B9"/>
    <w:rsid w:val="009D49B9"/>
    <w:rsid w:val="009D6678"/>
    <w:rsid w:val="009E16FD"/>
    <w:rsid w:val="009E4449"/>
    <w:rsid w:val="00A07E09"/>
    <w:rsid w:val="00A10C93"/>
    <w:rsid w:val="00A23362"/>
    <w:rsid w:val="00A252C5"/>
    <w:rsid w:val="00A27EA9"/>
    <w:rsid w:val="00A43296"/>
    <w:rsid w:val="00A52C7E"/>
    <w:rsid w:val="00A72C1A"/>
    <w:rsid w:val="00A77960"/>
    <w:rsid w:val="00A90AA0"/>
    <w:rsid w:val="00A91C36"/>
    <w:rsid w:val="00AA3912"/>
    <w:rsid w:val="00AB7E68"/>
    <w:rsid w:val="00AC5120"/>
    <w:rsid w:val="00AC5D65"/>
    <w:rsid w:val="00AC5E25"/>
    <w:rsid w:val="00AC635D"/>
    <w:rsid w:val="00AD036F"/>
    <w:rsid w:val="00AD1EA1"/>
    <w:rsid w:val="00AD79B8"/>
    <w:rsid w:val="00AE2B30"/>
    <w:rsid w:val="00AE6A3E"/>
    <w:rsid w:val="00AF2717"/>
    <w:rsid w:val="00AF2DE8"/>
    <w:rsid w:val="00AF48C0"/>
    <w:rsid w:val="00AF4945"/>
    <w:rsid w:val="00B04248"/>
    <w:rsid w:val="00B05351"/>
    <w:rsid w:val="00B06BAC"/>
    <w:rsid w:val="00B07F89"/>
    <w:rsid w:val="00B133B2"/>
    <w:rsid w:val="00B16F5C"/>
    <w:rsid w:val="00B209FF"/>
    <w:rsid w:val="00B303BA"/>
    <w:rsid w:val="00B37572"/>
    <w:rsid w:val="00B43EE6"/>
    <w:rsid w:val="00B4458D"/>
    <w:rsid w:val="00B456B6"/>
    <w:rsid w:val="00B52F12"/>
    <w:rsid w:val="00B62108"/>
    <w:rsid w:val="00B72DD6"/>
    <w:rsid w:val="00B73000"/>
    <w:rsid w:val="00B74593"/>
    <w:rsid w:val="00B935E2"/>
    <w:rsid w:val="00BA2C12"/>
    <w:rsid w:val="00BA58DB"/>
    <w:rsid w:val="00BB35B3"/>
    <w:rsid w:val="00BB6646"/>
    <w:rsid w:val="00BC3656"/>
    <w:rsid w:val="00BD1E2F"/>
    <w:rsid w:val="00BD4261"/>
    <w:rsid w:val="00BF358C"/>
    <w:rsid w:val="00C02B63"/>
    <w:rsid w:val="00C146EF"/>
    <w:rsid w:val="00C21CF5"/>
    <w:rsid w:val="00C328E2"/>
    <w:rsid w:val="00C330CC"/>
    <w:rsid w:val="00C35825"/>
    <w:rsid w:val="00C401B3"/>
    <w:rsid w:val="00C53F3E"/>
    <w:rsid w:val="00C635B6"/>
    <w:rsid w:val="00C635CB"/>
    <w:rsid w:val="00C67DDF"/>
    <w:rsid w:val="00C70F61"/>
    <w:rsid w:val="00C815A6"/>
    <w:rsid w:val="00C82661"/>
    <w:rsid w:val="00C9157B"/>
    <w:rsid w:val="00CA6830"/>
    <w:rsid w:val="00CA7D0D"/>
    <w:rsid w:val="00CB13A6"/>
    <w:rsid w:val="00CC24B8"/>
    <w:rsid w:val="00CC7F60"/>
    <w:rsid w:val="00CD5BBB"/>
    <w:rsid w:val="00CE0ACD"/>
    <w:rsid w:val="00D112B1"/>
    <w:rsid w:val="00D14383"/>
    <w:rsid w:val="00D41B23"/>
    <w:rsid w:val="00D452EA"/>
    <w:rsid w:val="00D46BD6"/>
    <w:rsid w:val="00D5534A"/>
    <w:rsid w:val="00D55D4C"/>
    <w:rsid w:val="00D6347F"/>
    <w:rsid w:val="00D63CC6"/>
    <w:rsid w:val="00D6400D"/>
    <w:rsid w:val="00D9290C"/>
    <w:rsid w:val="00D97BE6"/>
    <w:rsid w:val="00DA1347"/>
    <w:rsid w:val="00DA646E"/>
    <w:rsid w:val="00DB49D5"/>
    <w:rsid w:val="00DC68E7"/>
    <w:rsid w:val="00DD2198"/>
    <w:rsid w:val="00DD4A7A"/>
    <w:rsid w:val="00DD7AFF"/>
    <w:rsid w:val="00DE3AFD"/>
    <w:rsid w:val="00DF276A"/>
    <w:rsid w:val="00DF744D"/>
    <w:rsid w:val="00E11CF4"/>
    <w:rsid w:val="00E2289C"/>
    <w:rsid w:val="00E26A2B"/>
    <w:rsid w:val="00E270F1"/>
    <w:rsid w:val="00E30DD7"/>
    <w:rsid w:val="00E352C6"/>
    <w:rsid w:val="00E52E8B"/>
    <w:rsid w:val="00E53090"/>
    <w:rsid w:val="00E60250"/>
    <w:rsid w:val="00E61BA0"/>
    <w:rsid w:val="00E6505E"/>
    <w:rsid w:val="00E71F6B"/>
    <w:rsid w:val="00E77656"/>
    <w:rsid w:val="00E97328"/>
    <w:rsid w:val="00EA2385"/>
    <w:rsid w:val="00EA2B41"/>
    <w:rsid w:val="00EA325D"/>
    <w:rsid w:val="00EB44E9"/>
    <w:rsid w:val="00EC70AE"/>
    <w:rsid w:val="00ED0FBA"/>
    <w:rsid w:val="00ED57A5"/>
    <w:rsid w:val="00EE0E1D"/>
    <w:rsid w:val="00EF0584"/>
    <w:rsid w:val="00EF4125"/>
    <w:rsid w:val="00EF6345"/>
    <w:rsid w:val="00F0085E"/>
    <w:rsid w:val="00F03C3E"/>
    <w:rsid w:val="00F13A97"/>
    <w:rsid w:val="00F16112"/>
    <w:rsid w:val="00F31841"/>
    <w:rsid w:val="00F31DF6"/>
    <w:rsid w:val="00F33399"/>
    <w:rsid w:val="00F3488A"/>
    <w:rsid w:val="00F426CE"/>
    <w:rsid w:val="00F54E56"/>
    <w:rsid w:val="00F55B31"/>
    <w:rsid w:val="00F617FF"/>
    <w:rsid w:val="00F63348"/>
    <w:rsid w:val="00F821F5"/>
    <w:rsid w:val="00FB2792"/>
    <w:rsid w:val="00FB6E17"/>
    <w:rsid w:val="00FC613F"/>
    <w:rsid w:val="00FD2825"/>
    <w:rsid w:val="00FD3426"/>
    <w:rsid w:val="00FD7E6C"/>
    <w:rsid w:val="00FE5377"/>
    <w:rsid w:val="00FF2D68"/>
    <w:rsid w:val="00FF4F0A"/>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8B467"/>
  <w15:chartTrackingRefBased/>
  <w15:docId w15:val="{AF9F1620-12F0-446B-8935-A7DB617A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References,Numbered List Paragraph,Numbered Paragraph,Main numbered paragraph,123 List Paragraph,List Paragraph (numbered (a)),Bullets,List Paragraph nowy,Liste 1,List_Paragraph,Multilevel para_II,List Paragraph1,Bullet paras,Body,L"/>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aliases w:val="single space,FOOTNOTES,ADB,footnote text,Footnote Text Char1 Char,Footnote Text Char Char Char,Footnote Text Char1 Char Char Char,Footnote Text Char Char Char Char Char,fn Char Char Char Char Char,footnote text Char Char Char Char Char,ft"/>
    <w:basedOn w:val="Normal"/>
    <w:link w:val="FootnoteTextChar"/>
    <w:uiPriority w:val="99"/>
    <w:semiHidden/>
    <w:unhideWhenUsed/>
    <w:qFormat/>
    <w:rsid w:val="003A03B5"/>
    <w:pPr>
      <w:spacing w:after="0" w:line="240" w:lineRule="auto"/>
    </w:pPr>
    <w:rPr>
      <w:sz w:val="20"/>
      <w:szCs w:val="20"/>
    </w:rPr>
  </w:style>
  <w:style w:type="character" w:customStyle="1" w:styleId="FootnoteTextChar">
    <w:name w:val="Footnote Text Char"/>
    <w:aliases w:val="single space Char,FOOTNOTES Char,ADB Char,footnote text Char,Footnote Text Char1 Char Char,Footnote Text Char Char Char Char,Footnote Text Char1 Char Char Char Char,Footnote Text Char Char Char Char Char Char,ft Char"/>
    <w:basedOn w:val="DefaultParagraphFont"/>
    <w:link w:val="FootnoteText"/>
    <w:uiPriority w:val="99"/>
    <w:semiHidden/>
    <w:rsid w:val="003A03B5"/>
    <w:rPr>
      <w:sz w:val="20"/>
      <w:szCs w:val="20"/>
    </w:rPr>
  </w:style>
  <w:style w:type="character" w:styleId="FootnoteReference">
    <w:name w:val="footnote reference"/>
    <w:aliases w:val="SUPERS,16 Point,Superscript 6 Point,ftref,Ref,de nota al pie,Footnote Reference Number,(NECG) Footnote Reference,Footnote text,SUPERS1,SUPERS2,SUPERS3,FNRefe Char,BVI fnr Char,BVI fnr Char Char,BVI fnr Car Car Char Char,footnote ref,E"/>
    <w:basedOn w:val="DefaultParagraphFont"/>
    <w:uiPriority w:val="99"/>
    <w:unhideWhenUsed/>
    <w:qFormat/>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ListParagraphChar">
    <w:name w:val="List Paragraph Char"/>
    <w:aliases w:val="Table Char,References Char,Numbered List Paragraph Char,Numbered Paragraph Char,Main numbered paragraph Char,123 List Paragraph Char,List Paragraph (numbered (a)) Char,Bullets Char,List Paragraph nowy Char,Liste 1 Char,Body Char"/>
    <w:link w:val="ListParagraph"/>
    <w:uiPriority w:val="34"/>
    <w:qFormat/>
    <w:locked/>
    <w:rsid w:val="0075484F"/>
  </w:style>
  <w:style w:type="character" w:styleId="FollowedHyperlink">
    <w:name w:val="FollowedHyperlink"/>
    <w:basedOn w:val="DefaultParagraphFont"/>
    <w:uiPriority w:val="99"/>
    <w:semiHidden/>
    <w:unhideWhenUsed/>
    <w:rsid w:val="0078539C"/>
    <w:rPr>
      <w:color w:val="954F72" w:themeColor="followedHyperlink"/>
      <w:u w:val="single"/>
    </w:rPr>
  </w:style>
  <w:style w:type="character" w:styleId="UnresolvedMention">
    <w:name w:val="Unresolved Mention"/>
    <w:basedOn w:val="DefaultParagraphFont"/>
    <w:uiPriority w:val="99"/>
    <w:semiHidden/>
    <w:unhideWhenUsed/>
    <w:rsid w:val="00E11CF4"/>
    <w:rPr>
      <w:color w:val="605E5C"/>
      <w:shd w:val="clear" w:color="auto" w:fill="E1DFDD"/>
    </w:rPr>
  </w:style>
  <w:style w:type="paragraph" w:styleId="Date">
    <w:name w:val="Date"/>
    <w:basedOn w:val="Normal"/>
    <w:next w:val="Normal"/>
    <w:link w:val="DateChar"/>
    <w:uiPriority w:val="99"/>
    <w:semiHidden/>
    <w:unhideWhenUsed/>
    <w:rsid w:val="00CD5BBB"/>
  </w:style>
  <w:style w:type="character" w:customStyle="1" w:styleId="DateChar">
    <w:name w:val="Date Char"/>
    <w:basedOn w:val="DefaultParagraphFont"/>
    <w:link w:val="Date"/>
    <w:uiPriority w:val="99"/>
    <w:semiHidden/>
    <w:rsid w:val="00CD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mf.org/en/About/Factsheets/Sheets/2022/IMF-Quot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sites/default/files/institutional-document/959761/adb-annual-report-202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mf.org/en/About/Factsheets/Sheets/2022/IMF-Quotas" TargetMode="External"/><Relationship Id="rId2" Type="http://schemas.openxmlformats.org/officeDocument/2006/relationships/hyperlink" Target="https://www.un.org/sites/un2.un.org/files/sotf-pact_for_the_future_adopted.pdf" TargetMode="External"/><Relationship Id="rId1" Type="http://schemas.openxmlformats.org/officeDocument/2006/relationships/hyperlink" Target="http://brics2023.gov.za/wp-content/uploads/2023/08/Jhb-II-Declaration-24-August-2023-1.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https://unitednations.sharepoint.com/sites/ESCAP-OD-MPFD2/MPFD%20Files/3_ANALYTIC/4%20Working%20papers/2024/WP_FfD4/Micha&#322;/Internl_fin_inst_voting_rights_202406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https://unitednations.sharepoint.com/sites/ESCAP-OD-MPFD2/MPFD%20Files/3_ANALYTIC/4%20Working%20papers/2024/WP_FfD4/Micha&#322;/Internl_fin_inst_voting_rights_20240605.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ha\AppData\Roaming\Microsoft\Excel\Internl_fin_inst_voting_rights_20240605%20(version%201).xlsb"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18657042869641"/>
          <c:y val="4.6709129511677279E-2"/>
          <c:w val="0.82334361329833772"/>
          <c:h val="0.53896049618001562"/>
        </c:manualLayout>
      </c:layout>
      <c:barChart>
        <c:barDir val="col"/>
        <c:grouping val="clustered"/>
        <c:varyColors val="0"/>
        <c:ser>
          <c:idx val="1"/>
          <c:order val="1"/>
          <c:tx>
            <c:strRef>
              <c:f>IMF_votes!$Q$5</c:f>
              <c:strCache>
                <c:ptCount val="1"/>
                <c:pt idx="0">
                  <c:v>Aggregates</c:v>
                </c:pt>
              </c:strCache>
            </c:strRef>
          </c:tx>
          <c:spPr>
            <a:solidFill>
              <a:schemeClr val="tx2">
                <a:lumMod val="25000"/>
                <a:lumOff val="75000"/>
              </a:schemeClr>
            </a:solidFill>
            <a:ln>
              <a:noFill/>
            </a:ln>
            <a:effectLst/>
          </c:spPr>
          <c:invertIfNegative val="0"/>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IMF_votes!$Q$6:$Q$18</c:f>
              <c:numCache>
                <c:formatCode>0.0</c:formatCode>
                <c:ptCount val="13"/>
                <c:pt idx="0">
                  <c:v>70.944933759000619</c:v>
                </c:pt>
                <c:pt idx="1">
                  <c:v>29.055066240999377</c:v>
                </c:pt>
              </c:numCache>
            </c:numRef>
          </c:val>
          <c:extLst>
            <c:ext xmlns:c16="http://schemas.microsoft.com/office/drawing/2014/chart" uri="{C3380CC4-5D6E-409C-BE32-E72D297353CC}">
              <c16:uniqueId val="{00000000-F290-4AFC-B222-0C0D2A2CAE9A}"/>
            </c:ext>
          </c:extLst>
        </c:ser>
        <c:dLbls>
          <c:showLegendKey val="0"/>
          <c:showVal val="0"/>
          <c:showCatName val="0"/>
          <c:showSerName val="0"/>
          <c:showPercent val="0"/>
          <c:showBubbleSize val="0"/>
        </c:dLbls>
        <c:gapWidth val="219"/>
        <c:axId val="1506476399"/>
        <c:axId val="1506478799"/>
      </c:barChart>
      <c:barChart>
        <c:barDir val="col"/>
        <c:grouping val="clustered"/>
        <c:varyColors val="0"/>
        <c:ser>
          <c:idx val="0"/>
          <c:order val="0"/>
          <c:tx>
            <c:strRef>
              <c:f>IMF_votes!$P$5</c:f>
              <c:strCache>
                <c:ptCount val="1"/>
                <c:pt idx="0">
                  <c:v>Member States</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IMF_votes!$P$6:$P$18</c:f>
              <c:numCache>
                <c:formatCode>General</c:formatCode>
                <c:ptCount val="13"/>
                <c:pt idx="3" formatCode="0.0">
                  <c:v>16.5</c:v>
                </c:pt>
                <c:pt idx="4" formatCode="0.0">
                  <c:v>6.14</c:v>
                </c:pt>
                <c:pt idx="5" formatCode="0.0">
                  <c:v>6.08</c:v>
                </c:pt>
                <c:pt idx="6" formatCode="0.0">
                  <c:v>5.31</c:v>
                </c:pt>
                <c:pt idx="7" formatCode="0.0">
                  <c:v>4.03</c:v>
                </c:pt>
                <c:pt idx="8" formatCode="0.0">
                  <c:v>4.03</c:v>
                </c:pt>
                <c:pt idx="9" formatCode="0.0">
                  <c:v>3.02</c:v>
                </c:pt>
                <c:pt idx="10" formatCode="0.0">
                  <c:v>2.63</c:v>
                </c:pt>
                <c:pt idx="11" formatCode="0.0">
                  <c:v>2.59</c:v>
                </c:pt>
                <c:pt idx="12" formatCode="0.0">
                  <c:v>2.2200000000000002</c:v>
                </c:pt>
              </c:numCache>
            </c:numRef>
          </c:val>
          <c:extLst>
            <c:ext xmlns:c16="http://schemas.microsoft.com/office/drawing/2014/chart" uri="{C3380CC4-5D6E-409C-BE32-E72D297353CC}">
              <c16:uniqueId val="{00000001-F290-4AFC-B222-0C0D2A2CAE9A}"/>
            </c:ext>
          </c:extLst>
        </c:ser>
        <c:dLbls>
          <c:showLegendKey val="0"/>
          <c:showVal val="0"/>
          <c:showCatName val="0"/>
          <c:showSerName val="0"/>
          <c:showPercent val="0"/>
          <c:showBubbleSize val="0"/>
        </c:dLbls>
        <c:gapWidth val="219"/>
        <c:axId val="563517983"/>
        <c:axId val="563521343"/>
      </c:barChart>
      <c:lineChart>
        <c:grouping val="standard"/>
        <c:varyColors val="0"/>
        <c:ser>
          <c:idx val="3"/>
          <c:order val="3"/>
          <c:tx>
            <c:strRef>
              <c:f>IMF_votes!$S$5</c:f>
              <c:strCache>
                <c:ptCount val="1"/>
              </c:strCache>
            </c:strRef>
          </c:tx>
          <c:spPr>
            <a:ln w="19050" cap="rnd">
              <a:solidFill>
                <a:srgbClr val="FF0000"/>
              </a:solidFill>
              <a:prstDash val="dash"/>
              <a:round/>
            </a:ln>
            <a:effectLst/>
          </c:spPr>
          <c:marker>
            <c:symbol val="none"/>
          </c:marker>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IMF_votes!$S$6:$S$18</c:f>
              <c:numCache>
                <c:formatCode>General</c:formatCode>
                <c:ptCount val="13"/>
                <c:pt idx="0">
                  <c:v>15</c:v>
                </c:pt>
                <c:pt idx="1">
                  <c:v>15</c:v>
                </c:pt>
                <c:pt idx="2">
                  <c:v>15</c:v>
                </c:pt>
              </c:numCache>
            </c:numRef>
          </c:val>
          <c:smooth val="0"/>
          <c:extLst>
            <c:ext xmlns:c16="http://schemas.microsoft.com/office/drawing/2014/chart" uri="{C3380CC4-5D6E-409C-BE32-E72D297353CC}">
              <c16:uniqueId val="{00000002-F290-4AFC-B222-0C0D2A2CAE9A}"/>
            </c:ext>
          </c:extLst>
        </c:ser>
        <c:dLbls>
          <c:showLegendKey val="0"/>
          <c:showVal val="0"/>
          <c:showCatName val="0"/>
          <c:showSerName val="0"/>
          <c:showPercent val="0"/>
          <c:showBubbleSize val="0"/>
        </c:dLbls>
        <c:marker val="1"/>
        <c:smooth val="0"/>
        <c:axId val="1506476399"/>
        <c:axId val="1506478799"/>
      </c:lineChart>
      <c:lineChart>
        <c:grouping val="standard"/>
        <c:varyColors val="0"/>
        <c:ser>
          <c:idx val="2"/>
          <c:order val="2"/>
          <c:tx>
            <c:strRef>
              <c:f>IMF_votes!$R$5</c:f>
              <c:strCache>
                <c:ptCount val="1"/>
                <c:pt idx="0">
                  <c:v>Effective veto power*</c:v>
                </c:pt>
              </c:strCache>
            </c:strRef>
          </c:tx>
          <c:spPr>
            <a:ln w="19050" cap="rnd">
              <a:solidFill>
                <a:srgbClr val="FF0000"/>
              </a:solidFill>
              <a:prstDash val="dash"/>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3-F290-4AFC-B222-0C0D2A2CAE9A}"/>
                </c:ext>
              </c:extLst>
            </c:dLbl>
            <c:dLbl>
              <c:idx val="2"/>
              <c:delete val="1"/>
              <c:extLst>
                <c:ext xmlns:c15="http://schemas.microsoft.com/office/drawing/2012/chart" uri="{CE6537A1-D6FC-4f65-9D91-7224C49458BB}"/>
                <c:ext xmlns:c16="http://schemas.microsoft.com/office/drawing/2014/chart" uri="{C3380CC4-5D6E-409C-BE32-E72D297353CC}">
                  <c16:uniqueId val="{00000004-F290-4AFC-B222-0C0D2A2CAE9A}"/>
                </c:ext>
              </c:extLst>
            </c:dLbl>
            <c:dLbl>
              <c:idx val="3"/>
              <c:delete val="1"/>
              <c:extLst>
                <c:ext xmlns:c15="http://schemas.microsoft.com/office/drawing/2012/chart" uri="{CE6537A1-D6FC-4f65-9D91-7224C49458BB}"/>
                <c:ext xmlns:c16="http://schemas.microsoft.com/office/drawing/2014/chart" uri="{C3380CC4-5D6E-409C-BE32-E72D297353CC}">
                  <c16:uniqueId val="{00000005-F290-4AFC-B222-0C0D2A2CAE9A}"/>
                </c:ext>
              </c:extLst>
            </c:dLbl>
            <c:dLbl>
              <c:idx val="4"/>
              <c:delete val="1"/>
              <c:extLst>
                <c:ext xmlns:c15="http://schemas.microsoft.com/office/drawing/2012/chart" uri="{CE6537A1-D6FC-4f65-9D91-7224C49458BB}"/>
                <c:ext xmlns:c16="http://schemas.microsoft.com/office/drawing/2014/chart" uri="{C3380CC4-5D6E-409C-BE32-E72D297353CC}">
                  <c16:uniqueId val="{00000006-F290-4AFC-B222-0C0D2A2CAE9A}"/>
                </c:ext>
              </c:extLst>
            </c:dLbl>
            <c:dLbl>
              <c:idx val="5"/>
              <c:delete val="1"/>
              <c:extLst>
                <c:ext xmlns:c15="http://schemas.microsoft.com/office/drawing/2012/chart" uri="{CE6537A1-D6FC-4f65-9D91-7224C49458BB}"/>
                <c:ext xmlns:c16="http://schemas.microsoft.com/office/drawing/2014/chart" uri="{C3380CC4-5D6E-409C-BE32-E72D297353CC}">
                  <c16:uniqueId val="{00000007-F290-4AFC-B222-0C0D2A2CAE9A}"/>
                </c:ext>
              </c:extLst>
            </c:dLbl>
            <c:dLbl>
              <c:idx val="6"/>
              <c:delete val="1"/>
              <c:extLst>
                <c:ext xmlns:c15="http://schemas.microsoft.com/office/drawing/2012/chart" uri="{CE6537A1-D6FC-4f65-9D91-7224C49458BB}"/>
                <c:ext xmlns:c16="http://schemas.microsoft.com/office/drawing/2014/chart" uri="{C3380CC4-5D6E-409C-BE32-E72D297353CC}">
                  <c16:uniqueId val="{00000008-F290-4AFC-B222-0C0D2A2CAE9A}"/>
                </c:ext>
              </c:extLst>
            </c:dLbl>
            <c:dLbl>
              <c:idx val="7"/>
              <c:tx>
                <c:rich>
                  <a:bodyPr/>
                  <a:lstStyle/>
                  <a:p>
                    <a:fld id="{8802D191-508B-4D66-9C26-930D57F6D998}" type="SERIESNAME">
                      <a:rPr lang="en-US"/>
                      <a:pPr/>
                      <a:t>[SERIES NAME]</a:t>
                    </a:fld>
                    <a:r>
                      <a:rPr lang="en-US"/>
                      <a:t>*</a:t>
                    </a:r>
                  </a:p>
                </c:rich>
              </c:tx>
              <c:showLegendKey val="0"/>
              <c:showVal val="0"/>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290-4AFC-B222-0C0D2A2CAE9A}"/>
                </c:ext>
              </c:extLst>
            </c:dLbl>
            <c:dLbl>
              <c:idx val="8"/>
              <c:delete val="1"/>
              <c:extLst>
                <c:ext xmlns:c15="http://schemas.microsoft.com/office/drawing/2012/chart" uri="{CE6537A1-D6FC-4f65-9D91-7224C49458BB}"/>
                <c:ext xmlns:c16="http://schemas.microsoft.com/office/drawing/2014/chart" uri="{C3380CC4-5D6E-409C-BE32-E72D297353CC}">
                  <c16:uniqueId val="{0000000A-F290-4AFC-B222-0C0D2A2CAE9A}"/>
                </c:ext>
              </c:extLst>
            </c:dLbl>
            <c:dLbl>
              <c:idx val="9"/>
              <c:delete val="1"/>
              <c:extLst>
                <c:ext xmlns:c15="http://schemas.microsoft.com/office/drawing/2012/chart" uri="{CE6537A1-D6FC-4f65-9D91-7224C49458BB}"/>
                <c:ext xmlns:c16="http://schemas.microsoft.com/office/drawing/2014/chart" uri="{C3380CC4-5D6E-409C-BE32-E72D297353CC}">
                  <c16:uniqueId val="{0000000B-F290-4AFC-B222-0C0D2A2CAE9A}"/>
                </c:ext>
              </c:extLst>
            </c:dLbl>
            <c:dLbl>
              <c:idx val="10"/>
              <c:delete val="1"/>
              <c:extLst>
                <c:ext xmlns:c15="http://schemas.microsoft.com/office/drawing/2012/chart" uri="{CE6537A1-D6FC-4f65-9D91-7224C49458BB}"/>
                <c:ext xmlns:c16="http://schemas.microsoft.com/office/drawing/2014/chart" uri="{C3380CC4-5D6E-409C-BE32-E72D297353CC}">
                  <c16:uniqueId val="{0000000C-F290-4AFC-B222-0C0D2A2CAE9A}"/>
                </c:ext>
              </c:extLst>
            </c:dLbl>
            <c:dLbl>
              <c:idx val="11"/>
              <c:delete val="1"/>
              <c:extLst>
                <c:ext xmlns:c15="http://schemas.microsoft.com/office/drawing/2012/chart" uri="{CE6537A1-D6FC-4f65-9D91-7224C49458BB}"/>
                <c:ext xmlns:c16="http://schemas.microsoft.com/office/drawing/2014/chart" uri="{C3380CC4-5D6E-409C-BE32-E72D297353CC}">
                  <c16:uniqueId val="{0000000D-F290-4AFC-B222-0C0D2A2CAE9A}"/>
                </c:ext>
              </c:extLst>
            </c:dLbl>
            <c:dLbl>
              <c:idx val="12"/>
              <c:delete val="1"/>
              <c:extLst>
                <c:ext xmlns:c15="http://schemas.microsoft.com/office/drawing/2012/chart" uri="{CE6537A1-D6FC-4f65-9D91-7224C49458BB}"/>
                <c:ext xmlns:c16="http://schemas.microsoft.com/office/drawing/2014/chart" uri="{C3380CC4-5D6E-409C-BE32-E72D297353CC}">
                  <c16:uniqueId val="{0000000E-F290-4AFC-B222-0C0D2A2CAE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IMF_votes!$O$6:$O$18</c:f>
              <c:strCache>
                <c:ptCount val="13"/>
                <c:pt idx="0">
                  <c:v>Rest of the World</c:v>
                </c:pt>
                <c:pt idx="1">
                  <c:v>Asia-Pacific</c:v>
                </c:pt>
                <c:pt idx="3">
                  <c:v>United States</c:v>
                </c:pt>
                <c:pt idx="4">
                  <c:v>Japan</c:v>
                </c:pt>
                <c:pt idx="5">
                  <c:v>China</c:v>
                </c:pt>
                <c:pt idx="6">
                  <c:v>Germany</c:v>
                </c:pt>
                <c:pt idx="7">
                  <c:v>United Kingdom</c:v>
                </c:pt>
                <c:pt idx="8">
                  <c:v>France</c:v>
                </c:pt>
                <c:pt idx="9">
                  <c:v>Italy</c:v>
                </c:pt>
                <c:pt idx="10">
                  <c:v>India</c:v>
                </c:pt>
                <c:pt idx="11">
                  <c:v>Russian Federation</c:v>
                </c:pt>
                <c:pt idx="12">
                  <c:v>Canada</c:v>
                </c:pt>
              </c:strCache>
            </c:strRef>
          </c:cat>
          <c:val>
            <c:numRef>
              <c:f>IMF_votes!$R$6:$R$18</c:f>
              <c:numCache>
                <c:formatCode>General</c:formatCode>
                <c:ptCount val="13"/>
                <c:pt idx="2">
                  <c:v>15</c:v>
                </c:pt>
                <c:pt idx="3">
                  <c:v>15</c:v>
                </c:pt>
                <c:pt idx="4">
                  <c:v>15</c:v>
                </c:pt>
                <c:pt idx="5">
                  <c:v>15</c:v>
                </c:pt>
                <c:pt idx="6">
                  <c:v>15</c:v>
                </c:pt>
                <c:pt idx="7">
                  <c:v>15</c:v>
                </c:pt>
                <c:pt idx="8">
                  <c:v>15</c:v>
                </c:pt>
                <c:pt idx="9">
                  <c:v>15</c:v>
                </c:pt>
                <c:pt idx="10">
                  <c:v>15</c:v>
                </c:pt>
                <c:pt idx="11">
                  <c:v>15</c:v>
                </c:pt>
                <c:pt idx="12">
                  <c:v>15</c:v>
                </c:pt>
              </c:numCache>
            </c:numRef>
          </c:val>
          <c:smooth val="0"/>
          <c:extLst>
            <c:ext xmlns:c16="http://schemas.microsoft.com/office/drawing/2014/chart" uri="{C3380CC4-5D6E-409C-BE32-E72D297353CC}">
              <c16:uniqueId val="{0000000F-F290-4AFC-B222-0C0D2A2CAE9A}"/>
            </c:ext>
          </c:extLst>
        </c:ser>
        <c:dLbls>
          <c:showLegendKey val="0"/>
          <c:showVal val="0"/>
          <c:showCatName val="0"/>
          <c:showSerName val="0"/>
          <c:showPercent val="0"/>
          <c:showBubbleSize val="0"/>
        </c:dLbls>
        <c:marker val="1"/>
        <c:smooth val="0"/>
        <c:axId val="563517983"/>
        <c:axId val="563521343"/>
      </c:lineChart>
      <c:catAx>
        <c:axId val="150647639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6478799"/>
        <c:crosses val="autoZero"/>
        <c:auto val="1"/>
        <c:lblAlgn val="ctr"/>
        <c:lblOffset val="100"/>
        <c:noMultiLvlLbl val="0"/>
      </c:catAx>
      <c:valAx>
        <c:axId val="1506478799"/>
        <c:scaling>
          <c:orientation val="minMax"/>
          <c:max val="1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6476399"/>
        <c:crosses val="autoZero"/>
        <c:crossBetween val="between"/>
        <c:majorUnit val="25"/>
      </c:valAx>
      <c:valAx>
        <c:axId val="563521343"/>
        <c:scaling>
          <c:orientation val="minMax"/>
          <c:max val="20"/>
        </c:scaling>
        <c:delete val="0"/>
        <c:axPos val="r"/>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3517983"/>
        <c:crosses val="max"/>
        <c:crossBetween val="between"/>
        <c:majorUnit val="5"/>
      </c:valAx>
      <c:catAx>
        <c:axId val="563517983"/>
        <c:scaling>
          <c:orientation val="minMax"/>
        </c:scaling>
        <c:delete val="1"/>
        <c:axPos val="b"/>
        <c:numFmt formatCode="General" sourceLinked="1"/>
        <c:majorTickMark val="out"/>
        <c:minorTickMark val="none"/>
        <c:tickLblPos val="nextTo"/>
        <c:crossAx val="563521343"/>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rot="-5400000" vert="horz"/>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2060"/>
            </a:solidFill>
            <a:ln>
              <a:noFill/>
            </a:ln>
            <a:effectLst/>
          </c:spPr>
          <c:invertIfNegative val="0"/>
          <c:cat>
            <c:strRef>
              <c:f>AIIB!$Q$8:$Q$22</c:f>
              <c:strCache>
                <c:ptCount val="15"/>
                <c:pt idx="0">
                  <c:v>China</c:v>
                </c:pt>
                <c:pt idx="1">
                  <c:v>India</c:v>
                </c:pt>
                <c:pt idx="2">
                  <c:v>Russia</c:v>
                </c:pt>
                <c:pt idx="3">
                  <c:v>Korea</c:v>
                </c:pt>
                <c:pt idx="4">
                  <c:v>Australia</c:v>
                </c:pt>
                <c:pt idx="5">
                  <c:v>Indonesia</c:v>
                </c:pt>
                <c:pt idx="6">
                  <c:v>Türkiye</c:v>
                </c:pt>
                <c:pt idx="7">
                  <c:v>Saudi Arabia</c:v>
                </c:pt>
                <c:pt idx="8">
                  <c:v>Thailand</c:v>
                </c:pt>
                <c:pt idx="9">
                  <c:v>United Arab Emirates</c:v>
                </c:pt>
                <c:pt idx="10">
                  <c:v>Pakistan</c:v>
                </c:pt>
                <c:pt idx="11">
                  <c:v>Philippines</c:v>
                </c:pt>
                <c:pt idx="12">
                  <c:v>Iran</c:v>
                </c:pt>
                <c:pt idx="13">
                  <c:v>Israel</c:v>
                </c:pt>
                <c:pt idx="14">
                  <c:v>Kazakhstan</c:v>
                </c:pt>
              </c:strCache>
            </c:strRef>
          </c:cat>
          <c:val>
            <c:numRef>
              <c:f>AIIB!$R$8:$R$22</c:f>
              <c:numCache>
                <c:formatCode>_-* #,##0_-;\-* #,##0_-;_-* "-"??_-;_-@_-</c:formatCode>
                <c:ptCount val="15"/>
                <c:pt idx="0">
                  <c:v>26.548300000000001</c:v>
                </c:pt>
                <c:pt idx="1">
                  <c:v>7.5872999999999999</c:v>
                </c:pt>
                <c:pt idx="2">
                  <c:v>5.9659000000000004</c:v>
                </c:pt>
                <c:pt idx="3">
                  <c:v>3.4887000000000001</c:v>
                </c:pt>
                <c:pt idx="4">
                  <c:v>3.4466999999999999</c:v>
                </c:pt>
                <c:pt idx="5">
                  <c:v>3.1539999999999999</c:v>
                </c:pt>
                <c:pt idx="6">
                  <c:v>2.4891999999999999</c:v>
                </c:pt>
                <c:pt idx="7">
                  <c:v>2.4314</c:v>
                </c:pt>
                <c:pt idx="8">
                  <c:v>1.4421999999999999</c:v>
                </c:pt>
                <c:pt idx="9">
                  <c:v>1.2281</c:v>
                </c:pt>
                <c:pt idx="10">
                  <c:v>1.0938000000000001</c:v>
                </c:pt>
                <c:pt idx="11">
                  <c:v>1.0450999999999999</c:v>
                </c:pt>
                <c:pt idx="12">
                  <c:v>1.018</c:v>
                </c:pt>
                <c:pt idx="13">
                  <c:v>0.84219999999999984</c:v>
                </c:pt>
                <c:pt idx="14">
                  <c:v>0.82389999999999997</c:v>
                </c:pt>
              </c:numCache>
            </c:numRef>
          </c:val>
          <c:extLst>
            <c:ext xmlns:c16="http://schemas.microsoft.com/office/drawing/2014/chart" uri="{C3380CC4-5D6E-409C-BE32-E72D297353CC}">
              <c16:uniqueId val="{00000000-5ACD-4F75-A0DC-75DB1CE884DE}"/>
            </c:ext>
          </c:extLst>
        </c:ser>
        <c:dLbls>
          <c:showLegendKey val="0"/>
          <c:showVal val="0"/>
          <c:showCatName val="0"/>
          <c:showSerName val="0"/>
          <c:showPercent val="0"/>
          <c:showBubbleSize val="0"/>
        </c:dLbls>
        <c:gapWidth val="219"/>
        <c:axId val="210261743"/>
        <c:axId val="210249263"/>
      </c:barChart>
      <c:lineChart>
        <c:grouping val="standard"/>
        <c:varyColors val="0"/>
        <c:ser>
          <c:idx val="1"/>
          <c:order val="1"/>
          <c:tx>
            <c:strRef>
              <c:f>AIIB!$S$5</c:f>
              <c:strCache>
                <c:ptCount val="1"/>
                <c:pt idx="0">
                  <c:v>Effective veto power*</c:v>
                </c:pt>
              </c:strCache>
            </c:strRef>
          </c:tx>
          <c:spPr>
            <a:ln w="19050" cap="rnd">
              <a:solidFill>
                <a:srgbClr val="FF0000"/>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1-5ACD-4F75-A0DC-75DB1CE884DE}"/>
                </c:ext>
              </c:extLst>
            </c:dLbl>
            <c:dLbl>
              <c:idx val="1"/>
              <c:delete val="1"/>
              <c:extLst>
                <c:ext xmlns:c15="http://schemas.microsoft.com/office/drawing/2012/chart" uri="{CE6537A1-D6FC-4f65-9D91-7224C49458BB}"/>
                <c:ext xmlns:c16="http://schemas.microsoft.com/office/drawing/2014/chart" uri="{C3380CC4-5D6E-409C-BE32-E72D297353CC}">
                  <c16:uniqueId val="{00000002-5ACD-4F75-A0DC-75DB1CE884DE}"/>
                </c:ext>
              </c:extLst>
            </c:dLbl>
            <c:dLbl>
              <c:idx val="2"/>
              <c:delete val="1"/>
              <c:extLst>
                <c:ext xmlns:c15="http://schemas.microsoft.com/office/drawing/2012/chart" uri="{CE6537A1-D6FC-4f65-9D91-7224C49458BB}"/>
                <c:ext xmlns:c16="http://schemas.microsoft.com/office/drawing/2014/chart" uri="{C3380CC4-5D6E-409C-BE32-E72D297353CC}">
                  <c16:uniqueId val="{00000003-5ACD-4F75-A0DC-75DB1CE884DE}"/>
                </c:ext>
              </c:extLst>
            </c:dLbl>
            <c:dLbl>
              <c:idx val="3"/>
              <c:delete val="1"/>
              <c:extLst>
                <c:ext xmlns:c15="http://schemas.microsoft.com/office/drawing/2012/chart" uri="{CE6537A1-D6FC-4f65-9D91-7224C49458BB}"/>
                <c:ext xmlns:c16="http://schemas.microsoft.com/office/drawing/2014/chart" uri="{C3380CC4-5D6E-409C-BE32-E72D297353CC}">
                  <c16:uniqueId val="{00000004-5ACD-4F75-A0DC-75DB1CE884DE}"/>
                </c:ext>
              </c:extLst>
            </c:dLbl>
            <c:dLbl>
              <c:idx val="4"/>
              <c:delete val="1"/>
              <c:extLst>
                <c:ext xmlns:c15="http://schemas.microsoft.com/office/drawing/2012/chart" uri="{CE6537A1-D6FC-4f65-9D91-7224C49458BB}"/>
                <c:ext xmlns:c16="http://schemas.microsoft.com/office/drawing/2014/chart" uri="{C3380CC4-5D6E-409C-BE32-E72D297353CC}">
                  <c16:uniqueId val="{00000005-5ACD-4F75-A0DC-75DB1CE884DE}"/>
                </c:ext>
              </c:extLst>
            </c:dLbl>
            <c:dLbl>
              <c:idx val="5"/>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5ACD-4F75-A0DC-75DB1CE884DE}"/>
                </c:ext>
              </c:extLst>
            </c:dLbl>
            <c:dLbl>
              <c:idx val="6"/>
              <c:delete val="1"/>
              <c:extLst>
                <c:ext xmlns:c15="http://schemas.microsoft.com/office/drawing/2012/chart" uri="{CE6537A1-D6FC-4f65-9D91-7224C49458BB}"/>
                <c:ext xmlns:c16="http://schemas.microsoft.com/office/drawing/2014/chart" uri="{C3380CC4-5D6E-409C-BE32-E72D297353CC}">
                  <c16:uniqueId val="{00000007-5ACD-4F75-A0DC-75DB1CE884DE}"/>
                </c:ext>
              </c:extLst>
            </c:dLbl>
            <c:dLbl>
              <c:idx val="7"/>
              <c:delete val="1"/>
              <c:extLst>
                <c:ext xmlns:c15="http://schemas.microsoft.com/office/drawing/2012/chart" uri="{CE6537A1-D6FC-4f65-9D91-7224C49458BB}"/>
                <c:ext xmlns:c16="http://schemas.microsoft.com/office/drawing/2014/chart" uri="{C3380CC4-5D6E-409C-BE32-E72D297353CC}">
                  <c16:uniqueId val="{00000008-5ACD-4F75-A0DC-75DB1CE884DE}"/>
                </c:ext>
              </c:extLst>
            </c:dLbl>
            <c:dLbl>
              <c:idx val="8"/>
              <c:delete val="1"/>
              <c:extLst>
                <c:ext xmlns:c15="http://schemas.microsoft.com/office/drawing/2012/chart" uri="{CE6537A1-D6FC-4f65-9D91-7224C49458BB}"/>
                <c:ext xmlns:c16="http://schemas.microsoft.com/office/drawing/2014/chart" uri="{C3380CC4-5D6E-409C-BE32-E72D297353CC}">
                  <c16:uniqueId val="{00000009-5ACD-4F75-A0DC-75DB1CE884DE}"/>
                </c:ext>
              </c:extLst>
            </c:dLbl>
            <c:dLbl>
              <c:idx val="9"/>
              <c:delete val="1"/>
              <c:extLst>
                <c:ext xmlns:c15="http://schemas.microsoft.com/office/drawing/2012/chart" uri="{CE6537A1-D6FC-4f65-9D91-7224C49458BB}"/>
                <c:ext xmlns:c16="http://schemas.microsoft.com/office/drawing/2014/chart" uri="{C3380CC4-5D6E-409C-BE32-E72D297353CC}">
                  <c16:uniqueId val="{0000000A-5ACD-4F75-A0DC-75DB1CE884DE}"/>
                </c:ext>
              </c:extLst>
            </c:dLbl>
            <c:dLbl>
              <c:idx val="10"/>
              <c:delete val="1"/>
              <c:extLst>
                <c:ext xmlns:c15="http://schemas.microsoft.com/office/drawing/2012/chart" uri="{CE6537A1-D6FC-4f65-9D91-7224C49458BB}"/>
                <c:ext xmlns:c16="http://schemas.microsoft.com/office/drawing/2014/chart" uri="{C3380CC4-5D6E-409C-BE32-E72D297353CC}">
                  <c16:uniqueId val="{0000000B-5ACD-4F75-A0DC-75DB1CE884DE}"/>
                </c:ext>
              </c:extLst>
            </c:dLbl>
            <c:dLbl>
              <c:idx val="11"/>
              <c:delete val="1"/>
              <c:extLst>
                <c:ext xmlns:c15="http://schemas.microsoft.com/office/drawing/2012/chart" uri="{CE6537A1-D6FC-4f65-9D91-7224C49458BB}"/>
                <c:ext xmlns:c16="http://schemas.microsoft.com/office/drawing/2014/chart" uri="{C3380CC4-5D6E-409C-BE32-E72D297353CC}">
                  <c16:uniqueId val="{0000000C-5ACD-4F75-A0DC-75DB1CE884DE}"/>
                </c:ext>
              </c:extLst>
            </c:dLbl>
            <c:dLbl>
              <c:idx val="12"/>
              <c:delete val="1"/>
              <c:extLst>
                <c:ext xmlns:c15="http://schemas.microsoft.com/office/drawing/2012/chart" uri="{CE6537A1-D6FC-4f65-9D91-7224C49458BB}"/>
                <c:ext xmlns:c16="http://schemas.microsoft.com/office/drawing/2014/chart" uri="{C3380CC4-5D6E-409C-BE32-E72D297353CC}">
                  <c16:uniqueId val="{0000000D-5ACD-4F75-A0DC-75DB1CE884DE}"/>
                </c:ext>
              </c:extLst>
            </c:dLbl>
            <c:dLbl>
              <c:idx val="13"/>
              <c:delete val="1"/>
              <c:extLst>
                <c:ext xmlns:c15="http://schemas.microsoft.com/office/drawing/2012/chart" uri="{CE6537A1-D6FC-4f65-9D91-7224C49458BB}"/>
                <c:ext xmlns:c16="http://schemas.microsoft.com/office/drawing/2014/chart" uri="{C3380CC4-5D6E-409C-BE32-E72D297353CC}">
                  <c16:uniqueId val="{0000000E-5ACD-4F75-A0DC-75DB1CE884DE}"/>
                </c:ext>
              </c:extLst>
            </c:dLbl>
            <c:dLbl>
              <c:idx val="14"/>
              <c:delete val="1"/>
              <c:extLst>
                <c:ext xmlns:c15="http://schemas.microsoft.com/office/drawing/2012/chart" uri="{CE6537A1-D6FC-4f65-9D91-7224C49458BB}"/>
                <c:ext xmlns:c16="http://schemas.microsoft.com/office/drawing/2014/chart" uri="{C3380CC4-5D6E-409C-BE32-E72D297353CC}">
                  <c16:uniqueId val="{0000000F-5ACD-4F75-A0DC-75DB1CE884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AIIB!$Q$8:$Q$22</c:f>
              <c:strCache>
                <c:ptCount val="15"/>
                <c:pt idx="0">
                  <c:v>China</c:v>
                </c:pt>
                <c:pt idx="1">
                  <c:v>India</c:v>
                </c:pt>
                <c:pt idx="2">
                  <c:v>Russia</c:v>
                </c:pt>
                <c:pt idx="3">
                  <c:v>Korea</c:v>
                </c:pt>
                <c:pt idx="4">
                  <c:v>Australia</c:v>
                </c:pt>
                <c:pt idx="5">
                  <c:v>Indonesia</c:v>
                </c:pt>
                <c:pt idx="6">
                  <c:v>Türkiye</c:v>
                </c:pt>
                <c:pt idx="7">
                  <c:v>Saudi Arabia</c:v>
                </c:pt>
                <c:pt idx="8">
                  <c:v>Thailand</c:v>
                </c:pt>
                <c:pt idx="9">
                  <c:v>United Arab Emirates</c:v>
                </c:pt>
                <c:pt idx="10">
                  <c:v>Pakistan</c:v>
                </c:pt>
                <c:pt idx="11">
                  <c:v>Philippines</c:v>
                </c:pt>
                <c:pt idx="12">
                  <c:v>Iran</c:v>
                </c:pt>
                <c:pt idx="13">
                  <c:v>Israel</c:v>
                </c:pt>
                <c:pt idx="14">
                  <c:v>Kazakhstan</c:v>
                </c:pt>
              </c:strCache>
            </c:strRef>
          </c:cat>
          <c:val>
            <c:numRef>
              <c:f>AIIB!$S$8:$S$22</c:f>
              <c:numCache>
                <c:formatCode>General</c:formatCode>
                <c:ptCount val="15"/>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numCache>
            </c:numRef>
          </c:val>
          <c:smooth val="0"/>
          <c:extLst>
            <c:ext xmlns:c16="http://schemas.microsoft.com/office/drawing/2014/chart" uri="{C3380CC4-5D6E-409C-BE32-E72D297353CC}">
              <c16:uniqueId val="{00000010-5ACD-4F75-A0DC-75DB1CE884DE}"/>
            </c:ext>
          </c:extLst>
        </c:ser>
        <c:dLbls>
          <c:showLegendKey val="0"/>
          <c:showVal val="0"/>
          <c:showCatName val="0"/>
          <c:showSerName val="0"/>
          <c:showPercent val="0"/>
          <c:showBubbleSize val="0"/>
        </c:dLbls>
        <c:marker val="1"/>
        <c:smooth val="0"/>
        <c:axId val="210261743"/>
        <c:axId val="210249263"/>
      </c:lineChart>
      <c:catAx>
        <c:axId val="21026174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249263"/>
        <c:crosses val="autoZero"/>
        <c:auto val="1"/>
        <c:lblAlgn val="ctr"/>
        <c:lblOffset val="100"/>
        <c:noMultiLvlLbl val="0"/>
      </c:catAx>
      <c:valAx>
        <c:axId val="210249263"/>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261743"/>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ADB!$M$5</c:f>
              <c:strCache>
                <c:ptCount val="1"/>
                <c:pt idx="0">
                  <c:v>Voting Power</c:v>
                </c:pt>
              </c:strCache>
            </c:strRef>
          </c:tx>
          <c:spPr>
            <a:solidFill>
              <a:srgbClr val="002060"/>
            </a:solidFill>
            <a:ln>
              <a:noFill/>
            </a:ln>
            <a:effectLst/>
          </c:spPr>
          <c:invertIfNegative val="0"/>
          <c:dLbls>
            <c:dLbl>
              <c:idx val="0"/>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0-7AED-4386-B7BE-7866889A9371}"/>
                </c:ext>
              </c:extLst>
            </c:dLbl>
            <c:dLbl>
              <c:idx val="1"/>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1-7AED-4386-B7BE-7866889A9371}"/>
                </c:ext>
              </c:extLst>
            </c:dLbl>
            <c:dLbl>
              <c:idx val="2"/>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2-7AED-4386-B7BE-7866889A9371}"/>
                </c:ext>
              </c:extLst>
            </c:dLbl>
            <c:dLbl>
              <c:idx val="3"/>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3-7AED-4386-B7BE-7866889A9371}"/>
                </c:ext>
              </c:extLst>
            </c:dLbl>
            <c:dLbl>
              <c:idx val="4"/>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4-7AED-4386-B7BE-7866889A9371}"/>
                </c:ext>
              </c:extLst>
            </c:dLbl>
            <c:dLbl>
              <c:idx val="5"/>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AED-4386-B7BE-7866889A9371}"/>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ADB!$L$6:$L$20</c:f>
              <c:strCache>
                <c:ptCount val="15"/>
                <c:pt idx="0">
                  <c:v>Japan</c:v>
                </c:pt>
                <c:pt idx="1">
                  <c:v>United States</c:v>
                </c:pt>
                <c:pt idx="2">
                  <c:v>China</c:v>
                </c:pt>
                <c:pt idx="3">
                  <c:v>India</c:v>
                </c:pt>
                <c:pt idx="4">
                  <c:v>Australia</c:v>
                </c:pt>
                <c:pt idx="5">
                  <c:v>Indonesia</c:v>
                </c:pt>
                <c:pt idx="6">
                  <c:v>Canada</c:v>
                </c:pt>
                <c:pt idx="7">
                  <c:v>Korea, Republic of</c:v>
                </c:pt>
                <c:pt idx="8">
                  <c:v>Germany</c:v>
                </c:pt>
                <c:pt idx="9">
                  <c:v>Malaysia</c:v>
                </c:pt>
                <c:pt idx="10">
                  <c:v>Philippines</c:v>
                </c:pt>
                <c:pt idx="11">
                  <c:v>France</c:v>
                </c:pt>
                <c:pt idx="12">
                  <c:v>Pakistan</c:v>
                </c:pt>
                <c:pt idx="13">
                  <c:v>United Kingdom</c:v>
                </c:pt>
                <c:pt idx="14">
                  <c:v>Italy</c:v>
                </c:pt>
              </c:strCache>
            </c:strRef>
          </c:cat>
          <c:val>
            <c:numRef>
              <c:f>ADB!$M$6:$M$20</c:f>
              <c:numCache>
                <c:formatCode>0.0</c:formatCode>
                <c:ptCount val="15"/>
                <c:pt idx="0">
                  <c:v>12.750999999999999</c:v>
                </c:pt>
                <c:pt idx="1">
                  <c:v>12.750999999999999</c:v>
                </c:pt>
                <c:pt idx="2">
                  <c:v>5.4370000000000003</c:v>
                </c:pt>
                <c:pt idx="3">
                  <c:v>5.3470000000000004</c:v>
                </c:pt>
                <c:pt idx="4">
                  <c:v>4.9130000000000003</c:v>
                </c:pt>
                <c:pt idx="5">
                  <c:v>4.641</c:v>
                </c:pt>
                <c:pt idx="6">
                  <c:v>4.4690000000000003</c:v>
                </c:pt>
                <c:pt idx="7">
                  <c:v>4.3150000000000004</c:v>
                </c:pt>
                <c:pt idx="8">
                  <c:v>3.7469999999999999</c:v>
                </c:pt>
                <c:pt idx="9">
                  <c:v>2.468</c:v>
                </c:pt>
                <c:pt idx="10">
                  <c:v>2.1960000000000002</c:v>
                </c:pt>
                <c:pt idx="11">
                  <c:v>2.1520000000000001</c:v>
                </c:pt>
                <c:pt idx="12">
                  <c:v>2.0329999999999999</c:v>
                </c:pt>
                <c:pt idx="13">
                  <c:v>1.9239999999999999</c:v>
                </c:pt>
                <c:pt idx="14">
                  <c:v>1.7370000000000001</c:v>
                </c:pt>
              </c:numCache>
            </c:numRef>
          </c:val>
          <c:extLst>
            <c:ext xmlns:c16="http://schemas.microsoft.com/office/drawing/2014/chart" uri="{C3380CC4-5D6E-409C-BE32-E72D297353CC}">
              <c16:uniqueId val="{00000006-7AED-4386-B7BE-7866889A9371}"/>
            </c:ext>
          </c:extLst>
        </c:ser>
        <c:dLbls>
          <c:showLegendKey val="0"/>
          <c:showVal val="0"/>
          <c:showCatName val="0"/>
          <c:showSerName val="0"/>
          <c:showPercent val="0"/>
          <c:showBubbleSize val="0"/>
        </c:dLbls>
        <c:gapWidth val="219"/>
        <c:axId val="210261743"/>
        <c:axId val="210249263"/>
      </c:barChart>
      <c:lineChart>
        <c:grouping val="standard"/>
        <c:varyColors val="0"/>
        <c:ser>
          <c:idx val="1"/>
          <c:order val="1"/>
          <c:tx>
            <c:strRef>
              <c:f>ADB!$N$5</c:f>
              <c:strCache>
                <c:ptCount val="1"/>
                <c:pt idx="0">
                  <c:v>Effective veto power*</c:v>
                </c:pt>
              </c:strCache>
            </c:strRef>
          </c:tx>
          <c:spPr>
            <a:ln w="19050" cap="rnd">
              <a:solidFill>
                <a:srgbClr val="FF0000"/>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7-7AED-4386-B7BE-7866889A9371}"/>
                </c:ext>
              </c:extLst>
            </c:dLbl>
            <c:dLbl>
              <c:idx val="1"/>
              <c:delete val="1"/>
              <c:extLst>
                <c:ext xmlns:c15="http://schemas.microsoft.com/office/drawing/2012/chart" uri="{CE6537A1-D6FC-4f65-9D91-7224C49458BB}"/>
                <c:ext xmlns:c16="http://schemas.microsoft.com/office/drawing/2014/chart" uri="{C3380CC4-5D6E-409C-BE32-E72D297353CC}">
                  <c16:uniqueId val="{00000008-7AED-4386-B7BE-7866889A9371}"/>
                </c:ext>
              </c:extLst>
            </c:dLbl>
            <c:dLbl>
              <c:idx val="2"/>
              <c:delete val="1"/>
              <c:extLst>
                <c:ext xmlns:c15="http://schemas.microsoft.com/office/drawing/2012/chart" uri="{CE6537A1-D6FC-4f65-9D91-7224C49458BB}"/>
                <c:ext xmlns:c16="http://schemas.microsoft.com/office/drawing/2014/chart" uri="{C3380CC4-5D6E-409C-BE32-E72D297353CC}">
                  <c16:uniqueId val="{00000009-7AED-4386-B7BE-7866889A9371}"/>
                </c:ext>
              </c:extLst>
            </c:dLbl>
            <c:dLbl>
              <c:idx val="3"/>
              <c:delete val="1"/>
              <c:extLst>
                <c:ext xmlns:c15="http://schemas.microsoft.com/office/drawing/2012/chart" uri="{CE6537A1-D6FC-4f65-9D91-7224C49458BB}"/>
                <c:ext xmlns:c16="http://schemas.microsoft.com/office/drawing/2014/chart" uri="{C3380CC4-5D6E-409C-BE32-E72D297353CC}">
                  <c16:uniqueId val="{0000000A-7AED-4386-B7BE-7866889A9371}"/>
                </c:ext>
              </c:extLst>
            </c:dLbl>
            <c:dLbl>
              <c:idx val="4"/>
              <c:delete val="1"/>
              <c:extLst>
                <c:ext xmlns:c15="http://schemas.microsoft.com/office/drawing/2012/chart" uri="{CE6537A1-D6FC-4f65-9D91-7224C49458BB}"/>
                <c:ext xmlns:c16="http://schemas.microsoft.com/office/drawing/2014/chart" uri="{C3380CC4-5D6E-409C-BE32-E72D297353CC}">
                  <c16:uniqueId val="{0000000B-7AED-4386-B7BE-7866889A9371}"/>
                </c:ext>
              </c:extLst>
            </c:dLbl>
            <c:dLbl>
              <c:idx val="5"/>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C-7AED-4386-B7BE-7866889A9371}"/>
                </c:ext>
              </c:extLst>
            </c:dLbl>
            <c:dLbl>
              <c:idx val="6"/>
              <c:delete val="1"/>
              <c:extLst>
                <c:ext xmlns:c15="http://schemas.microsoft.com/office/drawing/2012/chart" uri="{CE6537A1-D6FC-4f65-9D91-7224C49458BB}"/>
                <c:ext xmlns:c16="http://schemas.microsoft.com/office/drawing/2014/chart" uri="{C3380CC4-5D6E-409C-BE32-E72D297353CC}">
                  <c16:uniqueId val="{0000000D-7AED-4386-B7BE-7866889A9371}"/>
                </c:ext>
              </c:extLst>
            </c:dLbl>
            <c:dLbl>
              <c:idx val="7"/>
              <c:delete val="1"/>
              <c:extLst>
                <c:ext xmlns:c15="http://schemas.microsoft.com/office/drawing/2012/chart" uri="{CE6537A1-D6FC-4f65-9D91-7224C49458BB}"/>
                <c:ext xmlns:c16="http://schemas.microsoft.com/office/drawing/2014/chart" uri="{C3380CC4-5D6E-409C-BE32-E72D297353CC}">
                  <c16:uniqueId val="{0000000E-7AED-4386-B7BE-7866889A9371}"/>
                </c:ext>
              </c:extLst>
            </c:dLbl>
            <c:dLbl>
              <c:idx val="8"/>
              <c:delete val="1"/>
              <c:extLst>
                <c:ext xmlns:c15="http://schemas.microsoft.com/office/drawing/2012/chart" uri="{CE6537A1-D6FC-4f65-9D91-7224C49458BB}"/>
                <c:ext xmlns:c16="http://schemas.microsoft.com/office/drawing/2014/chart" uri="{C3380CC4-5D6E-409C-BE32-E72D297353CC}">
                  <c16:uniqueId val="{0000000F-7AED-4386-B7BE-7866889A9371}"/>
                </c:ext>
              </c:extLst>
            </c:dLbl>
            <c:dLbl>
              <c:idx val="9"/>
              <c:delete val="1"/>
              <c:extLst>
                <c:ext xmlns:c15="http://schemas.microsoft.com/office/drawing/2012/chart" uri="{CE6537A1-D6FC-4f65-9D91-7224C49458BB}"/>
                <c:ext xmlns:c16="http://schemas.microsoft.com/office/drawing/2014/chart" uri="{C3380CC4-5D6E-409C-BE32-E72D297353CC}">
                  <c16:uniqueId val="{00000010-7AED-4386-B7BE-7866889A9371}"/>
                </c:ext>
              </c:extLst>
            </c:dLbl>
            <c:dLbl>
              <c:idx val="10"/>
              <c:delete val="1"/>
              <c:extLst>
                <c:ext xmlns:c15="http://schemas.microsoft.com/office/drawing/2012/chart" uri="{CE6537A1-D6FC-4f65-9D91-7224C49458BB}"/>
                <c:ext xmlns:c16="http://schemas.microsoft.com/office/drawing/2014/chart" uri="{C3380CC4-5D6E-409C-BE32-E72D297353CC}">
                  <c16:uniqueId val="{00000011-7AED-4386-B7BE-7866889A9371}"/>
                </c:ext>
              </c:extLst>
            </c:dLbl>
            <c:dLbl>
              <c:idx val="11"/>
              <c:delete val="1"/>
              <c:extLst>
                <c:ext xmlns:c15="http://schemas.microsoft.com/office/drawing/2012/chart" uri="{CE6537A1-D6FC-4f65-9D91-7224C49458BB}"/>
                <c:ext xmlns:c16="http://schemas.microsoft.com/office/drawing/2014/chart" uri="{C3380CC4-5D6E-409C-BE32-E72D297353CC}">
                  <c16:uniqueId val="{00000012-7AED-4386-B7BE-7866889A9371}"/>
                </c:ext>
              </c:extLst>
            </c:dLbl>
            <c:dLbl>
              <c:idx val="12"/>
              <c:delete val="1"/>
              <c:extLst>
                <c:ext xmlns:c15="http://schemas.microsoft.com/office/drawing/2012/chart" uri="{CE6537A1-D6FC-4f65-9D91-7224C49458BB}"/>
                <c:ext xmlns:c16="http://schemas.microsoft.com/office/drawing/2014/chart" uri="{C3380CC4-5D6E-409C-BE32-E72D297353CC}">
                  <c16:uniqueId val="{00000013-7AED-4386-B7BE-7866889A9371}"/>
                </c:ext>
              </c:extLst>
            </c:dLbl>
            <c:dLbl>
              <c:idx val="13"/>
              <c:delete val="1"/>
              <c:extLst>
                <c:ext xmlns:c15="http://schemas.microsoft.com/office/drawing/2012/chart" uri="{CE6537A1-D6FC-4f65-9D91-7224C49458BB}"/>
                <c:ext xmlns:c16="http://schemas.microsoft.com/office/drawing/2014/chart" uri="{C3380CC4-5D6E-409C-BE32-E72D297353CC}">
                  <c16:uniqueId val="{00000014-7AED-4386-B7BE-7866889A9371}"/>
                </c:ext>
              </c:extLst>
            </c:dLbl>
            <c:dLbl>
              <c:idx val="14"/>
              <c:delete val="1"/>
              <c:extLst>
                <c:ext xmlns:c15="http://schemas.microsoft.com/office/drawing/2012/chart" uri="{CE6537A1-D6FC-4f65-9D91-7224C49458BB}"/>
                <c:ext xmlns:c16="http://schemas.microsoft.com/office/drawing/2014/chart" uri="{C3380CC4-5D6E-409C-BE32-E72D297353CC}">
                  <c16:uniqueId val="{00000015-7AED-4386-B7BE-7866889A9371}"/>
                </c:ext>
              </c:extLst>
            </c:dLbl>
            <c:spPr>
              <a:noFill/>
              <a:ln>
                <a:noFill/>
              </a:ln>
              <a:effectLst/>
            </c:spPr>
            <c:txPr>
              <a:bodyPr rot="0" vert="horz"/>
              <a:lstStyle/>
              <a:p>
                <a:pPr>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ADB!$L$6:$L$20</c:f>
              <c:strCache>
                <c:ptCount val="15"/>
                <c:pt idx="0">
                  <c:v>Japan</c:v>
                </c:pt>
                <c:pt idx="1">
                  <c:v>United States</c:v>
                </c:pt>
                <c:pt idx="2">
                  <c:v>China</c:v>
                </c:pt>
                <c:pt idx="3">
                  <c:v>India</c:v>
                </c:pt>
                <c:pt idx="4">
                  <c:v>Australia</c:v>
                </c:pt>
                <c:pt idx="5">
                  <c:v>Indonesia</c:v>
                </c:pt>
                <c:pt idx="6">
                  <c:v>Canada</c:v>
                </c:pt>
                <c:pt idx="7">
                  <c:v>Korea, Republic of</c:v>
                </c:pt>
                <c:pt idx="8">
                  <c:v>Germany</c:v>
                </c:pt>
                <c:pt idx="9">
                  <c:v>Malaysia</c:v>
                </c:pt>
                <c:pt idx="10">
                  <c:v>Philippines</c:v>
                </c:pt>
                <c:pt idx="11">
                  <c:v>France</c:v>
                </c:pt>
                <c:pt idx="12">
                  <c:v>Pakistan</c:v>
                </c:pt>
                <c:pt idx="13">
                  <c:v>United Kingdom</c:v>
                </c:pt>
                <c:pt idx="14">
                  <c:v>Italy</c:v>
                </c:pt>
              </c:strCache>
            </c:strRef>
          </c:cat>
          <c:val>
            <c:numRef>
              <c:f>ADB!$N$6:$N$20</c:f>
              <c:numCache>
                <c:formatCode>General</c:formatCode>
                <c:ptCount val="15"/>
                <c:pt idx="0">
                  <c:v>25</c:v>
                </c:pt>
                <c:pt idx="1">
                  <c:v>25</c:v>
                </c:pt>
                <c:pt idx="2">
                  <c:v>25</c:v>
                </c:pt>
                <c:pt idx="3">
                  <c:v>25</c:v>
                </c:pt>
                <c:pt idx="4">
                  <c:v>25</c:v>
                </c:pt>
                <c:pt idx="5">
                  <c:v>25</c:v>
                </c:pt>
                <c:pt idx="6">
                  <c:v>25</c:v>
                </c:pt>
                <c:pt idx="7">
                  <c:v>25</c:v>
                </c:pt>
                <c:pt idx="8">
                  <c:v>25</c:v>
                </c:pt>
                <c:pt idx="9">
                  <c:v>25</c:v>
                </c:pt>
                <c:pt idx="10">
                  <c:v>25</c:v>
                </c:pt>
                <c:pt idx="11">
                  <c:v>25</c:v>
                </c:pt>
                <c:pt idx="12">
                  <c:v>25</c:v>
                </c:pt>
                <c:pt idx="13">
                  <c:v>25</c:v>
                </c:pt>
                <c:pt idx="14">
                  <c:v>25</c:v>
                </c:pt>
              </c:numCache>
            </c:numRef>
          </c:val>
          <c:smooth val="0"/>
          <c:extLst>
            <c:ext xmlns:c16="http://schemas.microsoft.com/office/drawing/2014/chart" uri="{C3380CC4-5D6E-409C-BE32-E72D297353CC}">
              <c16:uniqueId val="{00000016-7AED-4386-B7BE-7866889A9371}"/>
            </c:ext>
          </c:extLst>
        </c:ser>
        <c:dLbls>
          <c:showLegendKey val="0"/>
          <c:showVal val="0"/>
          <c:showCatName val="0"/>
          <c:showSerName val="0"/>
          <c:showPercent val="0"/>
          <c:showBubbleSize val="0"/>
        </c:dLbls>
        <c:marker val="1"/>
        <c:smooth val="0"/>
        <c:axId val="210261743"/>
        <c:axId val="210249263"/>
      </c:lineChart>
      <c:catAx>
        <c:axId val="21026174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a:lstStyle/>
          <a:p>
            <a:pPr>
              <a:defRPr/>
            </a:pPr>
            <a:endParaRPr lang="en-US"/>
          </a:p>
        </c:txPr>
        <c:crossAx val="210249263"/>
        <c:crosses val="autoZero"/>
        <c:auto val="1"/>
        <c:lblAlgn val="ctr"/>
        <c:lblOffset val="100"/>
        <c:noMultiLvlLbl val="0"/>
      </c:catAx>
      <c:valAx>
        <c:axId val="210249263"/>
        <c:scaling>
          <c:orientation val="minMax"/>
        </c:scaling>
        <c:delete val="0"/>
        <c:axPos val="l"/>
        <c:numFmt formatCode="#,##0" sourceLinked="0"/>
        <c:majorTickMark val="out"/>
        <c:minorTickMark val="none"/>
        <c:tickLblPos val="nextTo"/>
        <c:spPr>
          <a:noFill/>
          <a:ln>
            <a:solidFill>
              <a:schemeClr val="tx1"/>
            </a:solidFill>
          </a:ln>
          <a:effectLst/>
        </c:spPr>
        <c:txPr>
          <a:bodyPr rot="-60000000" vert="horz"/>
          <a:lstStyle/>
          <a:p>
            <a:pPr>
              <a:defRPr/>
            </a:pPr>
            <a:endParaRPr lang="en-US"/>
          </a:p>
        </c:txPr>
        <c:crossAx val="210261743"/>
        <c:crosses val="autoZero"/>
        <c:crossBetween val="between"/>
        <c:majorUnit val="10"/>
      </c:valAx>
    </c:plotArea>
    <c:plotVisOnly val="1"/>
    <c:dispBlanksAs val="gap"/>
    <c:showDLblsOverMax val="0"/>
    <c:extLst/>
  </c:chart>
  <c:spPr>
    <a:solidFill>
      <a:schemeClr val="bg1"/>
    </a:solidFill>
    <a:ln w="9525" cap="flat" cmpd="sng" algn="ctr">
      <a:noFill/>
      <a:round/>
    </a:ln>
    <a:effectLst/>
  </c:spPr>
  <c:txPr>
    <a:bodyPr/>
    <a:lstStyle/>
    <a:p>
      <a:pPr>
        <a:defRPr i="1">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6920384951881"/>
          <c:y val="5.0925925925925923E-2"/>
          <c:w val="0.7879693788276465"/>
          <c:h val="0.61625583260425776"/>
        </c:manualLayout>
      </c:layout>
      <c:barChart>
        <c:barDir val="col"/>
        <c:grouping val="clustered"/>
        <c:varyColors val="0"/>
        <c:ser>
          <c:idx val="0"/>
          <c:order val="0"/>
          <c:tx>
            <c:strRef>
              <c:f>IMF_Credit_outstanding!$N$2</c:f>
              <c:strCache>
                <c:ptCount val="1"/>
                <c:pt idx="0">
                  <c:v>Total IMF credit outstanding, per cent of the totat</c:v>
                </c:pt>
              </c:strCache>
            </c:strRef>
          </c:tx>
          <c:spPr>
            <a:solidFill>
              <a:srgbClr val="002060"/>
            </a:solidFill>
            <a:ln>
              <a:noFill/>
            </a:ln>
            <a:effectLst/>
          </c:spPr>
          <c:invertIfNegative val="0"/>
          <c:dPt>
            <c:idx val="0"/>
            <c:invertIfNegative val="0"/>
            <c:bubble3D val="0"/>
            <c:spPr>
              <a:solidFill>
                <a:schemeClr val="tx2">
                  <a:lumMod val="25000"/>
                  <a:lumOff val="75000"/>
                </a:schemeClr>
              </a:solidFill>
              <a:ln>
                <a:noFill/>
              </a:ln>
              <a:effectLst/>
            </c:spPr>
            <c:extLst>
              <c:ext xmlns:c16="http://schemas.microsoft.com/office/drawing/2014/chart" uri="{C3380CC4-5D6E-409C-BE32-E72D297353CC}">
                <c16:uniqueId val="{00000001-A85F-4FD6-9BC2-5833E1C28EF5}"/>
              </c:ext>
            </c:extLst>
          </c:dPt>
          <c:dPt>
            <c:idx val="4"/>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3-A85F-4FD6-9BC2-5833E1C28EF5}"/>
              </c:ext>
            </c:extLst>
          </c:dPt>
          <c:cat>
            <c:strRef>
              <c:f>IMF_Credit_outstanding!$L$3:$L$13</c:f>
              <c:strCache>
                <c:ptCount val="11"/>
                <c:pt idx="0">
                  <c:v>Rest of the world</c:v>
                </c:pt>
                <c:pt idx="1">
                  <c:v>Argentina</c:v>
                </c:pt>
                <c:pt idx="2">
                  <c:v>Egypt</c:v>
                </c:pt>
                <c:pt idx="3">
                  <c:v>Ukraine</c:v>
                </c:pt>
                <c:pt idx="4">
                  <c:v>Pakistan</c:v>
                </c:pt>
                <c:pt idx="5">
                  <c:v>Ecuador</c:v>
                </c:pt>
                <c:pt idx="6">
                  <c:v>Colombia</c:v>
                </c:pt>
                <c:pt idx="7">
                  <c:v>Angola</c:v>
                </c:pt>
                <c:pt idx="8">
                  <c:v>Kenya</c:v>
                </c:pt>
                <c:pt idx="9">
                  <c:v>Ghana</c:v>
                </c:pt>
                <c:pt idx="10">
                  <c:v>South Africa</c:v>
                </c:pt>
              </c:strCache>
            </c:strRef>
          </c:cat>
          <c:val>
            <c:numRef>
              <c:f>IMF_Credit_outstanding!$N$3:$N$13</c:f>
              <c:numCache>
                <c:formatCode>0</c:formatCode>
                <c:ptCount val="11"/>
                <c:pt idx="0" formatCode="_-* #,##0_-;\-* #,##0_-;_-* &quot;-&quot;??_-;_-@_-">
                  <c:v>26.881637183982974</c:v>
                </c:pt>
                <c:pt idx="1">
                  <c:v>29.797857212294776</c:v>
                </c:pt>
                <c:pt idx="2">
                  <c:v>10.437429319986336</c:v>
                </c:pt>
                <c:pt idx="3">
                  <c:v>8.6590569777475892</c:v>
                </c:pt>
                <c:pt idx="4">
                  <c:v>6.2951729674766046</c:v>
                </c:pt>
                <c:pt idx="5">
                  <c:v>5.5467166635549487</c:v>
                </c:pt>
                <c:pt idx="6">
                  <c:v>3.1552793538634036</c:v>
                </c:pt>
                <c:pt idx="7">
                  <c:v>2.9610984553288686</c:v>
                </c:pt>
                <c:pt idx="8">
                  <c:v>2.467741746915769</c:v>
                </c:pt>
                <c:pt idx="9">
                  <c:v>1.9642218589424449</c:v>
                </c:pt>
                <c:pt idx="10">
                  <c:v>1.8337882599062889</c:v>
                </c:pt>
              </c:numCache>
            </c:numRef>
          </c:val>
          <c:extLst>
            <c:ext xmlns:c16="http://schemas.microsoft.com/office/drawing/2014/chart" uri="{C3380CC4-5D6E-409C-BE32-E72D297353CC}">
              <c16:uniqueId val="{00000004-A85F-4FD6-9BC2-5833E1C28EF5}"/>
            </c:ext>
          </c:extLst>
        </c:ser>
        <c:dLbls>
          <c:showLegendKey val="0"/>
          <c:showVal val="0"/>
          <c:showCatName val="0"/>
          <c:showSerName val="0"/>
          <c:showPercent val="0"/>
          <c:showBubbleSize val="0"/>
        </c:dLbls>
        <c:gapWidth val="219"/>
        <c:axId val="1668103599"/>
        <c:axId val="1668101679"/>
      </c:barChart>
      <c:lineChart>
        <c:grouping val="stacked"/>
        <c:varyColors val="0"/>
        <c:ser>
          <c:idx val="1"/>
          <c:order val="1"/>
          <c:tx>
            <c:strRef>
              <c:f>IMF_Credit_outstanding!$O$2</c:f>
              <c:strCache>
                <c:ptCount val="1"/>
                <c:pt idx="0">
                  <c:v>Voting power, per cent of the total</c:v>
                </c:pt>
              </c:strCache>
            </c:strRef>
          </c:tx>
          <c:spPr>
            <a:ln w="28575" cap="rnd">
              <a:noFill/>
              <a:round/>
            </a:ln>
            <a:effectLst/>
          </c:spPr>
          <c:marker>
            <c:symbol val="none"/>
          </c:marker>
          <c:dLbls>
            <c:dLbl>
              <c:idx val="0"/>
              <c:tx>
                <c:rich>
                  <a:bodyPr/>
                  <a:lstStyle/>
                  <a:p>
                    <a:fld id="{F60A3269-90C7-49E5-8BC2-7CED7CCC990E}" type="CELLRANGE">
                      <a:rPr lang="en-US" altLang="zh-CN"/>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85F-4FD6-9BC2-5833E1C28EF5}"/>
                </c:ext>
              </c:extLst>
            </c:dLbl>
            <c:dLbl>
              <c:idx val="1"/>
              <c:tx>
                <c:rich>
                  <a:bodyPr/>
                  <a:lstStyle/>
                  <a:p>
                    <a:fld id="{7FE77728-8C84-47EF-9FF5-C1F91C914D9E}"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85F-4FD6-9BC2-5833E1C28EF5}"/>
                </c:ext>
              </c:extLst>
            </c:dLbl>
            <c:dLbl>
              <c:idx val="2"/>
              <c:tx>
                <c:rich>
                  <a:bodyPr/>
                  <a:lstStyle/>
                  <a:p>
                    <a:fld id="{6B90CAD7-5B9D-43AD-80FA-AB3115F066EF}"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85F-4FD6-9BC2-5833E1C28EF5}"/>
                </c:ext>
              </c:extLst>
            </c:dLbl>
            <c:dLbl>
              <c:idx val="3"/>
              <c:tx>
                <c:rich>
                  <a:bodyPr/>
                  <a:lstStyle/>
                  <a:p>
                    <a:fld id="{7F2D5C21-4CB1-4F5A-AF96-AC2A5EF5D4FC}"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85F-4FD6-9BC2-5833E1C28EF5}"/>
                </c:ext>
              </c:extLst>
            </c:dLbl>
            <c:dLbl>
              <c:idx val="4"/>
              <c:tx>
                <c:rich>
                  <a:bodyPr/>
                  <a:lstStyle/>
                  <a:p>
                    <a:fld id="{700324E1-6D1F-491C-8335-300BBDB30775}"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85F-4FD6-9BC2-5833E1C28EF5}"/>
                </c:ext>
              </c:extLst>
            </c:dLbl>
            <c:dLbl>
              <c:idx val="5"/>
              <c:tx>
                <c:rich>
                  <a:bodyPr/>
                  <a:lstStyle/>
                  <a:p>
                    <a:fld id="{BF93CE90-2D77-4611-ABDE-185000D3E0AE}"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85F-4FD6-9BC2-5833E1C28EF5}"/>
                </c:ext>
              </c:extLst>
            </c:dLbl>
            <c:dLbl>
              <c:idx val="6"/>
              <c:tx>
                <c:rich>
                  <a:bodyPr/>
                  <a:lstStyle/>
                  <a:p>
                    <a:fld id="{A08F2199-731B-47B4-A2A3-1B92AEFE5433}"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A85F-4FD6-9BC2-5833E1C28EF5}"/>
                </c:ext>
              </c:extLst>
            </c:dLbl>
            <c:dLbl>
              <c:idx val="7"/>
              <c:tx>
                <c:rich>
                  <a:bodyPr/>
                  <a:lstStyle/>
                  <a:p>
                    <a:fld id="{A2C828F8-9653-4601-9F88-D587CCCF4722}"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85F-4FD6-9BC2-5833E1C28EF5}"/>
                </c:ext>
              </c:extLst>
            </c:dLbl>
            <c:dLbl>
              <c:idx val="8"/>
              <c:tx>
                <c:rich>
                  <a:bodyPr/>
                  <a:lstStyle/>
                  <a:p>
                    <a:fld id="{328D8B94-79AA-460E-A91F-BEFA0937C1B9}"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85F-4FD6-9BC2-5833E1C28EF5}"/>
                </c:ext>
              </c:extLst>
            </c:dLbl>
            <c:dLbl>
              <c:idx val="9"/>
              <c:tx>
                <c:rich>
                  <a:bodyPr/>
                  <a:lstStyle/>
                  <a:p>
                    <a:fld id="{8425C1CA-6FDE-4B19-99EC-56ADC41A4935}"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A85F-4FD6-9BC2-5833E1C28EF5}"/>
                </c:ext>
              </c:extLst>
            </c:dLbl>
            <c:dLbl>
              <c:idx val="10"/>
              <c:tx>
                <c:rich>
                  <a:bodyPr/>
                  <a:lstStyle/>
                  <a:p>
                    <a:fld id="{A72AB04C-0EDF-41DA-8318-0048DB51D118}"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85F-4FD6-9BC2-5833E1C28EF5}"/>
                </c:ext>
              </c:extLst>
            </c:dLbl>
            <c:spPr>
              <a:solidFill>
                <a:srgbClr val="00206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IMF_Credit_outstanding!$L$3:$L$13</c:f>
              <c:strCache>
                <c:ptCount val="11"/>
                <c:pt idx="0">
                  <c:v>Rest of the world</c:v>
                </c:pt>
                <c:pt idx="1">
                  <c:v>Argentina</c:v>
                </c:pt>
                <c:pt idx="2">
                  <c:v>Egypt</c:v>
                </c:pt>
                <c:pt idx="3">
                  <c:v>Ukraine</c:v>
                </c:pt>
                <c:pt idx="4">
                  <c:v>Pakistan</c:v>
                </c:pt>
                <c:pt idx="5">
                  <c:v>Ecuador</c:v>
                </c:pt>
                <c:pt idx="6">
                  <c:v>Colombia</c:v>
                </c:pt>
                <c:pt idx="7">
                  <c:v>Angola</c:v>
                </c:pt>
                <c:pt idx="8">
                  <c:v>Kenya</c:v>
                </c:pt>
                <c:pt idx="9">
                  <c:v>Ghana</c:v>
                </c:pt>
                <c:pt idx="10">
                  <c:v>South Africa</c:v>
                </c:pt>
              </c:strCache>
            </c:strRef>
          </c:cat>
          <c:val>
            <c:numRef>
              <c:f>IMF_Credit_outstanding!$P$3:$P$13</c:f>
              <c:numCache>
                <c:formatCode>_-* #,##0_-;\-* #,##0_-;_-* "-"??_-;_-@_-</c:formatCode>
                <c:ptCount val="11"/>
                <c:pt idx="0">
                  <c:v>20</c:v>
                </c:pt>
                <c:pt idx="1">
                  <c:v>20</c:v>
                </c:pt>
                <c:pt idx="2">
                  <c:v>20</c:v>
                </c:pt>
                <c:pt idx="3">
                  <c:v>20</c:v>
                </c:pt>
                <c:pt idx="4">
                  <c:v>20</c:v>
                </c:pt>
                <c:pt idx="5">
                  <c:v>20</c:v>
                </c:pt>
                <c:pt idx="6">
                  <c:v>20</c:v>
                </c:pt>
                <c:pt idx="7">
                  <c:v>20</c:v>
                </c:pt>
                <c:pt idx="8">
                  <c:v>20</c:v>
                </c:pt>
                <c:pt idx="9">
                  <c:v>20</c:v>
                </c:pt>
                <c:pt idx="10">
                  <c:v>20</c:v>
                </c:pt>
              </c:numCache>
            </c:numRef>
          </c:val>
          <c:smooth val="0"/>
          <c:extLst>
            <c:ext xmlns:c15="http://schemas.microsoft.com/office/drawing/2012/chart" uri="{02D57815-91ED-43cb-92C2-25804820EDAC}">
              <c15:datalabelsRange>
                <c15:f>IMF_Credit_outstanding!$O$3:$O$13</c15:f>
                <c15:dlblRangeCache>
                  <c:ptCount val="11"/>
                  <c:pt idx="0">
                    <c:v> 96 </c:v>
                  </c:pt>
                  <c:pt idx="1">
                    <c:v>0.7</c:v>
                  </c:pt>
                  <c:pt idx="2">
                    <c:v>0.4</c:v>
                  </c:pt>
                  <c:pt idx="3">
                    <c:v>0.4</c:v>
                  </c:pt>
                  <c:pt idx="4">
                    <c:v>0.4</c:v>
                  </c:pt>
                  <c:pt idx="5">
                    <c:v>0.2</c:v>
                  </c:pt>
                  <c:pt idx="6">
                    <c:v>0.4</c:v>
                  </c:pt>
                  <c:pt idx="7">
                    <c:v>0.2</c:v>
                  </c:pt>
                  <c:pt idx="8">
                    <c:v>0.1</c:v>
                  </c:pt>
                  <c:pt idx="9">
                    <c:v>0.2</c:v>
                  </c:pt>
                  <c:pt idx="10">
                    <c:v>0.6</c:v>
                  </c:pt>
                </c15:dlblRangeCache>
              </c15:datalabelsRange>
            </c:ext>
            <c:ext xmlns:c16="http://schemas.microsoft.com/office/drawing/2014/chart" uri="{C3380CC4-5D6E-409C-BE32-E72D297353CC}">
              <c16:uniqueId val="{00000010-A85F-4FD6-9BC2-5833E1C28EF5}"/>
            </c:ext>
          </c:extLst>
        </c:ser>
        <c:dLbls>
          <c:showLegendKey val="0"/>
          <c:showVal val="0"/>
          <c:showCatName val="0"/>
          <c:showSerName val="0"/>
          <c:showPercent val="0"/>
          <c:showBubbleSize val="0"/>
        </c:dLbls>
        <c:marker val="1"/>
        <c:smooth val="0"/>
        <c:axId val="1668103599"/>
        <c:axId val="1668101679"/>
      </c:lineChart>
      <c:catAx>
        <c:axId val="166810359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8101679"/>
        <c:crosses val="autoZero"/>
        <c:auto val="1"/>
        <c:lblAlgn val="ctr"/>
        <c:lblOffset val="100"/>
        <c:noMultiLvlLbl val="0"/>
      </c:catAx>
      <c:valAx>
        <c:axId val="1668101679"/>
        <c:scaling>
          <c:orientation val="minMax"/>
          <c:max val="30"/>
        </c:scaling>
        <c:delete val="0"/>
        <c:axPos val="l"/>
        <c:title>
          <c:tx>
            <c:strRef>
              <c:f>IMF_Credit_outstanding!$N$2</c:f>
              <c:strCache>
                <c:ptCount val="1"/>
                <c:pt idx="0">
                  <c:v>Total IMF credit outstanding, per cent of the totat</c:v>
                </c:pt>
              </c:strCache>
            </c:strRef>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68103599"/>
        <c:crosses val="autoZero"/>
        <c:crossBetween val="between"/>
        <c:majorUnit val="10"/>
      </c:valAx>
      <c:spPr>
        <a:noFill/>
        <a:ln>
          <a:noFill/>
        </a:ln>
        <a:effectLst/>
      </c:spPr>
    </c:plotArea>
    <c:legend>
      <c:legendPos val="r"/>
      <c:legendEntry>
        <c:idx val="0"/>
        <c:delete val="1"/>
      </c:legendEntry>
      <c:layout>
        <c:manualLayout>
          <c:xMode val="edge"/>
          <c:yMode val="edge"/>
          <c:x val="0.40166141732283461"/>
          <c:y val="0.21093722659667541"/>
          <c:w val="0.4427830271216098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01A42A70-524C-40CB-B829-EDB720393788}"/>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4.xml><?xml version="1.0" encoding="utf-8"?>
<ds:datastoreItem xmlns:ds="http://schemas.openxmlformats.org/officeDocument/2006/customXml" ds:itemID="{5A9A382E-B4C3-4FC7-B65F-C52BA03877E0}">
  <ds:schemaRefs>
    <ds:schemaRef ds:uri="http://schemas.microsoft.com/office/2006/metadata/properties"/>
    <ds:schemaRef ds:uri="http://schemas.microsoft.com/office/infopath/2007/PartnerControls"/>
    <ds:schemaRef ds:uri="985ec44e-1bab-4c0b-9df0-6ba128686fc9"/>
    <ds:schemaRef ds:uri="9fc581a9-ee63-45ff-ba08-f19768d0f580"/>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11</TotalTime>
  <Pages>5</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Links>
    <vt:vector size="36" baseType="variant">
      <vt:variant>
        <vt:i4>655362</vt:i4>
      </vt:variant>
      <vt:variant>
        <vt:i4>6</vt:i4>
      </vt:variant>
      <vt:variant>
        <vt:i4>0</vt:i4>
      </vt:variant>
      <vt:variant>
        <vt:i4>5</vt:i4>
      </vt:variant>
      <vt:variant>
        <vt:lpwstr>http://www.imf.org/en/About/Factsheets/Sheets/2022/IMF-Quotas</vt:lpwstr>
      </vt:variant>
      <vt:variant>
        <vt:lpwstr/>
      </vt:variant>
      <vt:variant>
        <vt:i4>4522052</vt:i4>
      </vt:variant>
      <vt:variant>
        <vt:i4>3</vt:i4>
      </vt:variant>
      <vt:variant>
        <vt:i4>0</vt:i4>
      </vt:variant>
      <vt:variant>
        <vt:i4>5</vt:i4>
      </vt:variant>
      <vt:variant>
        <vt:lpwstr>https://www.adb.org/sites/default/files/institutional-document/959761/adb-annual-report-2023.pdf</vt:lpwstr>
      </vt:variant>
      <vt:variant>
        <vt:lpwstr/>
      </vt:variant>
      <vt:variant>
        <vt:i4>4522052</vt:i4>
      </vt:variant>
      <vt:variant>
        <vt:i4>0</vt:i4>
      </vt:variant>
      <vt:variant>
        <vt:i4>0</vt:i4>
      </vt:variant>
      <vt:variant>
        <vt:i4>5</vt:i4>
      </vt:variant>
      <vt:variant>
        <vt:lpwstr>https://www.adb.org/sites/default/files/institutional-document/959761/adb-annual-report-2023.pdf</vt:lpwstr>
      </vt:variant>
      <vt:variant>
        <vt:lpwstr/>
      </vt:variant>
      <vt:variant>
        <vt:i4>655362</vt:i4>
      </vt:variant>
      <vt:variant>
        <vt:i4>6</vt:i4>
      </vt:variant>
      <vt:variant>
        <vt:i4>0</vt:i4>
      </vt:variant>
      <vt:variant>
        <vt:i4>5</vt:i4>
      </vt:variant>
      <vt:variant>
        <vt:lpwstr>http://www.imf.org/en/About/Factsheets/Sheets/2022/IMF-Quotas</vt:lpwstr>
      </vt:variant>
      <vt:variant>
        <vt:lpwstr/>
      </vt:variant>
      <vt:variant>
        <vt:i4>1507332</vt:i4>
      </vt:variant>
      <vt:variant>
        <vt:i4>3</vt:i4>
      </vt:variant>
      <vt:variant>
        <vt:i4>0</vt:i4>
      </vt:variant>
      <vt:variant>
        <vt:i4>5</vt:i4>
      </vt:variant>
      <vt:variant>
        <vt:lpwstr>https://www.un.org/sites/un2.un.org/files/sotf-pact_for_the_future_adopted.pdf</vt:lpwstr>
      </vt:variant>
      <vt:variant>
        <vt:lpwstr/>
      </vt:variant>
      <vt:variant>
        <vt:i4>2949246</vt:i4>
      </vt:variant>
      <vt:variant>
        <vt:i4>0</vt:i4>
      </vt:variant>
      <vt:variant>
        <vt:i4>0</vt:i4>
      </vt:variant>
      <vt:variant>
        <vt:i4>5</vt:i4>
      </vt:variant>
      <vt:variant>
        <vt:lpwstr>http://brics2023.gov.za/wp-content/uploads/2023/08/Jhb-II-Declaration-24-August-2023-1.pdf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Hamza Ali Malik</cp:lastModifiedBy>
  <cp:revision>9</cp:revision>
  <dcterms:created xsi:type="dcterms:W3CDTF">2024-10-18T10:00:00Z</dcterms:created>
  <dcterms:modified xsi:type="dcterms:W3CDTF">2024-10-18T10:10:00Z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0x010100E2CAA7E20AE51043BE1523C84CDD10D8</vt:lpwstr>
  </property>
  <property fmtid="{D5CDD505-2E9C-101B-9397-08002B2CF9AE}" pid="3" name="MediaServiceImageTags">
    <vt:lpwstr/>
  </property>
</Properties>
</file>