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7D5E" w14:textId="616B7AB5" w:rsidR="008E4B85" w:rsidRPr="008B64DE" w:rsidRDefault="00972B07" w:rsidP="00525D44">
      <w:pPr>
        <w:pStyle w:val="Heading2"/>
        <w:spacing w:before="0"/>
        <w:jc w:val="center"/>
        <w:rPr>
          <w:rFonts w:ascii="Cambria" w:hAnsi="Cambria"/>
          <w:b/>
          <w:bCs/>
          <w:sz w:val="24"/>
          <w:szCs w:val="24"/>
        </w:rPr>
      </w:pPr>
      <w:r w:rsidRPr="008B64DE">
        <w:rPr>
          <w:rFonts w:ascii="Cambria" w:hAnsi="Cambria"/>
          <w:b/>
          <w:bCs/>
          <w:sz w:val="24"/>
          <w:szCs w:val="24"/>
        </w:rPr>
        <w:t xml:space="preserve">Key Financing Policy Issues and </w:t>
      </w:r>
      <w:r w:rsidR="00525D44" w:rsidRPr="008B64DE">
        <w:rPr>
          <w:rFonts w:ascii="Cambria" w:hAnsi="Cambria"/>
          <w:b/>
          <w:bCs/>
          <w:sz w:val="24"/>
          <w:szCs w:val="24"/>
        </w:rPr>
        <w:t>S</w:t>
      </w:r>
      <w:r w:rsidR="00211970" w:rsidRPr="008B64DE">
        <w:rPr>
          <w:rFonts w:ascii="Cambria" w:hAnsi="Cambria"/>
          <w:b/>
          <w:bCs/>
          <w:sz w:val="24"/>
          <w:szCs w:val="24"/>
        </w:rPr>
        <w:t>uggestions: Perspectives from Asia and the Pacific</w:t>
      </w:r>
    </w:p>
    <w:p w14:paraId="28A506CA" w14:textId="77777777" w:rsidR="00525D44" w:rsidRDefault="00525D44" w:rsidP="00525D44">
      <w:pPr>
        <w:spacing w:after="0" w:line="240" w:lineRule="auto"/>
        <w:jc w:val="center"/>
        <w:rPr>
          <w:b/>
          <w:bCs/>
          <w:sz w:val="24"/>
          <w:szCs w:val="24"/>
        </w:rPr>
      </w:pPr>
    </w:p>
    <w:p w14:paraId="118E8718" w14:textId="6C4342C2" w:rsidR="00211970" w:rsidRPr="008B64DE" w:rsidRDefault="009B09A2" w:rsidP="00525D44">
      <w:pPr>
        <w:spacing w:after="0" w:line="240" w:lineRule="auto"/>
        <w:jc w:val="center"/>
        <w:rPr>
          <w:b/>
          <w:bCs/>
        </w:rPr>
      </w:pPr>
      <w:r w:rsidRPr="008B64DE">
        <w:rPr>
          <w:b/>
          <w:bCs/>
        </w:rPr>
        <w:t xml:space="preserve">Inputs to the </w:t>
      </w:r>
      <w:r w:rsidRPr="008B64DE">
        <w:rPr>
          <w:b/>
          <w:bCs/>
          <w:i/>
          <w:iCs/>
        </w:rPr>
        <w:t>Elements Paper</w:t>
      </w:r>
      <w:r w:rsidR="0010789D" w:rsidRPr="008B64DE">
        <w:rPr>
          <w:b/>
          <w:bCs/>
        </w:rPr>
        <w:t xml:space="preserve"> for the </w:t>
      </w:r>
      <w:r w:rsidR="009B2B9E" w:rsidRPr="008B64DE">
        <w:rPr>
          <w:b/>
          <w:bCs/>
        </w:rPr>
        <w:t>F</w:t>
      </w:r>
      <w:r w:rsidR="0010789D" w:rsidRPr="008B64DE">
        <w:rPr>
          <w:b/>
          <w:bCs/>
        </w:rPr>
        <w:t xml:space="preserve">ourth </w:t>
      </w:r>
      <w:r w:rsidR="009B2B9E" w:rsidRPr="008B64DE">
        <w:rPr>
          <w:b/>
          <w:bCs/>
        </w:rPr>
        <w:t>I</w:t>
      </w:r>
      <w:r w:rsidR="0010789D" w:rsidRPr="008B64DE">
        <w:rPr>
          <w:b/>
          <w:bCs/>
        </w:rPr>
        <w:t xml:space="preserve">nternational </w:t>
      </w:r>
      <w:r w:rsidR="009B2B9E" w:rsidRPr="008B64DE">
        <w:rPr>
          <w:b/>
          <w:bCs/>
        </w:rPr>
        <w:t>C</w:t>
      </w:r>
      <w:r w:rsidR="0010789D" w:rsidRPr="008B64DE">
        <w:rPr>
          <w:b/>
          <w:bCs/>
        </w:rPr>
        <w:t>onference on Financing for Development</w:t>
      </w:r>
    </w:p>
    <w:p w14:paraId="7C005AD5" w14:textId="35E97999" w:rsidR="001D49A5" w:rsidRDefault="001D49A5" w:rsidP="00525D44">
      <w:pPr>
        <w:spacing w:after="0" w:line="240" w:lineRule="auto"/>
        <w:jc w:val="center"/>
      </w:pPr>
      <w:r>
        <w:t>Submitted by the Economic and Social Commission of Asia and the Pacific</w:t>
      </w:r>
      <w:r w:rsidR="00C50D06">
        <w:t xml:space="preserve"> (ESCAP)</w:t>
      </w:r>
    </w:p>
    <w:p w14:paraId="1D1D528C" w14:textId="19707C43" w:rsidR="009B2B9E" w:rsidRDefault="009B2B9E" w:rsidP="00525D44">
      <w:pPr>
        <w:spacing w:after="0" w:line="240" w:lineRule="auto"/>
        <w:jc w:val="center"/>
      </w:pPr>
      <w:r>
        <w:t>Bangkok, Thailand</w:t>
      </w:r>
    </w:p>
    <w:p w14:paraId="08936CA9" w14:textId="579225CB" w:rsidR="001D49A5" w:rsidRPr="007845CE" w:rsidRDefault="000678D9" w:rsidP="00525D44">
      <w:pPr>
        <w:spacing w:after="0" w:line="240" w:lineRule="auto"/>
        <w:jc w:val="center"/>
        <w:rPr>
          <w:sz w:val="20"/>
          <w:szCs w:val="20"/>
        </w:rPr>
      </w:pPr>
      <w:r>
        <w:rPr>
          <w:sz w:val="20"/>
          <w:szCs w:val="20"/>
        </w:rPr>
        <w:t>1</w:t>
      </w:r>
      <w:r w:rsidR="001525AE">
        <w:rPr>
          <w:sz w:val="20"/>
          <w:szCs w:val="20"/>
        </w:rPr>
        <w:t>5</w:t>
      </w:r>
      <w:r w:rsidR="001D49A5" w:rsidRPr="007845CE">
        <w:rPr>
          <w:sz w:val="20"/>
          <w:szCs w:val="20"/>
        </w:rPr>
        <w:t xml:space="preserve"> October 2024</w:t>
      </w:r>
    </w:p>
    <w:p w14:paraId="43F0F71F" w14:textId="77777777" w:rsidR="00B65F02" w:rsidRDefault="00B65F02" w:rsidP="00174569">
      <w:pPr>
        <w:pStyle w:val="Heading2"/>
        <w:rPr>
          <w:rFonts w:asciiTheme="minorHAnsi" w:hAnsiTheme="minorHAnsi" w:cstheme="minorHAnsi"/>
          <w:b/>
          <w:bCs/>
          <w:color w:val="000000" w:themeColor="text1"/>
          <w:sz w:val="24"/>
          <w:szCs w:val="24"/>
        </w:rPr>
      </w:pPr>
    </w:p>
    <w:p w14:paraId="28AB61F3" w14:textId="696DBF75" w:rsidR="00FD1806" w:rsidRDefault="00A90779" w:rsidP="000768C0">
      <w:pPr>
        <w:spacing w:after="0" w:line="240" w:lineRule="auto"/>
        <w:jc w:val="both"/>
      </w:pPr>
      <w:r>
        <w:t>Th</w:t>
      </w:r>
      <w:r w:rsidR="003C57D0">
        <w:t xml:space="preserve">is </w:t>
      </w:r>
      <w:r>
        <w:t xml:space="preserve">paper provides inputs to the </w:t>
      </w:r>
      <w:r w:rsidRPr="00A90779">
        <w:rPr>
          <w:i/>
          <w:iCs/>
        </w:rPr>
        <w:t xml:space="preserve">Elements </w:t>
      </w:r>
      <w:r>
        <w:rPr>
          <w:i/>
          <w:iCs/>
        </w:rPr>
        <w:t>P</w:t>
      </w:r>
      <w:r w:rsidRPr="00A90779">
        <w:rPr>
          <w:i/>
          <w:iCs/>
        </w:rPr>
        <w:t>aper</w:t>
      </w:r>
      <w:r>
        <w:t xml:space="preserve"> on selected </w:t>
      </w:r>
      <w:r w:rsidR="008F673D">
        <w:t>areas</w:t>
      </w:r>
      <w:r w:rsidR="0013784D">
        <w:t xml:space="preserve"> from the perspective of Asia and the Pacific. The</w:t>
      </w:r>
      <w:r w:rsidR="001B1B88">
        <w:t xml:space="preserve"> structure</w:t>
      </w:r>
      <w:r w:rsidR="00785F0A">
        <w:t xml:space="preserve"> and headings of </w:t>
      </w:r>
      <w:r w:rsidR="00E82C1E">
        <w:t xml:space="preserve">these </w:t>
      </w:r>
      <w:r w:rsidR="00785F0A">
        <w:t xml:space="preserve">areas </w:t>
      </w:r>
      <w:r w:rsidR="005D097D">
        <w:t>follow</w:t>
      </w:r>
      <w:r w:rsidR="00785F0A">
        <w:t xml:space="preserve"> the suggestion in the </w:t>
      </w:r>
      <w:r w:rsidR="00785F0A" w:rsidRPr="003C57D0">
        <w:rPr>
          <w:i/>
          <w:iCs/>
        </w:rPr>
        <w:t xml:space="preserve">Call for </w:t>
      </w:r>
      <w:r w:rsidR="003C57D0" w:rsidRPr="003C57D0">
        <w:rPr>
          <w:i/>
          <w:iCs/>
        </w:rPr>
        <w:t>I</w:t>
      </w:r>
      <w:r w:rsidR="00785F0A" w:rsidRPr="003C57D0">
        <w:rPr>
          <w:i/>
          <w:iCs/>
        </w:rPr>
        <w:t>nputs</w:t>
      </w:r>
      <w:r w:rsidR="00785F0A">
        <w:t xml:space="preserve"> by the co-facilitator</w:t>
      </w:r>
      <w:r w:rsidR="003C57D0">
        <w:t>s</w:t>
      </w:r>
      <w:r w:rsidR="00785F0A">
        <w:t>.</w:t>
      </w:r>
      <w:r w:rsidR="00395698">
        <w:t xml:space="preserve"> </w:t>
      </w:r>
      <w:r w:rsidR="00A74A56">
        <w:t>T</w:t>
      </w:r>
      <w:r w:rsidR="00395698">
        <w:t xml:space="preserve">he paper </w:t>
      </w:r>
      <w:r w:rsidR="00A74A56">
        <w:t xml:space="preserve">also </w:t>
      </w:r>
      <w:r w:rsidR="00395698">
        <w:t xml:space="preserve">highlights </w:t>
      </w:r>
      <w:r w:rsidR="0064068C">
        <w:t xml:space="preserve">the role that </w:t>
      </w:r>
      <w:r w:rsidR="00322C8B">
        <w:t xml:space="preserve">the </w:t>
      </w:r>
      <w:r w:rsidR="000D5D8D" w:rsidRPr="000D5D8D">
        <w:t xml:space="preserve">United Nations Economic and Social Commission for Asia and the Pacific </w:t>
      </w:r>
      <w:r w:rsidR="00322C8B">
        <w:t>(</w:t>
      </w:r>
      <w:r w:rsidR="00C50D06">
        <w:t>ESCAP</w:t>
      </w:r>
      <w:r w:rsidR="000768C0">
        <w:t>)</w:t>
      </w:r>
      <w:r w:rsidR="00DE287C">
        <w:t xml:space="preserve"> can play i</w:t>
      </w:r>
      <w:r w:rsidR="005D7027">
        <w:t xml:space="preserve">n </w:t>
      </w:r>
      <w:r w:rsidR="00993851">
        <w:t>strengthen</w:t>
      </w:r>
      <w:r w:rsidR="005D7027">
        <w:t>ing</w:t>
      </w:r>
      <w:r w:rsidR="00993851">
        <w:t xml:space="preserve"> the follow-up process and ensur</w:t>
      </w:r>
      <w:r w:rsidR="005D7027">
        <w:t>ing</w:t>
      </w:r>
      <w:r w:rsidR="00993851">
        <w:t xml:space="preserve"> accountability to and full implementation of </w:t>
      </w:r>
      <w:r w:rsidR="0064068C">
        <w:t>commitment</w:t>
      </w:r>
      <w:r w:rsidR="003113BD">
        <w:t xml:space="preserve">s made at the </w:t>
      </w:r>
      <w:r w:rsidR="00243787" w:rsidRPr="00243787">
        <w:rPr>
          <w:i/>
          <w:iCs/>
        </w:rPr>
        <w:t>Conference</w:t>
      </w:r>
      <w:r w:rsidR="003113BD">
        <w:t>.</w:t>
      </w:r>
    </w:p>
    <w:p w14:paraId="7EAF14EC" w14:textId="77777777" w:rsidR="008E7BD0" w:rsidRDefault="008E7BD0" w:rsidP="00E30707">
      <w:pPr>
        <w:spacing w:after="0" w:line="240" w:lineRule="auto"/>
        <w:jc w:val="both"/>
      </w:pPr>
    </w:p>
    <w:p w14:paraId="7229DC08" w14:textId="77777777" w:rsidR="00E30707" w:rsidRDefault="00E30707" w:rsidP="000768C0">
      <w:pPr>
        <w:spacing w:after="0" w:line="240" w:lineRule="auto"/>
        <w:jc w:val="both"/>
      </w:pPr>
    </w:p>
    <w:p w14:paraId="2B511B58" w14:textId="7DA1D18D" w:rsidR="00174569" w:rsidRPr="000678D9" w:rsidRDefault="00947E9A" w:rsidP="000768C0">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II</w:t>
      </w:r>
      <w:r w:rsidR="00AC2277" w:rsidRPr="000678D9">
        <w:rPr>
          <w:rFonts w:asciiTheme="minorHAnsi" w:hAnsiTheme="minorHAnsi" w:cstheme="minorHAnsi"/>
          <w:b/>
          <w:bCs/>
          <w:color w:val="4472C4" w:themeColor="accent1"/>
        </w:rPr>
        <w:t xml:space="preserve">. a. </w:t>
      </w:r>
      <w:r w:rsidR="002433BD" w:rsidRPr="000678D9">
        <w:rPr>
          <w:rFonts w:asciiTheme="minorHAnsi" w:hAnsiTheme="minorHAnsi" w:cstheme="minorHAnsi"/>
          <w:b/>
          <w:bCs/>
          <w:color w:val="4472C4" w:themeColor="accent1"/>
        </w:rPr>
        <w:t>Domestic public resources</w:t>
      </w:r>
    </w:p>
    <w:p w14:paraId="573D8A9C" w14:textId="77777777" w:rsidR="007541D2" w:rsidRDefault="007541D2" w:rsidP="00E30707">
      <w:pPr>
        <w:pStyle w:val="ListParagraph"/>
        <w:spacing w:after="0" w:line="240" w:lineRule="auto"/>
        <w:ind w:left="0"/>
        <w:jc w:val="both"/>
      </w:pPr>
    </w:p>
    <w:p w14:paraId="0C00761A" w14:textId="77777777" w:rsidR="00BA634F" w:rsidRPr="00F07081" w:rsidRDefault="00BA634F" w:rsidP="00E30707">
      <w:pPr>
        <w:spacing w:after="0" w:line="240" w:lineRule="auto"/>
        <w:jc w:val="both"/>
        <w:rPr>
          <w:b/>
          <w:bCs/>
          <w:i/>
          <w:iCs/>
          <w:color w:val="000000" w:themeColor="text1"/>
          <w:sz w:val="24"/>
          <w:szCs w:val="24"/>
        </w:rPr>
      </w:pPr>
      <w:r w:rsidRPr="00F07081">
        <w:rPr>
          <w:b/>
          <w:bCs/>
          <w:i/>
          <w:iCs/>
          <w:color w:val="000000" w:themeColor="text1"/>
          <w:sz w:val="24"/>
          <w:szCs w:val="24"/>
        </w:rPr>
        <w:t>Lessons from recent successes in tax revenue enhancement</w:t>
      </w:r>
    </w:p>
    <w:p w14:paraId="08BF6A56" w14:textId="77777777" w:rsidR="00BA634F" w:rsidRPr="00BA634F" w:rsidRDefault="00BA634F" w:rsidP="00E30707">
      <w:pPr>
        <w:pStyle w:val="ListParagraph"/>
        <w:spacing w:after="0" w:line="240" w:lineRule="auto"/>
        <w:ind w:left="0"/>
        <w:jc w:val="both"/>
        <w:rPr>
          <w:lang w:val="en-GB"/>
        </w:rPr>
      </w:pPr>
    </w:p>
    <w:p w14:paraId="325F2322" w14:textId="66079257" w:rsidR="00BA634F" w:rsidRPr="00BA634F" w:rsidRDefault="00E23AD7" w:rsidP="00E30707">
      <w:pPr>
        <w:pStyle w:val="ListParagraph"/>
        <w:spacing w:after="0" w:line="240" w:lineRule="auto"/>
        <w:ind w:left="0"/>
        <w:jc w:val="both"/>
        <w:rPr>
          <w:lang w:val="en-GB"/>
        </w:rPr>
      </w:pPr>
      <w:r>
        <w:rPr>
          <w:lang w:val="en-GB"/>
        </w:rPr>
        <w:t xml:space="preserve">Several </w:t>
      </w:r>
      <w:r w:rsidR="005A3F30">
        <w:rPr>
          <w:lang w:val="en-GB"/>
        </w:rPr>
        <w:t>Asia</w:t>
      </w:r>
      <w:r>
        <w:rPr>
          <w:lang w:val="en-GB"/>
        </w:rPr>
        <w:t xml:space="preserve">-Pacific </w:t>
      </w:r>
      <w:r w:rsidR="00A775BD">
        <w:rPr>
          <w:lang w:val="en-GB"/>
        </w:rPr>
        <w:t>countries</w:t>
      </w:r>
      <w:r w:rsidR="005A3F30">
        <w:rPr>
          <w:lang w:val="en-GB"/>
        </w:rPr>
        <w:t xml:space="preserve"> </w:t>
      </w:r>
      <w:r w:rsidR="00F86198">
        <w:rPr>
          <w:lang w:val="en-GB"/>
        </w:rPr>
        <w:t xml:space="preserve">have </w:t>
      </w:r>
      <w:r w:rsidR="00C7477E" w:rsidRPr="00C7477E">
        <w:rPr>
          <w:lang w:val="en-GB"/>
        </w:rPr>
        <w:t xml:space="preserve">achieved </w:t>
      </w:r>
      <w:r w:rsidR="00C7477E" w:rsidRPr="00AF7678">
        <w:rPr>
          <w:lang w:val="en-GB"/>
        </w:rPr>
        <w:t xml:space="preserve">remarkable progress in tax revenue mobilization since </w:t>
      </w:r>
      <w:r w:rsidR="000428C4" w:rsidRPr="00AF7678">
        <w:rPr>
          <w:lang w:val="en-GB"/>
        </w:rPr>
        <w:t>2000</w:t>
      </w:r>
      <w:r w:rsidR="00C7477E" w:rsidRPr="00AF7678">
        <w:rPr>
          <w:lang w:val="en-GB"/>
        </w:rPr>
        <w:t xml:space="preserve">, with regional </w:t>
      </w:r>
      <w:r w:rsidR="00A24F8E" w:rsidRPr="00AF7678">
        <w:rPr>
          <w:lang w:val="en-GB"/>
        </w:rPr>
        <w:t>average tax-to- ratio increasing from 13</w:t>
      </w:r>
      <w:r w:rsidR="00107CB9" w:rsidRPr="00AF7678">
        <w:rPr>
          <w:lang w:val="en-GB"/>
        </w:rPr>
        <w:t xml:space="preserve"> per cent</w:t>
      </w:r>
      <w:r w:rsidR="00A24F8E" w:rsidRPr="00AF7678">
        <w:rPr>
          <w:lang w:val="en-GB"/>
        </w:rPr>
        <w:t xml:space="preserve"> in </w:t>
      </w:r>
      <w:r w:rsidR="00727F63" w:rsidRPr="00AF7678">
        <w:rPr>
          <w:lang w:val="en-GB"/>
        </w:rPr>
        <w:t>2001 to 18.4</w:t>
      </w:r>
      <w:r w:rsidR="00107CB9" w:rsidRPr="00AF7678">
        <w:rPr>
          <w:lang w:val="en-GB"/>
        </w:rPr>
        <w:t xml:space="preserve"> per cent </w:t>
      </w:r>
      <w:r w:rsidR="00727F63" w:rsidRPr="00AF7678">
        <w:rPr>
          <w:lang w:val="en-GB"/>
        </w:rPr>
        <w:t>in 2022</w:t>
      </w:r>
      <w:r w:rsidR="00FE1C96" w:rsidRPr="00AF7678">
        <w:rPr>
          <w:lang w:val="en-GB"/>
        </w:rPr>
        <w:t xml:space="preserve">. </w:t>
      </w:r>
      <w:r w:rsidR="00727F63" w:rsidRPr="00AF7678">
        <w:rPr>
          <w:lang w:val="en-GB"/>
        </w:rPr>
        <w:t>Three main factors contributed to this</w:t>
      </w:r>
      <w:r w:rsidR="00FE1C96" w:rsidRPr="00AF7678">
        <w:rPr>
          <w:lang w:val="en-GB"/>
        </w:rPr>
        <w:t xml:space="preserve"> positive development</w:t>
      </w:r>
      <w:r w:rsidR="00BA634F" w:rsidRPr="00AF7678">
        <w:rPr>
          <w:lang w:val="en-GB"/>
        </w:rPr>
        <w:t xml:space="preserve">: </w:t>
      </w:r>
      <w:proofErr w:type="spellStart"/>
      <w:r w:rsidR="00BA634F" w:rsidRPr="00AF7678">
        <w:rPr>
          <w:lang w:val="en-GB"/>
        </w:rPr>
        <w:t>i</w:t>
      </w:r>
      <w:proofErr w:type="spellEnd"/>
      <w:r w:rsidR="00BA634F" w:rsidRPr="00AF7678">
        <w:rPr>
          <w:lang w:val="en-GB"/>
        </w:rPr>
        <w:t xml:space="preserve">) rationalized tax structure and tax rates to streamline taxation processes and unlock the revenue potential of broad-based tax handles; ii) strengthened tax administration to ensure compliance and collection efficiency; and iii) reduction in wasteful tax exemptions to broaden the tax base. In many </w:t>
      </w:r>
      <w:r w:rsidR="003F1331" w:rsidRPr="00AF7678">
        <w:rPr>
          <w:lang w:val="en-GB"/>
        </w:rPr>
        <w:t>instances</w:t>
      </w:r>
      <w:r w:rsidR="00BA634F" w:rsidRPr="00AF7678">
        <w:rPr>
          <w:lang w:val="en-GB"/>
        </w:rPr>
        <w:t>, the</w:t>
      </w:r>
      <w:r w:rsidR="003F1331" w:rsidRPr="00AF7678">
        <w:rPr>
          <w:lang w:val="en-GB"/>
        </w:rPr>
        <w:t>se factors</w:t>
      </w:r>
      <w:r w:rsidR="00BA634F" w:rsidRPr="00AF7678">
        <w:rPr>
          <w:lang w:val="en-GB"/>
        </w:rPr>
        <w:t xml:space="preserve"> mutually </w:t>
      </w:r>
      <w:r w:rsidR="003F1331" w:rsidRPr="00AF7678">
        <w:rPr>
          <w:lang w:val="en-GB"/>
        </w:rPr>
        <w:t>reinforced</w:t>
      </w:r>
      <w:r w:rsidR="00BA634F" w:rsidRPr="00AF7678">
        <w:rPr>
          <w:lang w:val="en-GB"/>
        </w:rPr>
        <w:t xml:space="preserve"> each other.</w:t>
      </w:r>
      <w:r w:rsidR="00BA634F" w:rsidRPr="00BA634F">
        <w:rPr>
          <w:lang w:val="en-GB"/>
        </w:rPr>
        <w:t xml:space="preserve"> </w:t>
      </w:r>
    </w:p>
    <w:p w14:paraId="06D3AA8B" w14:textId="77777777" w:rsidR="00BA634F" w:rsidRPr="00BA634F" w:rsidRDefault="00BA634F" w:rsidP="00E30707">
      <w:pPr>
        <w:pStyle w:val="ListParagraph"/>
        <w:spacing w:after="0" w:line="240" w:lineRule="auto"/>
        <w:ind w:left="0"/>
        <w:jc w:val="both"/>
        <w:rPr>
          <w:lang w:val="en-GB"/>
        </w:rPr>
      </w:pPr>
    </w:p>
    <w:p w14:paraId="01424C26" w14:textId="55406636" w:rsidR="00BA634F" w:rsidRPr="00BA634F" w:rsidRDefault="00BA634F" w:rsidP="00E30707">
      <w:pPr>
        <w:pStyle w:val="ListParagraph"/>
        <w:spacing w:after="0" w:line="240" w:lineRule="auto"/>
        <w:ind w:left="0"/>
        <w:jc w:val="both"/>
        <w:rPr>
          <w:lang w:val="en-GB"/>
        </w:rPr>
      </w:pPr>
      <w:r w:rsidRPr="00BA634F">
        <w:rPr>
          <w:lang w:val="en-GB"/>
        </w:rPr>
        <w:t xml:space="preserve">Effective tax administration </w:t>
      </w:r>
      <w:r w:rsidR="00615887">
        <w:rPr>
          <w:lang w:val="en-GB"/>
        </w:rPr>
        <w:t>played a central role</w:t>
      </w:r>
      <w:r w:rsidRPr="00BA634F">
        <w:rPr>
          <w:lang w:val="en-GB"/>
        </w:rPr>
        <w:t xml:space="preserve"> </w:t>
      </w:r>
      <w:r w:rsidR="00615887">
        <w:rPr>
          <w:lang w:val="en-GB"/>
        </w:rPr>
        <w:t>in</w:t>
      </w:r>
      <w:r w:rsidRPr="00BA634F">
        <w:rPr>
          <w:lang w:val="en-GB"/>
        </w:rPr>
        <w:t xml:space="preserve"> </w:t>
      </w:r>
      <w:r w:rsidR="00FE1C96">
        <w:rPr>
          <w:lang w:val="en-GB"/>
        </w:rPr>
        <w:t xml:space="preserve">this </w:t>
      </w:r>
      <w:r w:rsidRPr="00BA634F">
        <w:rPr>
          <w:lang w:val="en-GB"/>
        </w:rPr>
        <w:t xml:space="preserve">success. Enhanced tax audit, better taxpayer registration and services, and adoption of digital solutions in tax administration were the most common measures taken. </w:t>
      </w:r>
      <w:r w:rsidR="003B6FEA">
        <w:rPr>
          <w:lang w:val="en-GB"/>
        </w:rPr>
        <w:t>S</w:t>
      </w:r>
      <w:r w:rsidRPr="00BA634F">
        <w:rPr>
          <w:lang w:val="en-GB"/>
        </w:rPr>
        <w:t>treamlined operations and strengthened internal governance of tax authorities, creation of dedicated large taxpayer units</w:t>
      </w:r>
      <w:r w:rsidR="009478BD">
        <w:rPr>
          <w:lang w:val="en-GB"/>
        </w:rPr>
        <w:t>,</w:t>
      </w:r>
      <w:r w:rsidRPr="00BA634F">
        <w:rPr>
          <w:lang w:val="en-GB"/>
        </w:rPr>
        <w:t xml:space="preserve"> and collaboration and information exchange between the tax authority and other pertinent ministries also served as key ingredients </w:t>
      </w:r>
      <w:r w:rsidR="009478BD">
        <w:rPr>
          <w:lang w:val="en-GB"/>
        </w:rPr>
        <w:t>to</w:t>
      </w:r>
      <w:r w:rsidRPr="00BA634F">
        <w:rPr>
          <w:lang w:val="en-GB"/>
        </w:rPr>
        <w:t xml:space="preserve"> the success. </w:t>
      </w:r>
    </w:p>
    <w:p w14:paraId="2572E688" w14:textId="77777777" w:rsidR="00BA634F" w:rsidRDefault="00BA634F" w:rsidP="00E30707">
      <w:pPr>
        <w:pStyle w:val="ListParagraph"/>
        <w:spacing w:after="0" w:line="240" w:lineRule="auto"/>
        <w:ind w:left="0"/>
        <w:jc w:val="both"/>
        <w:rPr>
          <w:lang w:val="en-GB"/>
        </w:rPr>
      </w:pPr>
    </w:p>
    <w:p w14:paraId="621DD510" w14:textId="278CBB2C" w:rsidR="00AE1F25" w:rsidRPr="00F07081" w:rsidRDefault="00B11039" w:rsidP="00E30707">
      <w:pPr>
        <w:spacing w:after="0" w:line="240" w:lineRule="auto"/>
        <w:jc w:val="both"/>
        <w:rPr>
          <w:b/>
          <w:bCs/>
          <w:i/>
          <w:iCs/>
          <w:color w:val="000000" w:themeColor="text1"/>
          <w:sz w:val="24"/>
          <w:szCs w:val="24"/>
        </w:rPr>
      </w:pPr>
      <w:r w:rsidRPr="00F07081">
        <w:rPr>
          <w:b/>
          <w:bCs/>
          <w:i/>
          <w:iCs/>
          <w:color w:val="000000" w:themeColor="text1"/>
          <w:sz w:val="24"/>
          <w:szCs w:val="24"/>
        </w:rPr>
        <w:t xml:space="preserve">Gaps in personal income taxes </w:t>
      </w:r>
      <w:r w:rsidRPr="00F07081">
        <w:rPr>
          <w:b/>
          <w:bCs/>
          <w:i/>
          <w:iCs/>
          <w:color w:val="000000" w:themeColor="text1"/>
          <w:sz w:val="24"/>
          <w:szCs w:val="24"/>
        </w:rPr>
        <w:t xml:space="preserve">(PIT) </w:t>
      </w:r>
      <w:r w:rsidRPr="00F07081">
        <w:rPr>
          <w:b/>
          <w:bCs/>
          <w:i/>
          <w:iCs/>
          <w:color w:val="000000" w:themeColor="text1"/>
          <w:sz w:val="24"/>
          <w:szCs w:val="24"/>
        </w:rPr>
        <w:t>and property and wealth taxes</w:t>
      </w:r>
      <w:r w:rsidRPr="00F07081">
        <w:rPr>
          <w:b/>
          <w:bCs/>
          <w:i/>
          <w:iCs/>
          <w:color w:val="000000" w:themeColor="text1"/>
          <w:sz w:val="24"/>
          <w:szCs w:val="24"/>
        </w:rPr>
        <w:t xml:space="preserve"> (PWT)</w:t>
      </w:r>
    </w:p>
    <w:p w14:paraId="50BD8545" w14:textId="77777777" w:rsidR="00AE1F25" w:rsidRPr="00AE1F25" w:rsidRDefault="00AE1F25" w:rsidP="00E30707">
      <w:pPr>
        <w:pStyle w:val="ListParagraph"/>
        <w:spacing w:after="0" w:line="240" w:lineRule="auto"/>
        <w:ind w:left="0"/>
        <w:jc w:val="both"/>
      </w:pPr>
    </w:p>
    <w:p w14:paraId="53A61BA9" w14:textId="0FF6C0C0" w:rsidR="00AE1F25" w:rsidRDefault="00AE1F25" w:rsidP="00E30707">
      <w:pPr>
        <w:pStyle w:val="ListParagraph"/>
        <w:spacing w:after="0" w:line="240" w:lineRule="auto"/>
        <w:ind w:left="0"/>
        <w:jc w:val="both"/>
        <w:rPr>
          <w:rFonts w:cstheme="minorHAnsi"/>
          <w:lang w:val="en-GB"/>
        </w:rPr>
      </w:pPr>
      <w:r w:rsidRPr="00AE1F25">
        <w:rPr>
          <w:lang w:val="en-GB"/>
        </w:rPr>
        <w:t xml:space="preserve">Despite such progress, tax revenue mobilization in </w:t>
      </w:r>
      <w:r w:rsidR="00183586">
        <w:rPr>
          <w:lang w:val="en-GB"/>
        </w:rPr>
        <w:t>some</w:t>
      </w:r>
      <w:r w:rsidR="008125B3">
        <w:rPr>
          <w:lang w:val="en-GB"/>
        </w:rPr>
        <w:t xml:space="preserve"> </w:t>
      </w:r>
      <w:r w:rsidRPr="00AE1F25">
        <w:rPr>
          <w:lang w:val="en-GB"/>
        </w:rPr>
        <w:t>developing Asia</w:t>
      </w:r>
      <w:r w:rsidR="008125B3">
        <w:rPr>
          <w:lang w:val="en-GB"/>
        </w:rPr>
        <w:t>-Pacific countries</w:t>
      </w:r>
      <w:r w:rsidRPr="00AE1F25">
        <w:rPr>
          <w:lang w:val="en-GB"/>
        </w:rPr>
        <w:t xml:space="preserve"> remains low in comparison to </w:t>
      </w:r>
      <w:r w:rsidR="00B56AD1">
        <w:rPr>
          <w:lang w:val="en-GB"/>
        </w:rPr>
        <w:t xml:space="preserve">members of </w:t>
      </w:r>
      <w:r w:rsidR="00B56AD1" w:rsidRPr="00067CB0">
        <w:t>Organization</w:t>
      </w:r>
      <w:r w:rsidR="00100B3C" w:rsidRPr="00067CB0">
        <w:t xml:space="preserve"> for Economic Co-operation and Development</w:t>
      </w:r>
      <w:r w:rsidR="00100B3C" w:rsidRPr="00AE1F25">
        <w:rPr>
          <w:lang w:val="en-GB"/>
        </w:rPr>
        <w:t xml:space="preserve"> </w:t>
      </w:r>
      <w:r w:rsidR="00100B3C">
        <w:rPr>
          <w:lang w:val="en-GB"/>
        </w:rPr>
        <w:t>(</w:t>
      </w:r>
      <w:r w:rsidRPr="00AE1F25">
        <w:rPr>
          <w:lang w:val="en-GB"/>
        </w:rPr>
        <w:t>OECD</w:t>
      </w:r>
      <w:r w:rsidR="00F94196">
        <w:rPr>
          <w:lang w:val="en-GB"/>
        </w:rPr>
        <w:t>)</w:t>
      </w:r>
      <w:r w:rsidRPr="00AE1F25">
        <w:rPr>
          <w:lang w:val="en-GB"/>
        </w:rPr>
        <w:t xml:space="preserve"> countries (figure </w:t>
      </w:r>
      <w:r w:rsidR="00581F0F">
        <w:rPr>
          <w:lang w:val="en-GB"/>
        </w:rPr>
        <w:t>1</w:t>
      </w:r>
      <w:r w:rsidRPr="00AE1F25">
        <w:rPr>
          <w:lang w:val="en-GB"/>
        </w:rPr>
        <w:t xml:space="preserve">). If economies in the region were to match their revenue performance on PIT and PWT with that of </w:t>
      </w:r>
      <w:r w:rsidR="00B11039">
        <w:rPr>
          <w:lang w:val="en-GB"/>
        </w:rPr>
        <w:t>goods and services taxes (</w:t>
      </w:r>
      <w:r w:rsidRPr="00AE1F25">
        <w:rPr>
          <w:lang w:val="en-GB"/>
        </w:rPr>
        <w:t>GST</w:t>
      </w:r>
      <w:r w:rsidR="00B11039">
        <w:rPr>
          <w:lang w:val="en-GB"/>
        </w:rPr>
        <w:t>)</w:t>
      </w:r>
      <w:r w:rsidRPr="00AE1F25">
        <w:rPr>
          <w:lang w:val="en-GB"/>
        </w:rPr>
        <w:t xml:space="preserve"> relative to OECD countries, they would be able to mobilize an additional 4.4 per cent of GDP annually and </w:t>
      </w:r>
      <w:r w:rsidRPr="00AE1F25">
        <w:rPr>
          <w:rFonts w:cstheme="minorHAnsi"/>
          <w:lang w:val="en-GB"/>
        </w:rPr>
        <w:t xml:space="preserve">reduce the total tax revenue gap by about half. </w:t>
      </w:r>
    </w:p>
    <w:p w14:paraId="0BF8E7C0" w14:textId="77777777" w:rsidR="00581F0F" w:rsidRDefault="00581F0F" w:rsidP="00E30707">
      <w:pPr>
        <w:pStyle w:val="ListParagraph"/>
        <w:spacing w:after="0" w:line="240" w:lineRule="auto"/>
        <w:ind w:left="0"/>
        <w:jc w:val="both"/>
        <w:rPr>
          <w:rFonts w:cstheme="minorHAnsi"/>
          <w:lang w:val="en-GB"/>
        </w:rPr>
      </w:pPr>
    </w:p>
    <w:p w14:paraId="22402050" w14:textId="00C0A4D5" w:rsidR="00581F0F" w:rsidRDefault="009B46A1" w:rsidP="00E30707">
      <w:pPr>
        <w:pStyle w:val="ListParagraph"/>
        <w:spacing w:after="0" w:line="240" w:lineRule="auto"/>
        <w:ind w:left="0"/>
        <w:jc w:val="both"/>
        <w:rPr>
          <w:rFonts w:cstheme="minorHAnsi"/>
          <w:lang w:val="en-GB"/>
        </w:rPr>
      </w:pPr>
      <w:r>
        <w:rPr>
          <w:rFonts w:cstheme="minorHAnsi"/>
          <w:lang w:val="en-GB"/>
        </w:rPr>
        <w:t xml:space="preserve">In particular, </w:t>
      </w:r>
      <w:r w:rsidR="00BC6E88">
        <w:rPr>
          <w:rFonts w:cstheme="minorHAnsi"/>
          <w:lang w:val="en-GB"/>
        </w:rPr>
        <w:t>t</w:t>
      </w:r>
      <w:r w:rsidRPr="009B46A1">
        <w:rPr>
          <w:rFonts w:cstheme="minorHAnsi"/>
          <w:lang w:val="en-GB"/>
        </w:rPr>
        <w:t>he</w:t>
      </w:r>
      <w:r w:rsidR="008E4B85">
        <w:rPr>
          <w:rFonts w:cstheme="minorHAnsi"/>
          <w:lang w:val="en-GB"/>
        </w:rPr>
        <w:t xml:space="preserve"> fertile tax base of the region’s</w:t>
      </w:r>
      <w:r w:rsidRPr="009B46A1">
        <w:rPr>
          <w:rFonts w:cstheme="minorHAnsi"/>
          <w:lang w:val="en-GB"/>
        </w:rPr>
        <w:t xml:space="preserve"> booming property markets </w:t>
      </w:r>
      <w:r w:rsidR="00BC6E88">
        <w:rPr>
          <w:rFonts w:cstheme="minorHAnsi"/>
          <w:lang w:val="en-GB"/>
        </w:rPr>
        <w:t>remain</w:t>
      </w:r>
      <w:r w:rsidR="008E4B85">
        <w:rPr>
          <w:rFonts w:cstheme="minorHAnsi"/>
          <w:lang w:val="en-GB"/>
        </w:rPr>
        <w:t>s u</w:t>
      </w:r>
      <w:r w:rsidR="00D6191F">
        <w:rPr>
          <w:rFonts w:cstheme="minorHAnsi"/>
          <w:lang w:val="en-GB"/>
        </w:rPr>
        <w:t xml:space="preserve">nder-tapped to date. </w:t>
      </w:r>
      <w:r w:rsidRPr="009B46A1">
        <w:rPr>
          <w:rFonts w:cstheme="minorHAnsi"/>
          <w:lang w:val="en-GB"/>
        </w:rPr>
        <w:t>Assuming a recurrent property tax rate</w:t>
      </w:r>
      <w:r w:rsidR="00420526">
        <w:rPr>
          <w:rFonts w:cstheme="minorHAnsi"/>
          <w:lang w:val="en-GB"/>
        </w:rPr>
        <w:t xml:space="preserve"> of 0.5</w:t>
      </w:r>
      <w:r w:rsidR="00FC24A8">
        <w:rPr>
          <w:rFonts w:cstheme="minorHAnsi"/>
          <w:lang w:val="en-GB"/>
        </w:rPr>
        <w:t xml:space="preserve"> per cent</w:t>
      </w:r>
      <w:r w:rsidR="00881958">
        <w:rPr>
          <w:rFonts w:cstheme="minorHAnsi"/>
          <w:lang w:val="en-GB"/>
        </w:rPr>
        <w:t xml:space="preserve"> without exemptions,</w:t>
      </w:r>
      <w:r w:rsidRPr="009B46A1">
        <w:rPr>
          <w:rFonts w:cstheme="minorHAnsi"/>
          <w:lang w:val="en-GB"/>
        </w:rPr>
        <w:t xml:space="preserve"> about 3.5 per cent of GDP, on average, can potentially be added to the public coffer every year</w:t>
      </w:r>
      <w:r w:rsidR="003336A2">
        <w:rPr>
          <w:rFonts w:cstheme="minorHAnsi"/>
          <w:lang w:val="en-GB"/>
        </w:rPr>
        <w:t xml:space="preserve"> </w:t>
      </w:r>
      <w:r w:rsidR="003336A2" w:rsidRPr="009B46A1">
        <w:rPr>
          <w:rFonts w:cstheme="minorHAnsi"/>
          <w:lang w:val="en-GB"/>
        </w:rPr>
        <w:t>(figure 2)</w:t>
      </w:r>
      <w:r w:rsidRPr="009B46A1">
        <w:rPr>
          <w:rFonts w:cstheme="minorHAnsi"/>
          <w:lang w:val="en-GB"/>
        </w:rPr>
        <w:t xml:space="preserve">. </w:t>
      </w:r>
      <w:r w:rsidR="00EF5454">
        <w:rPr>
          <w:rFonts w:cstheme="minorHAnsi"/>
          <w:lang w:val="en-GB"/>
        </w:rPr>
        <w:t>Yet</w:t>
      </w:r>
      <w:r w:rsidRPr="009B46A1">
        <w:rPr>
          <w:rFonts w:cstheme="minorHAnsi"/>
          <w:lang w:val="en-GB"/>
        </w:rPr>
        <w:t>, as of 2022, government revenue from various property taxes exceeded 0.5 per cent of GDP in only five countries</w:t>
      </w:r>
      <w:r w:rsidR="00701717">
        <w:rPr>
          <w:rFonts w:cstheme="minorHAnsi"/>
          <w:lang w:val="en-GB"/>
        </w:rPr>
        <w:t xml:space="preserve"> </w:t>
      </w:r>
      <w:r w:rsidR="00881958">
        <w:rPr>
          <w:rFonts w:cstheme="minorHAnsi"/>
          <w:lang w:val="en-GB"/>
        </w:rPr>
        <w:t>and</w:t>
      </w:r>
      <w:r w:rsidR="00701717">
        <w:rPr>
          <w:rFonts w:cstheme="minorHAnsi"/>
          <w:lang w:val="en-GB"/>
        </w:rPr>
        <w:t xml:space="preserve"> stayed close to zero </w:t>
      </w:r>
      <w:r w:rsidRPr="009B46A1">
        <w:rPr>
          <w:rFonts w:cstheme="minorHAnsi"/>
          <w:lang w:val="en-GB"/>
        </w:rPr>
        <w:t>in half of the countries where data is available.</w:t>
      </w:r>
    </w:p>
    <w:p w14:paraId="3C34D6A4" w14:textId="77777777" w:rsidR="000678D9" w:rsidRDefault="000678D9" w:rsidP="00E30707">
      <w:pPr>
        <w:pStyle w:val="ListParagraph"/>
        <w:spacing w:after="0" w:line="240" w:lineRule="auto"/>
        <w:ind w:left="0"/>
        <w:jc w:val="both"/>
        <w:rPr>
          <w:rFonts w:cstheme="minorHAnsi"/>
          <w:lang w:val="en-GB"/>
        </w:rPr>
      </w:pPr>
    </w:p>
    <w:p w14:paraId="59229A39" w14:textId="05560A9D" w:rsidR="00E30707" w:rsidRDefault="00E30707">
      <w:pPr>
        <w:rPr>
          <w:rFonts w:cstheme="minorHAnsi"/>
          <w:lang w:val="en-GB"/>
        </w:rPr>
      </w:pPr>
      <w:r>
        <w:rPr>
          <w:rFonts w:cstheme="minorHAnsi"/>
          <w:lang w:val="en-GB"/>
        </w:rPr>
        <w:br w:type="page"/>
      </w:r>
    </w:p>
    <w:p w14:paraId="38AA15CD" w14:textId="086F1493" w:rsidR="00581F0F" w:rsidRDefault="00581F0F" w:rsidP="00E30707">
      <w:pPr>
        <w:pStyle w:val="ListParagraph"/>
        <w:snapToGrid w:val="0"/>
        <w:spacing w:after="0" w:line="240" w:lineRule="auto"/>
        <w:ind w:left="0"/>
        <w:contextualSpacing w:val="0"/>
        <w:jc w:val="both"/>
        <w:rPr>
          <w:rFonts w:cstheme="minorHAnsi"/>
        </w:rPr>
      </w:pPr>
      <w:r w:rsidRPr="006162B3">
        <w:rPr>
          <w:rFonts w:cstheme="minorHAnsi"/>
          <w:b/>
          <w:bCs/>
        </w:rPr>
        <w:lastRenderedPageBreak/>
        <w:t>Figure 1. Tax revenue, by source, 2021 or the latest yea</w:t>
      </w:r>
      <w:bookmarkStart w:id="0" w:name="_Hlk160721960"/>
      <w:r w:rsidR="00AB6DAC" w:rsidRPr="006162B3">
        <w:rPr>
          <w:rFonts w:cstheme="minorHAnsi"/>
          <w:b/>
          <w:bCs/>
        </w:rPr>
        <w:t xml:space="preserve">r </w:t>
      </w:r>
      <w:r w:rsidRPr="006928A0">
        <w:rPr>
          <w:rFonts w:cstheme="minorHAnsi"/>
          <w:b/>
          <w:bCs/>
        </w:rPr>
        <w:t>(</w:t>
      </w:r>
      <w:r w:rsidR="00F835A3" w:rsidRPr="006928A0">
        <w:rPr>
          <w:rFonts w:cstheme="minorHAnsi"/>
          <w:b/>
          <w:bCs/>
        </w:rPr>
        <w:t>p</w:t>
      </w:r>
      <w:r w:rsidRPr="006928A0">
        <w:rPr>
          <w:rFonts w:cstheme="minorHAnsi"/>
          <w:b/>
          <w:bCs/>
        </w:rPr>
        <w:t>ercentage of GDP)</w:t>
      </w:r>
    </w:p>
    <w:p w14:paraId="235D7B72" w14:textId="77777777" w:rsidR="00FD1A25" w:rsidRPr="006162B3" w:rsidRDefault="00FD1A25" w:rsidP="00AB6DAC">
      <w:pPr>
        <w:pStyle w:val="ListParagraph"/>
        <w:snapToGrid w:val="0"/>
        <w:spacing w:after="0" w:line="240" w:lineRule="auto"/>
        <w:ind w:left="0"/>
        <w:contextualSpacing w:val="0"/>
        <w:jc w:val="both"/>
        <w:rPr>
          <w:rFonts w:cstheme="minorHAnsi"/>
        </w:rPr>
      </w:pPr>
    </w:p>
    <w:bookmarkEnd w:id="0"/>
    <w:p w14:paraId="70132406" w14:textId="77777777" w:rsidR="00581F0F" w:rsidRPr="00581F0F" w:rsidRDefault="00581F0F" w:rsidP="00581F0F">
      <w:pPr>
        <w:pStyle w:val="ListParagraph"/>
        <w:ind w:left="0"/>
        <w:jc w:val="both"/>
        <w:rPr>
          <w:rFonts w:cstheme="minorHAnsi"/>
        </w:rPr>
      </w:pPr>
      <w:r w:rsidRPr="00581F0F">
        <w:rPr>
          <w:rFonts w:cstheme="minorHAnsi"/>
          <w:noProof/>
        </w:rPr>
        <w:drawing>
          <wp:inline distT="0" distB="0" distL="0" distR="0" wp14:anchorId="000797AC" wp14:editId="17CAD0C5">
            <wp:extent cx="5958840" cy="2733675"/>
            <wp:effectExtent l="0" t="0" r="3810" b="0"/>
            <wp:docPr id="464645171" name="图表 5">
              <a:extLst xmlns:a="http://schemas.openxmlformats.org/drawingml/2006/main">
                <a:ext uri="{FF2B5EF4-FFF2-40B4-BE49-F238E27FC236}">
                  <a16:creationId xmlns:a16="http://schemas.microsoft.com/office/drawing/2014/main" id="{E0B85613-05D9-40C9-9C33-0F81AC934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5D8523" w14:textId="457399D2" w:rsidR="00581F0F" w:rsidRPr="00581F0F" w:rsidRDefault="00581F0F" w:rsidP="00581F0F">
      <w:pPr>
        <w:pStyle w:val="ListParagraph"/>
        <w:ind w:left="0"/>
        <w:jc w:val="both"/>
        <w:rPr>
          <w:rFonts w:cstheme="minorHAnsi"/>
          <w:sz w:val="18"/>
          <w:szCs w:val="18"/>
        </w:rPr>
      </w:pPr>
      <w:r w:rsidRPr="00581F0F">
        <w:rPr>
          <w:rFonts w:cstheme="minorHAnsi"/>
          <w:i/>
          <w:iCs/>
          <w:sz w:val="18"/>
          <w:szCs w:val="18"/>
        </w:rPr>
        <w:t>Source</w:t>
      </w:r>
      <w:r w:rsidRPr="00581F0F">
        <w:rPr>
          <w:rFonts w:cstheme="minorHAnsi"/>
          <w:sz w:val="18"/>
          <w:szCs w:val="18"/>
        </w:rPr>
        <w:t xml:space="preserve">: ESCAP, based on the </w:t>
      </w:r>
      <w:r w:rsidR="008B3FDE" w:rsidRPr="008B3FDE">
        <w:rPr>
          <w:rFonts w:cstheme="minorHAnsi"/>
          <w:sz w:val="18"/>
          <w:szCs w:val="18"/>
        </w:rPr>
        <w:t xml:space="preserve">International Monetary Fund </w:t>
      </w:r>
      <w:r w:rsidR="008B3FDE">
        <w:rPr>
          <w:rFonts w:cstheme="minorHAnsi"/>
          <w:sz w:val="18"/>
          <w:szCs w:val="18"/>
        </w:rPr>
        <w:t>(</w:t>
      </w:r>
      <w:r w:rsidRPr="00581F0F">
        <w:rPr>
          <w:rFonts w:cstheme="minorHAnsi"/>
          <w:sz w:val="18"/>
          <w:szCs w:val="18"/>
        </w:rPr>
        <w:t>IMF</w:t>
      </w:r>
      <w:r w:rsidR="008B3FDE">
        <w:rPr>
          <w:rFonts w:cstheme="minorHAnsi"/>
          <w:sz w:val="18"/>
          <w:szCs w:val="18"/>
        </w:rPr>
        <w:t>)</w:t>
      </w:r>
      <w:r w:rsidR="00766198">
        <w:rPr>
          <w:rFonts w:cstheme="minorHAnsi"/>
          <w:sz w:val="18"/>
          <w:szCs w:val="18"/>
        </w:rPr>
        <w:t>,</w:t>
      </w:r>
      <w:r w:rsidRPr="00581F0F">
        <w:rPr>
          <w:rFonts w:cstheme="minorHAnsi"/>
          <w:sz w:val="18"/>
          <w:szCs w:val="18"/>
        </w:rPr>
        <w:t xml:space="preserve"> World Revenue Longitudinal Data set.</w:t>
      </w:r>
    </w:p>
    <w:p w14:paraId="4576648C" w14:textId="77777777" w:rsidR="00581F0F" w:rsidRPr="00F62F9F" w:rsidRDefault="00581F0F" w:rsidP="00A95BEE">
      <w:pPr>
        <w:pStyle w:val="ListParagraph"/>
        <w:spacing w:after="0" w:line="240" w:lineRule="auto"/>
        <w:ind w:left="0"/>
        <w:jc w:val="both"/>
        <w:rPr>
          <w:rFonts w:cstheme="minorHAnsi"/>
        </w:rPr>
      </w:pPr>
    </w:p>
    <w:p w14:paraId="53C2C588" w14:textId="451143C0" w:rsidR="00F62F9F" w:rsidRDefault="00F62F9F" w:rsidP="00F62F9F">
      <w:pPr>
        <w:pStyle w:val="ListParagraph"/>
        <w:ind w:left="0"/>
        <w:jc w:val="both"/>
        <w:rPr>
          <w:rFonts w:cstheme="minorHAnsi"/>
          <w:b/>
          <w:bCs/>
          <w:sz w:val="20"/>
          <w:szCs w:val="20"/>
        </w:rPr>
      </w:pPr>
      <w:r w:rsidRPr="006162B3">
        <w:rPr>
          <w:rFonts w:cstheme="minorHAnsi"/>
          <w:b/>
          <w:bCs/>
        </w:rPr>
        <w:t>Figure 2. Selected indicators on property market and property-related public revenue potential</w:t>
      </w:r>
    </w:p>
    <w:p w14:paraId="153CAA34" w14:textId="77777777" w:rsidR="00B65F02" w:rsidRPr="00F62F9F" w:rsidRDefault="00B65F02" w:rsidP="00F62F9F">
      <w:pPr>
        <w:pStyle w:val="ListParagraph"/>
        <w:ind w:left="0"/>
        <w:jc w:val="both"/>
        <w:rPr>
          <w:rFonts w:cstheme="minorHAnsi"/>
          <w:b/>
          <w:bCs/>
          <w:sz w:val="20"/>
          <w:szCs w:val="20"/>
        </w:rPr>
      </w:pPr>
    </w:p>
    <w:p w14:paraId="7220E02C" w14:textId="77777777" w:rsidR="00F62F9F" w:rsidRDefault="00F62F9F" w:rsidP="00F62F9F">
      <w:pPr>
        <w:pStyle w:val="ListParagraph"/>
        <w:spacing w:line="240" w:lineRule="auto"/>
        <w:ind w:left="0"/>
        <w:jc w:val="both"/>
        <w:rPr>
          <w:rFonts w:cstheme="minorHAnsi"/>
        </w:rPr>
      </w:pPr>
      <w:r w:rsidRPr="00F62F9F">
        <w:rPr>
          <w:rFonts w:cstheme="minorHAnsi"/>
          <w:noProof/>
        </w:rPr>
        <w:drawing>
          <wp:inline distT="0" distB="0" distL="0" distR="0" wp14:anchorId="699AC6D7" wp14:editId="2BEA7B7D">
            <wp:extent cx="5731510" cy="2958860"/>
            <wp:effectExtent l="0" t="0" r="2540" b="0"/>
            <wp:docPr id="2037879217" name="图表 9">
              <a:extLst xmlns:a="http://schemas.openxmlformats.org/drawingml/2006/main">
                <a:ext uri="{FF2B5EF4-FFF2-40B4-BE49-F238E27FC236}">
                  <a16:creationId xmlns:a16="http://schemas.microsoft.com/office/drawing/2014/main" id="{EACF1880-618A-498E-9437-99675DBFC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8A7441" w14:textId="12E2E0F2" w:rsidR="00F62F9F" w:rsidRPr="00F62F9F" w:rsidRDefault="00F62F9F" w:rsidP="00D51527">
      <w:pPr>
        <w:pStyle w:val="ListParagraph"/>
        <w:spacing w:after="0" w:line="240" w:lineRule="auto"/>
        <w:ind w:left="0"/>
        <w:jc w:val="both"/>
        <w:rPr>
          <w:rFonts w:cstheme="minorHAnsi"/>
          <w:sz w:val="18"/>
          <w:szCs w:val="18"/>
        </w:rPr>
      </w:pPr>
      <w:r w:rsidRPr="00F62F9F">
        <w:rPr>
          <w:rFonts w:cstheme="minorHAnsi"/>
          <w:i/>
          <w:iCs/>
          <w:sz w:val="18"/>
          <w:szCs w:val="18"/>
        </w:rPr>
        <w:t>Source</w:t>
      </w:r>
      <w:r w:rsidRPr="00F62F9F">
        <w:rPr>
          <w:rFonts w:cstheme="minorHAnsi"/>
          <w:sz w:val="18"/>
          <w:szCs w:val="18"/>
        </w:rPr>
        <w:t>: ESCAP, based on the IMF Government Financial Statistics database and Statista estimates on real estate market values</w:t>
      </w:r>
      <w:r w:rsidR="007E11AA">
        <w:rPr>
          <w:rFonts w:cstheme="minorHAnsi"/>
          <w:sz w:val="18"/>
          <w:szCs w:val="18"/>
        </w:rPr>
        <w:t>.</w:t>
      </w:r>
    </w:p>
    <w:p w14:paraId="7015FD17" w14:textId="77777777" w:rsidR="00F62F9F" w:rsidRPr="00F62F9F" w:rsidRDefault="00F62F9F" w:rsidP="00E30707">
      <w:pPr>
        <w:pStyle w:val="ListParagraph"/>
        <w:spacing w:after="0" w:line="240" w:lineRule="auto"/>
        <w:ind w:left="0"/>
        <w:jc w:val="both"/>
        <w:rPr>
          <w:rFonts w:cstheme="minorHAnsi"/>
        </w:rPr>
      </w:pPr>
    </w:p>
    <w:p w14:paraId="6FBBB3F5" w14:textId="5ED66823" w:rsidR="005D485C" w:rsidRPr="00F07081" w:rsidRDefault="005D485C" w:rsidP="00E30707">
      <w:pPr>
        <w:spacing w:after="0" w:line="240" w:lineRule="auto"/>
        <w:jc w:val="both"/>
        <w:rPr>
          <w:b/>
          <w:bCs/>
          <w:i/>
          <w:iCs/>
          <w:color w:val="000000" w:themeColor="text1"/>
          <w:sz w:val="24"/>
          <w:szCs w:val="24"/>
        </w:rPr>
      </w:pPr>
      <w:r w:rsidRPr="00F07081">
        <w:rPr>
          <w:b/>
          <w:bCs/>
          <w:i/>
          <w:iCs/>
          <w:color w:val="000000" w:themeColor="text1"/>
          <w:sz w:val="24"/>
          <w:szCs w:val="24"/>
        </w:rPr>
        <w:t>Tax potentials and the underlying</w:t>
      </w:r>
      <w:r w:rsidR="00A406BF" w:rsidRPr="00F07081">
        <w:rPr>
          <w:b/>
          <w:bCs/>
          <w:i/>
          <w:iCs/>
          <w:color w:val="000000" w:themeColor="text1"/>
          <w:sz w:val="24"/>
          <w:szCs w:val="24"/>
        </w:rPr>
        <w:t xml:space="preserve"> forces affecting it</w:t>
      </w:r>
    </w:p>
    <w:p w14:paraId="176F74E6" w14:textId="77777777" w:rsidR="0037795D" w:rsidRPr="00CB4DE7" w:rsidRDefault="0037795D" w:rsidP="00E30707">
      <w:pPr>
        <w:pStyle w:val="ListParagraph"/>
        <w:spacing w:after="0" w:line="240" w:lineRule="auto"/>
        <w:ind w:left="0"/>
        <w:jc w:val="both"/>
        <w:rPr>
          <w:lang w:val="en-GB"/>
        </w:rPr>
      </w:pPr>
    </w:p>
    <w:p w14:paraId="08409566" w14:textId="57B94ED2" w:rsidR="00A95BEE" w:rsidRDefault="00CB4DE7" w:rsidP="00E30707">
      <w:pPr>
        <w:pStyle w:val="ListParagraph"/>
        <w:spacing w:after="0" w:line="240" w:lineRule="auto"/>
        <w:ind w:left="0"/>
        <w:jc w:val="both"/>
        <w:rPr>
          <w:rFonts w:cstheme="minorHAnsi"/>
        </w:rPr>
      </w:pPr>
      <w:r w:rsidRPr="00CB4DE7">
        <w:rPr>
          <w:lang w:val="en-GB"/>
        </w:rPr>
        <w:t>ESCAP estimates</w:t>
      </w:r>
      <w:r w:rsidR="00FE0054">
        <w:rPr>
          <w:lang w:val="en-GB"/>
        </w:rPr>
        <w:t>,</w:t>
      </w:r>
      <w:r w:rsidRPr="00CB4DE7">
        <w:rPr>
          <w:lang w:val="en-GB"/>
        </w:rPr>
        <w:t xml:space="preserve"> based on a stochastic frontier analysis</w:t>
      </w:r>
      <w:r w:rsidR="00FE0054">
        <w:rPr>
          <w:lang w:val="en-GB"/>
        </w:rPr>
        <w:t>,</w:t>
      </w:r>
      <w:r w:rsidRPr="00CB4DE7">
        <w:rPr>
          <w:lang w:val="en-GB"/>
        </w:rPr>
        <w:t xml:space="preserve"> suggest significant variations in tax potentials</w:t>
      </w:r>
      <w:r w:rsidR="00703477">
        <w:rPr>
          <w:rStyle w:val="FootnoteReference"/>
          <w:lang w:val="en-GB"/>
        </w:rPr>
        <w:footnoteReference w:id="2"/>
      </w:r>
      <w:r w:rsidRPr="00CB4DE7">
        <w:rPr>
          <w:lang w:val="en-GB"/>
        </w:rPr>
        <w:t xml:space="preserve"> across Asia-Pacific countries</w:t>
      </w:r>
      <w:r w:rsidR="007E11AA">
        <w:rPr>
          <w:lang w:val="en-GB"/>
        </w:rPr>
        <w:t xml:space="preserve"> </w:t>
      </w:r>
      <w:r w:rsidRPr="00CB4DE7">
        <w:rPr>
          <w:lang w:val="en-GB"/>
        </w:rPr>
        <w:t xml:space="preserve">(figure </w:t>
      </w:r>
      <w:r w:rsidR="00F62F9F">
        <w:rPr>
          <w:lang w:val="en-GB"/>
        </w:rPr>
        <w:t>3</w:t>
      </w:r>
      <w:r w:rsidRPr="00CB4DE7">
        <w:rPr>
          <w:lang w:val="en-GB"/>
        </w:rPr>
        <w:t xml:space="preserve">). </w:t>
      </w:r>
      <w:r w:rsidR="002308B1">
        <w:rPr>
          <w:lang w:val="en-GB"/>
        </w:rPr>
        <w:t>It also reveals that l</w:t>
      </w:r>
      <w:r w:rsidRPr="00CB4DE7">
        <w:rPr>
          <w:lang w:val="en-GB"/>
        </w:rPr>
        <w:t>ow tax-to-GDP ratios do</w:t>
      </w:r>
      <w:r w:rsidR="004D3301">
        <w:rPr>
          <w:lang w:val="en-GB"/>
        </w:rPr>
        <w:t xml:space="preserve"> not</w:t>
      </w:r>
      <w:r w:rsidRPr="00CB4DE7">
        <w:rPr>
          <w:lang w:val="en-GB"/>
        </w:rPr>
        <w:t xml:space="preserve"> automatically imply high tax potentials. For instance, estimated tax </w:t>
      </w:r>
      <w:r w:rsidR="0041622D">
        <w:rPr>
          <w:lang w:val="en-GB"/>
        </w:rPr>
        <w:t>potential</w:t>
      </w:r>
      <w:r w:rsidRPr="00CB4DE7">
        <w:rPr>
          <w:lang w:val="en-GB"/>
        </w:rPr>
        <w:t xml:space="preserve"> in Bangladesh, Pakistan and Sri Lanka </w:t>
      </w:r>
      <w:r w:rsidR="00703477">
        <w:rPr>
          <w:lang w:val="en-GB"/>
        </w:rPr>
        <w:t>is</w:t>
      </w:r>
      <w:r w:rsidRPr="00CB4DE7">
        <w:rPr>
          <w:lang w:val="en-GB"/>
        </w:rPr>
        <w:t xml:space="preserve"> capped at modest levels by their socioeconomic and governance constraints, despite low revenue collection. In </w:t>
      </w:r>
      <w:r w:rsidRPr="00CB4DE7">
        <w:rPr>
          <w:lang w:val="en-GB"/>
        </w:rPr>
        <w:lastRenderedPageBreak/>
        <w:t xml:space="preserve">these cases, improved tax policies and tax administration alone may have limited revenue impact if broader improvements in </w:t>
      </w:r>
      <w:r w:rsidRPr="000E4F9D">
        <w:rPr>
          <w:rFonts w:cstheme="minorHAnsi"/>
          <w:lang w:val="en-GB"/>
        </w:rPr>
        <w:t xml:space="preserve">socioeconomic fundamentals and governance quality are absent. </w:t>
      </w:r>
      <w:r w:rsidR="008A347F">
        <w:rPr>
          <w:rFonts w:cstheme="minorHAnsi"/>
          <w:lang w:val="en-GB"/>
        </w:rPr>
        <w:t>S</w:t>
      </w:r>
      <w:r w:rsidRPr="000E4F9D">
        <w:rPr>
          <w:rFonts w:cstheme="minorHAnsi"/>
          <w:lang w:val="en-GB"/>
        </w:rPr>
        <w:t>ustained economic development, social progress, such as better education and higher economic equality, and improved public governance may have greater contribution to tax revenue enhancement in the long run than additional tax effort in the short run</w:t>
      </w:r>
      <w:r w:rsidR="00A95BEE" w:rsidRPr="00D51527">
        <w:rPr>
          <w:rFonts w:cstheme="minorHAnsi"/>
        </w:rPr>
        <w:t>.</w:t>
      </w:r>
      <w:r w:rsidR="0062488F" w:rsidRPr="00D51527">
        <w:rPr>
          <w:rStyle w:val="FootnoteReference"/>
          <w:rFonts w:cstheme="minorHAnsi"/>
        </w:rPr>
        <w:footnoteReference w:id="3"/>
      </w:r>
      <w:r w:rsidR="00A95BEE" w:rsidRPr="000E4F9D">
        <w:rPr>
          <w:rFonts w:cstheme="minorHAnsi"/>
        </w:rPr>
        <w:t xml:space="preserve"> </w:t>
      </w:r>
    </w:p>
    <w:p w14:paraId="62D185A7" w14:textId="77777777" w:rsidR="000E4F9D" w:rsidRPr="000E4F9D" w:rsidRDefault="000E4F9D" w:rsidP="00E30707">
      <w:pPr>
        <w:pStyle w:val="ListParagraph"/>
        <w:spacing w:after="0" w:line="240" w:lineRule="auto"/>
        <w:ind w:left="0"/>
        <w:jc w:val="both"/>
        <w:rPr>
          <w:rFonts w:cstheme="minorHAnsi"/>
        </w:rPr>
      </w:pPr>
    </w:p>
    <w:p w14:paraId="70760331" w14:textId="570C1E28" w:rsidR="000E4F9D" w:rsidRPr="006162B3" w:rsidRDefault="000E4F9D" w:rsidP="00D51527">
      <w:pPr>
        <w:pStyle w:val="ListParagraph"/>
        <w:spacing w:after="0" w:line="240" w:lineRule="auto"/>
        <w:ind w:left="0"/>
        <w:jc w:val="both"/>
        <w:rPr>
          <w:rFonts w:cstheme="minorHAnsi"/>
        </w:rPr>
      </w:pPr>
      <w:r w:rsidRPr="006162B3">
        <w:rPr>
          <w:rFonts w:cstheme="minorHAnsi"/>
          <w:b/>
          <w:bCs/>
        </w:rPr>
        <w:t xml:space="preserve">Figure </w:t>
      </w:r>
      <w:r w:rsidR="00F62F9F" w:rsidRPr="006162B3">
        <w:rPr>
          <w:rFonts w:cstheme="minorHAnsi"/>
          <w:b/>
          <w:bCs/>
        </w:rPr>
        <w:t>3</w:t>
      </w:r>
      <w:r w:rsidRPr="006162B3">
        <w:rPr>
          <w:rFonts w:cstheme="minorHAnsi"/>
          <w:b/>
          <w:bCs/>
        </w:rPr>
        <w:t>.</w:t>
      </w:r>
      <w:r w:rsidRPr="006162B3">
        <w:rPr>
          <w:rFonts w:cstheme="minorHAnsi"/>
        </w:rPr>
        <w:t xml:space="preserve"> </w:t>
      </w:r>
      <w:r w:rsidRPr="006162B3">
        <w:rPr>
          <w:rFonts w:cstheme="minorHAnsi"/>
          <w:b/>
          <w:bCs/>
        </w:rPr>
        <w:t>Estimated tax gap and additional tax potential, 2017-2019 average</w:t>
      </w:r>
      <w:r w:rsidR="00504D7D" w:rsidRPr="006162B3">
        <w:rPr>
          <w:rFonts w:cstheme="minorHAnsi"/>
        </w:rPr>
        <w:t xml:space="preserve"> </w:t>
      </w:r>
      <w:r w:rsidRPr="00D51527">
        <w:rPr>
          <w:rFonts w:cstheme="minorHAnsi"/>
          <w:b/>
          <w:bCs/>
        </w:rPr>
        <w:t>(</w:t>
      </w:r>
      <w:r w:rsidR="007D4EE1" w:rsidRPr="00D51527">
        <w:rPr>
          <w:rFonts w:cstheme="minorHAnsi"/>
          <w:b/>
          <w:bCs/>
        </w:rPr>
        <w:t>p</w:t>
      </w:r>
      <w:r w:rsidRPr="00D51527">
        <w:rPr>
          <w:rFonts w:cstheme="minorHAnsi"/>
          <w:b/>
          <w:bCs/>
        </w:rPr>
        <w:t>ercentage of GDP)</w:t>
      </w:r>
    </w:p>
    <w:p w14:paraId="7E8190DA" w14:textId="77777777" w:rsidR="00B65F02" w:rsidRPr="000E4F9D" w:rsidRDefault="00B65F02" w:rsidP="00D51527">
      <w:pPr>
        <w:pStyle w:val="ListParagraph"/>
        <w:spacing w:after="0" w:line="240" w:lineRule="auto"/>
        <w:ind w:left="0"/>
        <w:jc w:val="both"/>
        <w:rPr>
          <w:rFonts w:cstheme="minorHAnsi"/>
          <w:sz w:val="20"/>
          <w:szCs w:val="20"/>
        </w:rPr>
      </w:pPr>
    </w:p>
    <w:p w14:paraId="7A655274" w14:textId="77777777" w:rsidR="000E4F9D" w:rsidRPr="000E4F9D" w:rsidRDefault="000E4F9D" w:rsidP="000E4F9D">
      <w:pPr>
        <w:pStyle w:val="ListParagraph"/>
        <w:spacing w:after="0" w:line="240" w:lineRule="auto"/>
        <w:ind w:left="0"/>
        <w:jc w:val="both"/>
        <w:rPr>
          <w:rFonts w:cstheme="minorHAnsi"/>
        </w:rPr>
      </w:pPr>
      <w:r w:rsidRPr="000E4F9D">
        <w:rPr>
          <w:rFonts w:cstheme="minorHAnsi"/>
          <w:noProof/>
        </w:rPr>
        <w:drawing>
          <wp:inline distT="0" distB="0" distL="0" distR="0" wp14:anchorId="6CEBD838" wp14:editId="47EB41EB">
            <wp:extent cx="4373880" cy="2505075"/>
            <wp:effectExtent l="0" t="0" r="7620" b="0"/>
            <wp:docPr id="1535629565" name="图表 7">
              <a:extLst xmlns:a="http://schemas.openxmlformats.org/drawingml/2006/main">
                <a:ext uri="{FF2B5EF4-FFF2-40B4-BE49-F238E27FC236}">
                  <a16:creationId xmlns:a16="http://schemas.microsoft.com/office/drawing/2014/main" id="{B285D4C6-2272-4BDB-8AA2-9250954D7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659923" w14:textId="729DFAA9" w:rsidR="000E4F9D" w:rsidRDefault="000E4F9D" w:rsidP="00E30707">
      <w:pPr>
        <w:pStyle w:val="ListParagraph"/>
        <w:spacing w:after="0" w:line="240" w:lineRule="auto"/>
        <w:ind w:left="0"/>
        <w:jc w:val="both"/>
        <w:rPr>
          <w:rFonts w:cstheme="minorHAnsi"/>
          <w:sz w:val="18"/>
          <w:szCs w:val="18"/>
        </w:rPr>
      </w:pPr>
      <w:r w:rsidRPr="000E4F9D">
        <w:rPr>
          <w:rFonts w:cstheme="minorHAnsi"/>
          <w:i/>
          <w:iCs/>
          <w:sz w:val="18"/>
          <w:szCs w:val="18"/>
        </w:rPr>
        <w:t>Source</w:t>
      </w:r>
      <w:r w:rsidRPr="000E4F9D">
        <w:rPr>
          <w:rFonts w:cstheme="minorHAnsi"/>
          <w:sz w:val="18"/>
          <w:szCs w:val="18"/>
        </w:rPr>
        <w:t>: ESCAP analysis based on the IMF World Revenue Longitudinal Data set</w:t>
      </w:r>
      <w:r w:rsidR="00FD5BB1">
        <w:rPr>
          <w:rFonts w:cstheme="minorHAnsi"/>
          <w:sz w:val="18"/>
          <w:szCs w:val="18"/>
        </w:rPr>
        <w:t>.</w:t>
      </w:r>
    </w:p>
    <w:p w14:paraId="4C1A460E" w14:textId="77777777" w:rsidR="00FD5BB1" w:rsidRPr="000E4F9D" w:rsidRDefault="00FD5BB1" w:rsidP="00E30707">
      <w:pPr>
        <w:pStyle w:val="ListParagraph"/>
        <w:spacing w:after="0" w:line="240" w:lineRule="auto"/>
        <w:ind w:left="0"/>
        <w:jc w:val="both"/>
        <w:rPr>
          <w:rFonts w:cstheme="minorHAnsi"/>
          <w:sz w:val="18"/>
          <w:szCs w:val="18"/>
        </w:rPr>
      </w:pPr>
    </w:p>
    <w:p w14:paraId="7B15ACB8" w14:textId="05A5F58E" w:rsidR="00F62F9F" w:rsidRPr="00F07081" w:rsidRDefault="00F62F9F" w:rsidP="00D51527">
      <w:pPr>
        <w:pStyle w:val="Heading2"/>
        <w:spacing w:before="0" w:line="240" w:lineRule="auto"/>
        <w:rPr>
          <w:rFonts w:asciiTheme="minorHAnsi" w:hAnsiTheme="minorHAnsi" w:cstheme="minorHAnsi"/>
          <w:b/>
          <w:bCs/>
          <w:color w:val="000000" w:themeColor="text1"/>
        </w:rPr>
      </w:pPr>
      <w:r w:rsidRPr="00F07081">
        <w:rPr>
          <w:rFonts w:asciiTheme="minorHAnsi" w:hAnsiTheme="minorHAnsi" w:cstheme="minorHAnsi"/>
          <w:b/>
          <w:bCs/>
          <w:color w:val="000000" w:themeColor="text1"/>
        </w:rPr>
        <w:t xml:space="preserve">Suggested </w:t>
      </w:r>
      <w:r w:rsidR="00F9599A">
        <w:rPr>
          <w:rFonts w:asciiTheme="minorHAnsi" w:hAnsiTheme="minorHAnsi" w:cstheme="minorHAnsi"/>
          <w:b/>
          <w:bCs/>
          <w:color w:val="000000" w:themeColor="text1"/>
        </w:rPr>
        <w:t>p</w:t>
      </w:r>
      <w:r w:rsidR="000A6DB6" w:rsidRPr="00F07081">
        <w:rPr>
          <w:rFonts w:asciiTheme="minorHAnsi" w:hAnsiTheme="minorHAnsi" w:cstheme="minorHAnsi"/>
          <w:b/>
          <w:bCs/>
          <w:color w:val="000000" w:themeColor="text1"/>
        </w:rPr>
        <w:t xml:space="preserve">olicy </w:t>
      </w:r>
      <w:r w:rsidR="00F9599A">
        <w:rPr>
          <w:rFonts w:asciiTheme="minorHAnsi" w:hAnsiTheme="minorHAnsi" w:cstheme="minorHAnsi"/>
          <w:b/>
          <w:bCs/>
          <w:color w:val="000000" w:themeColor="text1"/>
        </w:rPr>
        <w:t>p</w:t>
      </w:r>
      <w:r w:rsidR="000A6DB6" w:rsidRPr="00F07081">
        <w:rPr>
          <w:rFonts w:asciiTheme="minorHAnsi" w:hAnsiTheme="minorHAnsi" w:cstheme="minorHAnsi"/>
          <w:b/>
          <w:bCs/>
          <w:color w:val="000000" w:themeColor="text1"/>
        </w:rPr>
        <w:t>riorities</w:t>
      </w:r>
      <w:r w:rsidR="00741DE9" w:rsidRPr="00F07081">
        <w:rPr>
          <w:rFonts w:asciiTheme="minorHAnsi" w:hAnsiTheme="minorHAnsi" w:cstheme="minorHAnsi"/>
          <w:b/>
          <w:bCs/>
          <w:color w:val="000000" w:themeColor="text1"/>
        </w:rPr>
        <w:t xml:space="preserve"> </w:t>
      </w:r>
    </w:p>
    <w:p w14:paraId="129A4700" w14:textId="77777777" w:rsidR="0037795D" w:rsidRDefault="0037795D" w:rsidP="00E30707">
      <w:pPr>
        <w:pStyle w:val="ListParagraph"/>
        <w:spacing w:after="0" w:line="240" w:lineRule="auto"/>
        <w:ind w:left="0"/>
        <w:jc w:val="both"/>
        <w:rPr>
          <w:rFonts w:ascii="Roboto" w:hAnsi="Roboto"/>
          <w:u w:val="single"/>
        </w:rPr>
      </w:pPr>
    </w:p>
    <w:p w14:paraId="51749D58" w14:textId="59CF0CE4" w:rsidR="0037795D" w:rsidRPr="00AB73C8" w:rsidRDefault="004E404B" w:rsidP="00E30707">
      <w:pPr>
        <w:pStyle w:val="ListParagraph"/>
        <w:numPr>
          <w:ilvl w:val="0"/>
          <w:numId w:val="8"/>
        </w:numPr>
        <w:spacing w:after="0" w:line="240" w:lineRule="auto"/>
        <w:jc w:val="both"/>
        <w:rPr>
          <w:rFonts w:cstheme="minorHAnsi"/>
        </w:rPr>
      </w:pPr>
      <w:r w:rsidRPr="004E404B">
        <w:rPr>
          <w:rFonts w:cstheme="minorHAnsi"/>
          <w:b/>
          <w:bCs/>
        </w:rPr>
        <w:t>Strengthen tax administration with support from digitalized tax systems</w:t>
      </w:r>
      <w:r w:rsidR="0037795D" w:rsidRPr="0037795D">
        <w:rPr>
          <w:rFonts w:cstheme="minorHAnsi"/>
        </w:rPr>
        <w:t xml:space="preserve">. </w:t>
      </w:r>
      <w:r w:rsidR="00AB73C8">
        <w:rPr>
          <w:rFonts w:cstheme="minorHAnsi"/>
        </w:rPr>
        <w:t>D</w:t>
      </w:r>
      <w:r w:rsidR="00D3789E" w:rsidRPr="00AB73C8">
        <w:rPr>
          <w:rFonts w:cstheme="minorHAnsi"/>
        </w:rPr>
        <w:t>igital solutions are increasingly emerging as a key ingredient of effective and efficient tax administration</w:t>
      </w:r>
      <w:r w:rsidR="000C22A3">
        <w:rPr>
          <w:rFonts w:cstheme="minorHAnsi"/>
        </w:rPr>
        <w:t xml:space="preserve"> </w:t>
      </w:r>
      <w:r w:rsidR="000C22A3" w:rsidRPr="00D3789E">
        <w:rPr>
          <w:rFonts w:cstheme="minorHAnsi"/>
        </w:rPr>
        <w:t>for swift and robust tax revenue enhancement</w:t>
      </w:r>
      <w:r w:rsidR="00D3789E" w:rsidRPr="00AB73C8">
        <w:rPr>
          <w:rFonts w:cstheme="minorHAnsi"/>
        </w:rPr>
        <w:t xml:space="preserve">. Well-designed electronic tax filing and payment as well as digitalized collection, storage, analysis and sharing of tax data </w:t>
      </w:r>
      <w:r w:rsidR="00161E09">
        <w:rPr>
          <w:rFonts w:cstheme="minorHAnsi"/>
        </w:rPr>
        <w:t>can</w:t>
      </w:r>
      <w:r w:rsidR="00D3789E" w:rsidRPr="00AB73C8">
        <w:rPr>
          <w:rFonts w:cstheme="minorHAnsi"/>
        </w:rPr>
        <w:t xml:space="preserve"> le</w:t>
      </w:r>
      <w:r w:rsidR="00161E09">
        <w:rPr>
          <w:rFonts w:cstheme="minorHAnsi"/>
        </w:rPr>
        <w:t>a</w:t>
      </w:r>
      <w:r w:rsidR="00D3789E" w:rsidRPr="00AB73C8">
        <w:rPr>
          <w:rFonts w:cstheme="minorHAnsi"/>
        </w:rPr>
        <w:t xml:space="preserve">d to substantial time and cost savings for both taxpayers and tax authorities, much more effective tax auditing and enforcement, and greater transparency and accountability of the whole tax system. </w:t>
      </w:r>
    </w:p>
    <w:p w14:paraId="01C51895" w14:textId="77777777" w:rsidR="0037795D" w:rsidRPr="0037795D" w:rsidRDefault="0037795D" w:rsidP="00E30707">
      <w:pPr>
        <w:pStyle w:val="ListParagraph"/>
        <w:spacing w:after="0" w:line="240" w:lineRule="auto"/>
        <w:ind w:left="432"/>
        <w:jc w:val="both"/>
        <w:rPr>
          <w:rFonts w:cstheme="minorHAnsi"/>
        </w:rPr>
      </w:pPr>
    </w:p>
    <w:p w14:paraId="2EA0369F" w14:textId="4E6FD01A" w:rsidR="00770784" w:rsidRDefault="00237553" w:rsidP="00E30707">
      <w:pPr>
        <w:pStyle w:val="ListParagraph"/>
        <w:numPr>
          <w:ilvl w:val="0"/>
          <w:numId w:val="8"/>
        </w:numPr>
        <w:spacing w:after="0" w:line="240" w:lineRule="auto"/>
        <w:jc w:val="both"/>
        <w:rPr>
          <w:rFonts w:cstheme="minorHAnsi"/>
        </w:rPr>
      </w:pPr>
      <w:r w:rsidRPr="00497D98">
        <w:rPr>
          <w:rFonts w:cstheme="minorHAnsi"/>
          <w:b/>
          <w:bCs/>
        </w:rPr>
        <w:t>Adopt a holistic approach to enhance tax revenue mobilization</w:t>
      </w:r>
      <w:r w:rsidR="0037795D" w:rsidRPr="00497D98">
        <w:rPr>
          <w:rFonts w:cstheme="minorHAnsi"/>
          <w:b/>
          <w:bCs/>
        </w:rPr>
        <w:t>.</w:t>
      </w:r>
      <w:r w:rsidR="0037795D" w:rsidRPr="00497D98">
        <w:rPr>
          <w:rFonts w:cstheme="minorHAnsi"/>
        </w:rPr>
        <w:t xml:space="preserve"> </w:t>
      </w:r>
      <w:r w:rsidR="00497D98" w:rsidRPr="00497D98">
        <w:rPr>
          <w:rFonts w:cstheme="minorHAnsi"/>
        </w:rPr>
        <w:t xml:space="preserve">Strengthened tax effort is only one channel for revenue enhancement and may suffer from diminishing returns when countries </w:t>
      </w:r>
      <w:r w:rsidR="009C3D29">
        <w:rPr>
          <w:rFonts w:cstheme="minorHAnsi"/>
        </w:rPr>
        <w:t xml:space="preserve">approach </w:t>
      </w:r>
      <w:r w:rsidR="00497D98" w:rsidRPr="00497D98">
        <w:rPr>
          <w:rFonts w:cstheme="minorHAnsi"/>
        </w:rPr>
        <w:t xml:space="preserve">the maximum tax levels their socioeconomic fundamentals and public governance quality can support. This </w:t>
      </w:r>
      <w:r w:rsidR="009C3D29">
        <w:rPr>
          <w:rFonts w:cstheme="minorHAnsi"/>
        </w:rPr>
        <w:t>calls</w:t>
      </w:r>
      <w:r w:rsidR="00497D98" w:rsidRPr="00497D98">
        <w:rPr>
          <w:rFonts w:cstheme="minorHAnsi"/>
        </w:rPr>
        <w:t xml:space="preserve"> for a new holistic thinking on tax revenue mobilization</w:t>
      </w:r>
      <w:r w:rsidR="009C3D29">
        <w:rPr>
          <w:rFonts w:cstheme="minorHAnsi"/>
        </w:rPr>
        <w:t xml:space="preserve">, where </w:t>
      </w:r>
      <w:r w:rsidR="00E300CB">
        <w:rPr>
          <w:rFonts w:cstheme="minorHAnsi"/>
        </w:rPr>
        <w:t>g</w:t>
      </w:r>
      <w:r w:rsidR="00497D98" w:rsidRPr="00497D98">
        <w:rPr>
          <w:rFonts w:cstheme="minorHAnsi"/>
        </w:rPr>
        <w:t xml:space="preserve">overnments should not only ask how taxes can be raised but also </w:t>
      </w:r>
      <w:r w:rsidR="009B7547">
        <w:rPr>
          <w:rFonts w:cstheme="minorHAnsi"/>
        </w:rPr>
        <w:t>focus on</w:t>
      </w:r>
      <w:r w:rsidR="00497D98" w:rsidRPr="00497D98">
        <w:rPr>
          <w:rFonts w:cstheme="minorHAnsi"/>
        </w:rPr>
        <w:t xml:space="preserve"> how these resources are spent </w:t>
      </w:r>
      <w:r w:rsidR="00A64FA2">
        <w:rPr>
          <w:rFonts w:cstheme="minorHAnsi"/>
        </w:rPr>
        <w:t>as part of</w:t>
      </w:r>
      <w:r w:rsidR="00497D98" w:rsidRPr="00497D98">
        <w:rPr>
          <w:rFonts w:cstheme="minorHAnsi"/>
        </w:rPr>
        <w:t xml:space="preserve"> a coherent median-to-long-term revenue strategy.</w:t>
      </w:r>
    </w:p>
    <w:p w14:paraId="535C2FCD" w14:textId="77777777" w:rsidR="00770784" w:rsidRPr="00770784" w:rsidRDefault="00770784" w:rsidP="00D51527">
      <w:pPr>
        <w:pStyle w:val="ListParagraph"/>
        <w:spacing w:after="0" w:line="240" w:lineRule="auto"/>
        <w:rPr>
          <w:rFonts w:cstheme="minorHAnsi"/>
        </w:rPr>
      </w:pPr>
    </w:p>
    <w:p w14:paraId="5DC15BE1" w14:textId="688586D8" w:rsidR="00B8183D" w:rsidRPr="00B02E02" w:rsidRDefault="008E4B85" w:rsidP="00D51527">
      <w:pPr>
        <w:pStyle w:val="ListParagraph"/>
        <w:numPr>
          <w:ilvl w:val="0"/>
          <w:numId w:val="8"/>
        </w:numPr>
        <w:spacing w:after="0" w:line="240" w:lineRule="auto"/>
        <w:jc w:val="both"/>
        <w:rPr>
          <w:rFonts w:cstheme="minorHAnsi"/>
        </w:rPr>
      </w:pPr>
      <w:r w:rsidRPr="00770784">
        <w:rPr>
          <w:rFonts w:cstheme="minorHAnsi"/>
          <w:b/>
          <w:bCs/>
        </w:rPr>
        <w:t xml:space="preserve">Explore </w:t>
      </w:r>
      <w:r w:rsidR="008A1AE9" w:rsidRPr="00770784">
        <w:rPr>
          <w:rFonts w:cstheme="minorHAnsi"/>
          <w:b/>
          <w:bCs/>
        </w:rPr>
        <w:t>potential</w:t>
      </w:r>
      <w:r w:rsidRPr="00770784">
        <w:rPr>
          <w:rFonts w:cstheme="minorHAnsi"/>
          <w:b/>
          <w:bCs/>
        </w:rPr>
        <w:t xml:space="preserve"> of income and wealth taxes</w:t>
      </w:r>
      <w:r w:rsidR="0037795D" w:rsidRPr="00770784">
        <w:rPr>
          <w:rFonts w:cstheme="minorHAnsi"/>
          <w:b/>
          <w:bCs/>
        </w:rPr>
        <w:t xml:space="preserve">. </w:t>
      </w:r>
      <w:r w:rsidR="000C22A3" w:rsidRPr="00770784">
        <w:rPr>
          <w:rFonts w:cstheme="minorHAnsi"/>
        </w:rPr>
        <w:t xml:space="preserve">Growing public pressure for a fairer sharing of economic prosperity and swift progress in digitalization are creating new opportunities for overcoming traditional political and practical obstacles for broader adoption and better enforcement of income and wealth taxes. </w:t>
      </w:r>
      <w:r w:rsidR="00D571E2">
        <w:rPr>
          <w:rFonts w:cstheme="minorHAnsi"/>
        </w:rPr>
        <w:t>C</w:t>
      </w:r>
      <w:r w:rsidR="000C22A3" w:rsidRPr="00770784">
        <w:rPr>
          <w:rFonts w:cstheme="minorHAnsi"/>
        </w:rPr>
        <w:t>omprehensive and accountable financial documentation, government access and accountable use of such data, and improved capacity of tax authorities in tax data analysis will be key enablers in this process</w:t>
      </w:r>
      <w:r w:rsidR="009C3D29" w:rsidRPr="00770784">
        <w:rPr>
          <w:rFonts w:cstheme="minorHAnsi"/>
        </w:rPr>
        <w:t>.</w:t>
      </w:r>
    </w:p>
    <w:p w14:paraId="39506F0F" w14:textId="38AE1279" w:rsidR="00B8183D" w:rsidRPr="00770784" w:rsidRDefault="00B8183D" w:rsidP="00E30707">
      <w:pPr>
        <w:pStyle w:val="ListParagraph"/>
        <w:spacing w:after="0" w:line="240" w:lineRule="auto"/>
        <w:ind w:left="360"/>
        <w:jc w:val="both"/>
        <w:rPr>
          <w:rFonts w:cstheme="minorHAnsi"/>
        </w:rPr>
      </w:pPr>
    </w:p>
    <w:p w14:paraId="1B2DE427" w14:textId="73637CEE" w:rsidR="00BA3673" w:rsidRPr="00EE297C" w:rsidRDefault="00DC2A9F" w:rsidP="00E30707">
      <w:pPr>
        <w:pStyle w:val="ListParagraph"/>
        <w:numPr>
          <w:ilvl w:val="0"/>
          <w:numId w:val="8"/>
        </w:numPr>
        <w:spacing w:after="0" w:line="240" w:lineRule="auto"/>
        <w:jc w:val="both"/>
      </w:pPr>
      <w:r w:rsidRPr="00EE297C">
        <w:rPr>
          <w:rFonts w:cstheme="minorHAnsi"/>
          <w:b/>
          <w:bCs/>
        </w:rPr>
        <w:t>Tap into the region’s booming property markets through land value capture.</w:t>
      </w:r>
      <w:r w:rsidR="0037795D" w:rsidRPr="00EE297C">
        <w:rPr>
          <w:rFonts w:cstheme="minorHAnsi"/>
          <w:b/>
          <w:bCs/>
        </w:rPr>
        <w:t xml:space="preserve"> </w:t>
      </w:r>
      <w:r w:rsidR="00E56874" w:rsidRPr="00EE297C">
        <w:rPr>
          <w:rFonts w:cstheme="minorHAnsi"/>
        </w:rPr>
        <w:t>The underperformance of</w:t>
      </w:r>
      <w:r w:rsidR="0035358C" w:rsidRPr="00EE297C">
        <w:rPr>
          <w:rFonts w:cstheme="minorHAnsi"/>
        </w:rPr>
        <w:t xml:space="preserve"> property taxes is a major missed opportunity. Land value capture (LVC)</w:t>
      </w:r>
      <w:r w:rsidR="00BE7501">
        <w:rPr>
          <w:rStyle w:val="FootnoteReference"/>
          <w:rFonts w:cstheme="minorHAnsi"/>
        </w:rPr>
        <w:footnoteReference w:id="4"/>
      </w:r>
      <w:r w:rsidR="0035358C" w:rsidRPr="00EE297C">
        <w:rPr>
          <w:rFonts w:cstheme="minorHAnsi"/>
        </w:rPr>
        <w:t xml:space="preserve"> may serve as a viable temporary alternative to </w:t>
      </w:r>
      <w:r w:rsidR="00360DB2" w:rsidRPr="00EE297C">
        <w:rPr>
          <w:rFonts w:cstheme="minorHAnsi"/>
        </w:rPr>
        <w:t xml:space="preserve">recurrent </w:t>
      </w:r>
      <w:r w:rsidR="0035358C" w:rsidRPr="00EE297C">
        <w:rPr>
          <w:rFonts w:cstheme="minorHAnsi"/>
        </w:rPr>
        <w:t>property taxes</w:t>
      </w:r>
      <w:r w:rsidR="00360DB2" w:rsidRPr="00EE297C">
        <w:rPr>
          <w:rFonts w:cstheme="minorHAnsi"/>
        </w:rPr>
        <w:t>, given its</w:t>
      </w:r>
      <w:r w:rsidR="0035358C" w:rsidRPr="00EE297C">
        <w:rPr>
          <w:rFonts w:cstheme="minorHAnsi"/>
        </w:rPr>
        <w:t xml:space="preserve"> advantages </w:t>
      </w:r>
      <w:r w:rsidR="00360DB2" w:rsidRPr="00EE297C">
        <w:rPr>
          <w:rFonts w:cstheme="minorHAnsi"/>
        </w:rPr>
        <w:t>of</w:t>
      </w:r>
      <w:r w:rsidR="0035358C" w:rsidRPr="00EE297C">
        <w:rPr>
          <w:rFonts w:cstheme="minorHAnsi"/>
        </w:rPr>
        <w:t xml:space="preserve"> being more front-loaded in revenue stream</w:t>
      </w:r>
      <w:r w:rsidR="00360DB2" w:rsidRPr="00EE297C">
        <w:rPr>
          <w:rFonts w:cstheme="minorHAnsi"/>
        </w:rPr>
        <w:t>s</w:t>
      </w:r>
      <w:r w:rsidR="0035358C" w:rsidRPr="00EE297C">
        <w:rPr>
          <w:rFonts w:cstheme="minorHAnsi"/>
        </w:rPr>
        <w:t xml:space="preserve"> and less visible</w:t>
      </w:r>
      <w:r w:rsidR="00AB14E5">
        <w:rPr>
          <w:rFonts w:cstheme="minorHAnsi"/>
        </w:rPr>
        <w:t xml:space="preserve"> since</w:t>
      </w:r>
      <w:r w:rsidR="00E4352A">
        <w:rPr>
          <w:rFonts w:cstheme="minorHAnsi"/>
        </w:rPr>
        <w:t xml:space="preserve"> it’s the </w:t>
      </w:r>
      <w:r w:rsidR="0035358C" w:rsidRPr="00EE297C">
        <w:rPr>
          <w:rFonts w:cstheme="minorHAnsi"/>
        </w:rPr>
        <w:t xml:space="preserve">land developers </w:t>
      </w:r>
      <w:r w:rsidR="00E4352A">
        <w:rPr>
          <w:rFonts w:cstheme="minorHAnsi"/>
        </w:rPr>
        <w:t xml:space="preserve">that are taxed </w:t>
      </w:r>
      <w:r w:rsidR="0035358C" w:rsidRPr="00EE297C">
        <w:rPr>
          <w:rFonts w:cstheme="minorHAnsi"/>
        </w:rPr>
        <w:t>rather than homeowners</w:t>
      </w:r>
      <w:r w:rsidR="00E4352A">
        <w:rPr>
          <w:rFonts w:cstheme="minorHAnsi"/>
        </w:rPr>
        <w:t>.</w:t>
      </w:r>
    </w:p>
    <w:p w14:paraId="6F4AFD8B" w14:textId="77777777" w:rsidR="00EE297C" w:rsidRDefault="00EE297C" w:rsidP="00D51527">
      <w:pPr>
        <w:pStyle w:val="ListParagraph"/>
        <w:spacing w:after="0" w:line="240" w:lineRule="auto"/>
      </w:pPr>
    </w:p>
    <w:p w14:paraId="5C131DE9" w14:textId="2CEC2ED3" w:rsidR="00571C69" w:rsidRPr="00360DB2" w:rsidRDefault="00013E9E" w:rsidP="00E30707">
      <w:pPr>
        <w:pStyle w:val="ListParagraph"/>
        <w:numPr>
          <w:ilvl w:val="0"/>
          <w:numId w:val="8"/>
        </w:numPr>
        <w:spacing w:after="0" w:line="240" w:lineRule="auto"/>
        <w:jc w:val="both"/>
        <w:rPr>
          <w:rFonts w:cstheme="minorHAnsi"/>
        </w:rPr>
      </w:pPr>
      <w:r w:rsidRPr="00013E9E">
        <w:rPr>
          <w:rFonts w:cstheme="minorHAnsi"/>
          <w:b/>
          <w:bCs/>
        </w:rPr>
        <w:t>Enhance regional tax dialogue and cooperation</w:t>
      </w:r>
      <w:r w:rsidR="00571C69" w:rsidRPr="00360DB2">
        <w:rPr>
          <w:rFonts w:cstheme="minorHAnsi"/>
          <w:b/>
          <w:bCs/>
        </w:rPr>
        <w:t xml:space="preserve">. </w:t>
      </w:r>
      <w:r w:rsidR="00767E4D" w:rsidRPr="00767E4D">
        <w:rPr>
          <w:rFonts w:cstheme="minorHAnsi"/>
        </w:rPr>
        <w:t>The next few years are expected to witness several milestones in international tax cooperation</w:t>
      </w:r>
      <w:r w:rsidR="00281781">
        <w:rPr>
          <w:rFonts w:cstheme="minorHAnsi"/>
        </w:rPr>
        <w:t>, given that</w:t>
      </w:r>
      <w:r w:rsidR="00281781" w:rsidRPr="00281781">
        <w:rPr>
          <w:rFonts w:cstheme="minorHAnsi"/>
        </w:rPr>
        <w:t xml:space="preserve"> </w:t>
      </w:r>
      <w:r w:rsidR="00281781" w:rsidRPr="008E0D0B">
        <w:rPr>
          <w:rFonts w:cstheme="minorHAnsi"/>
        </w:rPr>
        <w:t>the</w:t>
      </w:r>
      <w:r w:rsidR="00505573">
        <w:rPr>
          <w:rFonts w:cstheme="minorHAnsi"/>
        </w:rPr>
        <w:t xml:space="preserve"> </w:t>
      </w:r>
      <w:r w:rsidR="00F9599A">
        <w:rPr>
          <w:rFonts w:cstheme="minorHAnsi"/>
        </w:rPr>
        <w:t>“</w:t>
      </w:r>
      <w:r w:rsidR="00505573">
        <w:rPr>
          <w:rFonts w:cstheme="minorHAnsi"/>
        </w:rPr>
        <w:t>zero draft</w:t>
      </w:r>
      <w:r w:rsidR="00F9599A">
        <w:rPr>
          <w:rFonts w:cstheme="minorHAnsi"/>
        </w:rPr>
        <w:t>”</w:t>
      </w:r>
      <w:r w:rsidR="00505573">
        <w:rPr>
          <w:rFonts w:cstheme="minorHAnsi"/>
        </w:rPr>
        <w:t xml:space="preserve"> of the terms of reference </w:t>
      </w:r>
      <w:r w:rsidR="00041999">
        <w:rPr>
          <w:rFonts w:cstheme="minorHAnsi"/>
        </w:rPr>
        <w:t xml:space="preserve">of the </w:t>
      </w:r>
      <w:r w:rsidR="00281781" w:rsidRPr="008E0D0B">
        <w:rPr>
          <w:rFonts w:cstheme="minorHAnsi"/>
        </w:rPr>
        <w:t xml:space="preserve">new </w:t>
      </w:r>
      <w:r w:rsidR="00281781" w:rsidRPr="00041999">
        <w:rPr>
          <w:rFonts w:cstheme="minorHAnsi"/>
          <w:i/>
          <w:iCs/>
        </w:rPr>
        <w:t>U</w:t>
      </w:r>
      <w:r w:rsidR="0001527A">
        <w:rPr>
          <w:rFonts w:cstheme="minorHAnsi"/>
          <w:i/>
          <w:iCs/>
        </w:rPr>
        <w:t xml:space="preserve">nited </w:t>
      </w:r>
      <w:r w:rsidR="00281781" w:rsidRPr="00041999">
        <w:rPr>
          <w:rFonts w:cstheme="minorHAnsi"/>
          <w:i/>
          <w:iCs/>
        </w:rPr>
        <w:t>N</w:t>
      </w:r>
      <w:r w:rsidR="0001527A">
        <w:rPr>
          <w:rFonts w:cstheme="minorHAnsi"/>
          <w:i/>
          <w:iCs/>
        </w:rPr>
        <w:t>ations</w:t>
      </w:r>
      <w:r w:rsidR="00281781" w:rsidRPr="00041999">
        <w:rPr>
          <w:rFonts w:cstheme="minorHAnsi"/>
          <w:i/>
          <w:iCs/>
        </w:rPr>
        <w:t xml:space="preserve"> Framework Convention</w:t>
      </w:r>
      <w:r w:rsidR="00281781" w:rsidRPr="00041999">
        <w:rPr>
          <w:i/>
          <w:iCs/>
        </w:rPr>
        <w:t xml:space="preserve"> </w:t>
      </w:r>
      <w:r w:rsidR="00281781" w:rsidRPr="00041999">
        <w:rPr>
          <w:rFonts w:cstheme="minorHAnsi"/>
          <w:i/>
          <w:iCs/>
        </w:rPr>
        <w:t>on International Tax Cooperation</w:t>
      </w:r>
      <w:r w:rsidR="003D1090">
        <w:rPr>
          <w:rFonts w:cstheme="minorHAnsi"/>
        </w:rPr>
        <w:t xml:space="preserve"> has been released in June 2024</w:t>
      </w:r>
      <w:r w:rsidR="00767E4D" w:rsidRPr="00767E4D">
        <w:rPr>
          <w:rFonts w:cstheme="minorHAnsi"/>
        </w:rPr>
        <w:t>.</w:t>
      </w:r>
      <w:r w:rsidR="008E0D0B">
        <w:rPr>
          <w:rFonts w:cstheme="minorHAnsi"/>
        </w:rPr>
        <w:t xml:space="preserve"> </w:t>
      </w:r>
      <w:r w:rsidR="008E0D0B" w:rsidRPr="008E0D0B">
        <w:rPr>
          <w:rFonts w:cstheme="minorHAnsi"/>
        </w:rPr>
        <w:t xml:space="preserve">In this context, it </w:t>
      </w:r>
      <w:r w:rsidR="00086C5E">
        <w:rPr>
          <w:rFonts w:cstheme="minorHAnsi"/>
        </w:rPr>
        <w:t>would be useful</w:t>
      </w:r>
      <w:r w:rsidR="008E0D0B" w:rsidRPr="008E0D0B">
        <w:rPr>
          <w:rFonts w:cstheme="minorHAnsi"/>
        </w:rPr>
        <w:t xml:space="preserve"> to strengthen dialogue, coordination, and capacity support for </w:t>
      </w:r>
      <w:r w:rsidR="008E0D0B">
        <w:rPr>
          <w:rFonts w:cstheme="minorHAnsi"/>
        </w:rPr>
        <w:t>Asia-</w:t>
      </w:r>
      <w:r w:rsidR="008E0D0B" w:rsidRPr="008E0D0B">
        <w:rPr>
          <w:rFonts w:cstheme="minorHAnsi"/>
        </w:rPr>
        <w:t>Pacific</w:t>
      </w:r>
      <w:r w:rsidR="008E0D0B">
        <w:rPr>
          <w:rFonts w:cstheme="minorHAnsi"/>
        </w:rPr>
        <w:t xml:space="preserve"> developing countries</w:t>
      </w:r>
      <w:r w:rsidR="008E0D0B" w:rsidRPr="008E0D0B">
        <w:rPr>
          <w:rFonts w:cstheme="minorHAnsi"/>
        </w:rPr>
        <w:t xml:space="preserve"> at the regional level. ESCAP can facilitate such deliberations</w:t>
      </w:r>
      <w:r w:rsidR="00830B7D">
        <w:rPr>
          <w:rFonts w:cstheme="minorHAnsi"/>
        </w:rPr>
        <w:t xml:space="preserve"> at the regional level</w:t>
      </w:r>
      <w:r w:rsidR="008E0D0B" w:rsidRPr="008E0D0B">
        <w:rPr>
          <w:rFonts w:cstheme="minorHAnsi"/>
        </w:rPr>
        <w:t xml:space="preserve">. </w:t>
      </w:r>
      <w:r w:rsidR="009D4459">
        <w:rPr>
          <w:rFonts w:cstheme="minorHAnsi"/>
        </w:rPr>
        <w:t>E</w:t>
      </w:r>
      <w:r w:rsidR="008E0D0B" w:rsidRPr="008E0D0B">
        <w:rPr>
          <w:rFonts w:cstheme="minorHAnsi"/>
        </w:rPr>
        <w:t>xpanded collaboration between subregional tax bodies, key partner organizations</w:t>
      </w:r>
      <w:r w:rsidR="004A7780">
        <w:rPr>
          <w:rFonts w:cstheme="minorHAnsi"/>
        </w:rPr>
        <w:t>,</w:t>
      </w:r>
      <w:r w:rsidR="008E0D0B" w:rsidRPr="008E0D0B">
        <w:rPr>
          <w:rFonts w:cstheme="minorHAnsi"/>
        </w:rPr>
        <w:t xml:space="preserve"> such as multilateral development banks</w:t>
      </w:r>
      <w:r w:rsidR="009D4459">
        <w:rPr>
          <w:rFonts w:cstheme="minorHAnsi"/>
        </w:rPr>
        <w:t>,</w:t>
      </w:r>
      <w:r w:rsidR="004A7780">
        <w:rPr>
          <w:rFonts w:cstheme="minorHAnsi"/>
        </w:rPr>
        <w:t xml:space="preserve"> </w:t>
      </w:r>
      <w:r w:rsidR="008E0D0B" w:rsidRPr="008E0D0B">
        <w:rPr>
          <w:rFonts w:cstheme="minorHAnsi"/>
        </w:rPr>
        <w:t>and the U</w:t>
      </w:r>
      <w:r w:rsidR="0001527A">
        <w:rPr>
          <w:rFonts w:cstheme="minorHAnsi"/>
        </w:rPr>
        <w:t xml:space="preserve">nited </w:t>
      </w:r>
      <w:r w:rsidR="008E0D0B" w:rsidRPr="008E0D0B">
        <w:rPr>
          <w:rFonts w:cstheme="minorHAnsi"/>
        </w:rPr>
        <w:t>N</w:t>
      </w:r>
      <w:r w:rsidR="0001527A">
        <w:rPr>
          <w:rFonts w:cstheme="minorHAnsi"/>
        </w:rPr>
        <w:t>ations</w:t>
      </w:r>
      <w:r w:rsidR="008E0D0B" w:rsidRPr="008E0D0B">
        <w:rPr>
          <w:rFonts w:cstheme="minorHAnsi"/>
        </w:rPr>
        <w:t xml:space="preserve"> system will </w:t>
      </w:r>
      <w:r w:rsidR="009D4459">
        <w:rPr>
          <w:rFonts w:cstheme="minorHAnsi"/>
        </w:rPr>
        <w:t xml:space="preserve">also </w:t>
      </w:r>
      <w:r w:rsidR="008E0D0B" w:rsidRPr="008E0D0B">
        <w:rPr>
          <w:rFonts w:cstheme="minorHAnsi"/>
        </w:rPr>
        <w:t>be</w:t>
      </w:r>
      <w:r w:rsidR="00221785">
        <w:rPr>
          <w:rFonts w:cstheme="minorHAnsi"/>
        </w:rPr>
        <w:t xml:space="preserve"> desirable</w:t>
      </w:r>
      <w:r w:rsidR="00571C69" w:rsidRPr="00360DB2">
        <w:rPr>
          <w:rFonts w:cstheme="minorHAnsi"/>
        </w:rPr>
        <w:t xml:space="preserve">. </w:t>
      </w:r>
    </w:p>
    <w:p w14:paraId="5E1EBBAF" w14:textId="77777777" w:rsidR="00571C69" w:rsidRDefault="00571C69" w:rsidP="00E30707">
      <w:pPr>
        <w:spacing w:after="0" w:line="240" w:lineRule="auto"/>
      </w:pPr>
    </w:p>
    <w:p w14:paraId="66DC8C79" w14:textId="77777777" w:rsidR="00E30707" w:rsidRDefault="00E30707" w:rsidP="00D51527">
      <w:pPr>
        <w:spacing w:after="0" w:line="240" w:lineRule="auto"/>
      </w:pPr>
    </w:p>
    <w:p w14:paraId="322F4317" w14:textId="1ACA7106" w:rsidR="004A7780" w:rsidRPr="000678D9" w:rsidRDefault="004A7780" w:rsidP="00D51527">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 xml:space="preserve">II. </w:t>
      </w:r>
      <w:r w:rsidR="00A90A73" w:rsidRPr="000678D9">
        <w:rPr>
          <w:rFonts w:asciiTheme="minorHAnsi" w:hAnsiTheme="minorHAnsi" w:cstheme="minorHAnsi"/>
          <w:b/>
          <w:bCs/>
          <w:color w:val="4472C4" w:themeColor="accent1"/>
        </w:rPr>
        <w:t>b</w:t>
      </w:r>
      <w:r w:rsidRPr="000678D9">
        <w:rPr>
          <w:rFonts w:asciiTheme="minorHAnsi" w:hAnsiTheme="minorHAnsi" w:cstheme="minorHAnsi"/>
          <w:b/>
          <w:bCs/>
          <w:color w:val="4472C4" w:themeColor="accent1"/>
        </w:rPr>
        <w:t xml:space="preserve">. Domestic </w:t>
      </w:r>
      <w:r w:rsidR="00A90A73" w:rsidRPr="000678D9">
        <w:rPr>
          <w:rFonts w:asciiTheme="minorHAnsi" w:hAnsiTheme="minorHAnsi" w:cstheme="minorHAnsi"/>
          <w:b/>
          <w:bCs/>
          <w:color w:val="4472C4" w:themeColor="accent1"/>
        </w:rPr>
        <w:t>and international private business and finance</w:t>
      </w:r>
    </w:p>
    <w:p w14:paraId="6E1283DE" w14:textId="10A0AD0F" w:rsidR="00A62CCC" w:rsidRPr="00E6022C" w:rsidRDefault="00A62CCC" w:rsidP="00D51527">
      <w:pPr>
        <w:pStyle w:val="Heading2"/>
        <w:spacing w:before="0" w:line="240" w:lineRule="auto"/>
        <w:rPr>
          <w:rFonts w:asciiTheme="minorHAnsi" w:hAnsiTheme="minorHAnsi" w:cstheme="minorHAnsi"/>
          <w:sz w:val="22"/>
          <w:szCs w:val="22"/>
        </w:rPr>
      </w:pPr>
    </w:p>
    <w:p w14:paraId="12CD05B5" w14:textId="5E2E3C06" w:rsidR="008F1850" w:rsidRPr="00A95BEE" w:rsidRDefault="00CF739C" w:rsidP="00E30707">
      <w:pPr>
        <w:pStyle w:val="ListParagraph"/>
        <w:spacing w:after="0" w:line="240" w:lineRule="auto"/>
        <w:ind w:left="0"/>
        <w:jc w:val="both"/>
      </w:pPr>
      <w:r>
        <w:t>To effectively mobilize private finance in support of Sustainable Development Goals</w:t>
      </w:r>
      <w:r w:rsidR="000130C4">
        <w:t xml:space="preserve"> a</w:t>
      </w:r>
      <w:r w:rsidR="00A62CCC" w:rsidRPr="00A95BEE">
        <w:t xml:space="preserve"> transformation of the national, regional and international financial architecture</w:t>
      </w:r>
      <w:r w:rsidR="00CC6A67">
        <w:t xml:space="preserve"> </w:t>
      </w:r>
      <w:r w:rsidR="00A62CCC" w:rsidRPr="00A95BEE">
        <w:t xml:space="preserve">is required. </w:t>
      </w:r>
      <w:r w:rsidR="00F811B5">
        <w:t>In addition to actions needed b</w:t>
      </w:r>
      <w:r w:rsidR="00A86DAE">
        <w:t xml:space="preserve">y regulators and policymakers at the national level, such a transformation would also need </w:t>
      </w:r>
      <w:r w:rsidR="00544FC4">
        <w:t xml:space="preserve">a change in the approaches of </w:t>
      </w:r>
      <w:r w:rsidR="006100CC">
        <w:t xml:space="preserve">multilateral </w:t>
      </w:r>
      <w:r w:rsidR="00544FC4">
        <w:t xml:space="preserve">concessional finance providers, </w:t>
      </w:r>
      <w:r w:rsidR="00624045">
        <w:t>such as</w:t>
      </w:r>
      <w:r w:rsidR="00544FC4">
        <w:t xml:space="preserve"> the multilateral development</w:t>
      </w:r>
      <w:r w:rsidR="0017189C">
        <w:t xml:space="preserve"> banks.</w:t>
      </w:r>
      <w:r w:rsidR="00F95AB6">
        <w:t xml:space="preserve"> They need to work</w:t>
      </w:r>
      <w:r w:rsidR="00E664AC">
        <w:t xml:space="preserve"> </w:t>
      </w:r>
      <w:r w:rsidR="00F95AB6">
        <w:t xml:space="preserve">closely with private finance entities to de-risk </w:t>
      </w:r>
      <w:r w:rsidR="009E456B">
        <w:t>investments</w:t>
      </w:r>
      <w:r w:rsidR="00E664AC">
        <w:t xml:space="preserve">, especially </w:t>
      </w:r>
      <w:r w:rsidR="009E456B">
        <w:t xml:space="preserve">in </w:t>
      </w:r>
      <w:proofErr w:type="gramStart"/>
      <w:r w:rsidR="00E76E99">
        <w:t>l</w:t>
      </w:r>
      <w:r w:rsidR="005E3EA3">
        <w:t>east</w:t>
      </w:r>
      <w:proofErr w:type="gramEnd"/>
      <w:r w:rsidR="005E3EA3">
        <w:t xml:space="preserve"> </w:t>
      </w:r>
      <w:r w:rsidR="0001527A">
        <w:t>d</w:t>
      </w:r>
      <w:r w:rsidR="005E3EA3">
        <w:t xml:space="preserve">eveloped </w:t>
      </w:r>
      <w:r w:rsidR="0001527A">
        <w:t>c</w:t>
      </w:r>
      <w:r w:rsidR="005E3EA3">
        <w:t>ountries (LDC</w:t>
      </w:r>
      <w:r w:rsidR="00D51527">
        <w:t>s</w:t>
      </w:r>
      <w:r w:rsidR="005E3EA3">
        <w:t xml:space="preserve">) </w:t>
      </w:r>
      <w:r w:rsidR="001D0502">
        <w:t>and in more challenging sectors and projects.</w:t>
      </w:r>
      <w:r w:rsidR="00954238">
        <w:t xml:space="preserve"> On their part, private business</w:t>
      </w:r>
      <w:r w:rsidR="00B41BB5">
        <w:t>es</w:t>
      </w:r>
      <w:r w:rsidR="00954238">
        <w:t xml:space="preserve"> </w:t>
      </w:r>
      <w:r w:rsidR="008F2C3D">
        <w:t xml:space="preserve">need to </w:t>
      </w:r>
      <w:r w:rsidR="003404AB">
        <w:t>step up</w:t>
      </w:r>
      <w:r w:rsidR="008F2C3D">
        <w:t xml:space="preserve"> </w:t>
      </w:r>
      <w:r w:rsidR="009A5B7A">
        <w:t xml:space="preserve">and implement </w:t>
      </w:r>
      <w:r w:rsidR="008F2C3D">
        <w:t xml:space="preserve">their voluntary </w:t>
      </w:r>
      <w:r w:rsidR="00C94A5D">
        <w:t xml:space="preserve">sustainability-related commitments. </w:t>
      </w:r>
      <w:r w:rsidR="00B41BB5">
        <w:t xml:space="preserve">Many have already transformed their </w:t>
      </w:r>
      <w:r w:rsidR="008F6796">
        <w:t>supply</w:t>
      </w:r>
      <w:r w:rsidR="003404AB" w:rsidRPr="003404AB">
        <w:t xml:space="preserve"> </w:t>
      </w:r>
      <w:r w:rsidR="003404AB">
        <w:t xml:space="preserve">chains to </w:t>
      </w:r>
      <w:r w:rsidR="003404AB" w:rsidRPr="003404AB">
        <w:t>become more sustainable</w:t>
      </w:r>
      <w:r w:rsidR="004667C1">
        <w:t>,</w:t>
      </w:r>
      <w:r w:rsidR="00F23053">
        <w:t xml:space="preserve"> </w:t>
      </w:r>
      <w:r w:rsidR="003404AB" w:rsidRPr="003404AB">
        <w:t>divest</w:t>
      </w:r>
      <w:r w:rsidR="001A53F2">
        <w:t>ed</w:t>
      </w:r>
      <w:r w:rsidR="003404AB" w:rsidRPr="003404AB">
        <w:t xml:space="preserve"> assets</w:t>
      </w:r>
      <w:r w:rsidR="004667C1">
        <w:t>,</w:t>
      </w:r>
      <w:r w:rsidR="003404AB" w:rsidRPr="003404AB">
        <w:t xml:space="preserve"> ceas</w:t>
      </w:r>
      <w:r w:rsidR="001A53F2">
        <w:t xml:space="preserve">ed </w:t>
      </w:r>
      <w:r w:rsidR="004667C1">
        <w:t xml:space="preserve">some </w:t>
      </w:r>
      <w:r w:rsidR="003404AB" w:rsidRPr="003404AB">
        <w:t xml:space="preserve">activities that do harm, and </w:t>
      </w:r>
      <w:r w:rsidR="00F23053">
        <w:t>are designing</w:t>
      </w:r>
      <w:r w:rsidR="003404AB" w:rsidRPr="003404AB">
        <w:t xml:space="preserve"> future business plans</w:t>
      </w:r>
      <w:r w:rsidR="00F23053">
        <w:t>,</w:t>
      </w:r>
      <w:r w:rsidR="003404AB" w:rsidRPr="003404AB">
        <w:t xml:space="preserve"> such as transition plans</w:t>
      </w:r>
      <w:r w:rsidR="00F23053">
        <w:t>,</w:t>
      </w:r>
      <w:r w:rsidR="003404AB" w:rsidRPr="003404AB">
        <w:t xml:space="preserve"> that chart a progressively more sustainable path. </w:t>
      </w:r>
      <w:r w:rsidR="008F6796">
        <w:t xml:space="preserve"> </w:t>
      </w:r>
      <w:r w:rsidR="000A0261">
        <w:t>But much more needs to be done.</w:t>
      </w:r>
    </w:p>
    <w:p w14:paraId="7F6DF7C9" w14:textId="77777777" w:rsidR="00A62CCC" w:rsidRPr="00A95BEE" w:rsidRDefault="00A62CCC" w:rsidP="00E30707">
      <w:pPr>
        <w:pStyle w:val="ListParagraph"/>
        <w:spacing w:after="0" w:line="240" w:lineRule="auto"/>
        <w:ind w:left="0"/>
        <w:jc w:val="both"/>
      </w:pPr>
    </w:p>
    <w:p w14:paraId="756C04F9" w14:textId="1F073CAA" w:rsidR="00FC0C8C" w:rsidRPr="000E2A8E" w:rsidRDefault="00C25FE8" w:rsidP="00E30707">
      <w:pPr>
        <w:pStyle w:val="ListParagraph"/>
        <w:spacing w:after="0" w:line="240" w:lineRule="auto"/>
        <w:ind w:left="0"/>
        <w:jc w:val="both"/>
        <w:rPr>
          <w:b/>
          <w:bCs/>
          <w:i/>
          <w:iCs/>
          <w:sz w:val="24"/>
          <w:szCs w:val="24"/>
        </w:rPr>
      </w:pPr>
      <w:r w:rsidRPr="000E2A8E">
        <w:rPr>
          <w:b/>
          <w:bCs/>
          <w:i/>
          <w:iCs/>
          <w:sz w:val="24"/>
          <w:szCs w:val="24"/>
        </w:rPr>
        <w:t xml:space="preserve">Key challenges hampering </w:t>
      </w:r>
      <w:r w:rsidR="00FC0C8C" w:rsidRPr="000E2A8E">
        <w:rPr>
          <w:b/>
          <w:bCs/>
          <w:i/>
          <w:iCs/>
          <w:sz w:val="24"/>
          <w:szCs w:val="24"/>
        </w:rPr>
        <w:t xml:space="preserve">mobilization of </w:t>
      </w:r>
      <w:r w:rsidR="00533367" w:rsidRPr="000E2A8E">
        <w:rPr>
          <w:b/>
          <w:bCs/>
          <w:i/>
          <w:iCs/>
          <w:sz w:val="24"/>
          <w:szCs w:val="24"/>
        </w:rPr>
        <w:t xml:space="preserve">domestic and international </w:t>
      </w:r>
      <w:r w:rsidR="00FC0C8C" w:rsidRPr="000E2A8E">
        <w:rPr>
          <w:b/>
          <w:bCs/>
          <w:i/>
          <w:iCs/>
          <w:sz w:val="24"/>
          <w:szCs w:val="24"/>
        </w:rPr>
        <w:t>private finance</w:t>
      </w:r>
    </w:p>
    <w:p w14:paraId="5DB4DFBC" w14:textId="77777777" w:rsidR="00FC0C8C" w:rsidRDefault="00FC0C8C" w:rsidP="00E30707">
      <w:pPr>
        <w:pStyle w:val="ListParagraph"/>
        <w:spacing w:after="0" w:line="240" w:lineRule="auto"/>
        <w:ind w:left="0"/>
        <w:jc w:val="both"/>
      </w:pPr>
    </w:p>
    <w:p w14:paraId="5F08C87F" w14:textId="34A50F46" w:rsidR="00750FBA" w:rsidRDefault="00A62CCC" w:rsidP="00E30707">
      <w:pPr>
        <w:pStyle w:val="ListParagraph"/>
        <w:spacing w:after="0" w:line="240" w:lineRule="auto"/>
        <w:ind w:left="0"/>
        <w:jc w:val="both"/>
        <w:rPr>
          <w:rFonts w:ascii="Roboto" w:hAnsi="Roboto"/>
        </w:rPr>
      </w:pPr>
      <w:r w:rsidRPr="0037795D">
        <w:t xml:space="preserve">The first </w:t>
      </w:r>
      <w:r w:rsidR="00FC0C8C">
        <w:t xml:space="preserve">main </w:t>
      </w:r>
      <w:r w:rsidRPr="0037795D">
        <w:t xml:space="preserve">challenge is the underdeveloped </w:t>
      </w:r>
      <w:r>
        <w:t xml:space="preserve">and highly disparate </w:t>
      </w:r>
      <w:r w:rsidR="006513A2">
        <w:t xml:space="preserve">state of </w:t>
      </w:r>
      <w:r w:rsidR="000A0261">
        <w:t>capital</w:t>
      </w:r>
      <w:r w:rsidRPr="0037795D">
        <w:t xml:space="preserve"> markets in most </w:t>
      </w:r>
      <w:r w:rsidR="000C2824">
        <w:t xml:space="preserve">Asia-Pacific </w:t>
      </w:r>
      <w:r w:rsidRPr="0037795D">
        <w:t xml:space="preserve">economies. </w:t>
      </w:r>
      <w:r w:rsidR="00A40951">
        <w:t xml:space="preserve">Key </w:t>
      </w:r>
      <w:r w:rsidR="003E7094">
        <w:t>features of t</w:t>
      </w:r>
      <w:r w:rsidR="00BB2A2B">
        <w:t xml:space="preserve">his </w:t>
      </w:r>
      <w:proofErr w:type="gramStart"/>
      <w:r w:rsidR="00BB2A2B">
        <w:t>include</w:t>
      </w:r>
      <w:r w:rsidR="00023A1B">
        <w:t>:</w:t>
      </w:r>
      <w:proofErr w:type="gramEnd"/>
      <w:r w:rsidR="00C07584">
        <w:t xml:space="preserve"> </w:t>
      </w:r>
      <w:r w:rsidR="00D82F57">
        <w:t xml:space="preserve">weak </w:t>
      </w:r>
      <w:r w:rsidRPr="0037795D">
        <w:t>state of market infrastructure</w:t>
      </w:r>
      <w:r w:rsidR="002025B9">
        <w:t xml:space="preserve"> as reflected in </w:t>
      </w:r>
      <w:r w:rsidR="00875F93">
        <w:t xml:space="preserve">underdeveloped </w:t>
      </w:r>
      <w:r w:rsidRPr="0037795D">
        <w:t>exchanges</w:t>
      </w:r>
      <w:r w:rsidR="00131FBD">
        <w:t xml:space="preserve"> </w:t>
      </w:r>
      <w:r w:rsidR="00C26BB4">
        <w:t>of stocks, securities, derivatives and other financial instruments</w:t>
      </w:r>
      <w:r w:rsidR="00087661">
        <w:t>;</w:t>
      </w:r>
      <w:r w:rsidR="00C26BB4">
        <w:t xml:space="preserve"> </w:t>
      </w:r>
      <w:r w:rsidR="00A316AD">
        <w:t xml:space="preserve">weak </w:t>
      </w:r>
      <w:r w:rsidR="00131FBD">
        <w:t>c</w:t>
      </w:r>
      <w:r w:rsidRPr="0037795D">
        <w:t>learing systems</w:t>
      </w:r>
      <w:r w:rsidR="00131FBD">
        <w:t xml:space="preserve"> to settle financial trades</w:t>
      </w:r>
      <w:r w:rsidR="00087661">
        <w:t>;</w:t>
      </w:r>
      <w:r w:rsidRPr="0037795D">
        <w:t xml:space="preserve"> </w:t>
      </w:r>
      <w:r w:rsidR="00A914D2">
        <w:t xml:space="preserve">absence of </w:t>
      </w:r>
      <w:r w:rsidR="00470ECD">
        <w:t>guiding</w:t>
      </w:r>
      <w:r w:rsidRPr="0037795D">
        <w:t xml:space="preserve"> frameworks</w:t>
      </w:r>
      <w:r w:rsidR="00470ECD">
        <w:t xml:space="preserve"> to issue different financial instruments</w:t>
      </w:r>
      <w:r w:rsidR="00087661">
        <w:t>;</w:t>
      </w:r>
      <w:r w:rsidRPr="0037795D">
        <w:t xml:space="preserve"> </w:t>
      </w:r>
      <w:r w:rsidR="005661B5">
        <w:t xml:space="preserve">absence of </w:t>
      </w:r>
      <w:r w:rsidRPr="0037795D">
        <w:t>bondholder rights</w:t>
      </w:r>
      <w:r w:rsidR="005661B5">
        <w:t xml:space="preserve"> and </w:t>
      </w:r>
      <w:r w:rsidRPr="0037795D">
        <w:t>insolvency regulation</w:t>
      </w:r>
      <w:r w:rsidR="00470ECD">
        <w:t>s</w:t>
      </w:r>
      <w:r w:rsidR="00087661">
        <w:t>;</w:t>
      </w:r>
      <w:r w:rsidRPr="0037795D">
        <w:t xml:space="preserve"> lack of secondary markets particularly for corporate bonds</w:t>
      </w:r>
      <w:r w:rsidR="00750FBA">
        <w:t>;</w:t>
      </w:r>
      <w:r w:rsidRPr="0037795D">
        <w:t xml:space="preserve"> </w:t>
      </w:r>
      <w:r w:rsidR="0092161D">
        <w:t xml:space="preserve">and </w:t>
      </w:r>
      <w:r w:rsidRPr="0037795D">
        <w:t>regulation</w:t>
      </w:r>
      <w:r w:rsidR="00750FBA">
        <w:t>s</w:t>
      </w:r>
      <w:r w:rsidRPr="0037795D">
        <w:t xml:space="preserve"> that </w:t>
      </w:r>
      <w:r w:rsidR="007A791F" w:rsidRPr="0037795D">
        <w:t>hinder</w:t>
      </w:r>
      <w:r w:rsidRPr="0037795D">
        <w:t xml:space="preserve"> foreign ownership or produces taxation issues</w:t>
      </w:r>
      <w:r>
        <w:rPr>
          <w:rFonts w:ascii="Roboto" w:hAnsi="Roboto"/>
        </w:rPr>
        <w:t>.</w:t>
      </w:r>
      <w:r>
        <w:rPr>
          <w:rStyle w:val="FootnoteReference"/>
        </w:rPr>
        <w:footnoteReference w:id="5"/>
      </w:r>
      <w:r>
        <w:rPr>
          <w:rFonts w:ascii="Roboto" w:hAnsi="Roboto"/>
        </w:rPr>
        <w:t xml:space="preserve"> </w:t>
      </w:r>
    </w:p>
    <w:p w14:paraId="02F0AB0A" w14:textId="77777777" w:rsidR="00750FBA" w:rsidRDefault="00750FBA" w:rsidP="00E30707">
      <w:pPr>
        <w:pStyle w:val="ListParagraph"/>
        <w:spacing w:after="0" w:line="240" w:lineRule="auto"/>
        <w:ind w:left="0"/>
        <w:jc w:val="both"/>
        <w:rPr>
          <w:rFonts w:ascii="Roboto" w:hAnsi="Roboto"/>
        </w:rPr>
      </w:pPr>
    </w:p>
    <w:p w14:paraId="1CB61136" w14:textId="64137A7C" w:rsidR="00750FBA" w:rsidRDefault="00A62CCC" w:rsidP="00E30707">
      <w:pPr>
        <w:pStyle w:val="ListParagraph"/>
        <w:spacing w:after="0" w:line="240" w:lineRule="auto"/>
        <w:ind w:left="0"/>
        <w:jc w:val="both"/>
      </w:pPr>
      <w:r w:rsidRPr="0037795D">
        <w:t>Two, the institutional investor base, such as pension funds or insurance companies which can provide stability and liquidity, is small</w:t>
      </w:r>
      <w:r w:rsidR="00B7272F">
        <w:t xml:space="preserve"> compared to OECD countries</w:t>
      </w:r>
      <w:r w:rsidRPr="0037795D">
        <w:t xml:space="preserve">. Domestic savings are </w:t>
      </w:r>
      <w:r w:rsidR="000A78DB">
        <w:t xml:space="preserve">still </w:t>
      </w:r>
      <w:r w:rsidRPr="0037795D">
        <w:t xml:space="preserve">primarily channeled through banks rather than capital markets for </w:t>
      </w:r>
      <w:proofErr w:type="gramStart"/>
      <w:r w:rsidRPr="0037795D">
        <w:t>the majority of</w:t>
      </w:r>
      <w:proofErr w:type="gramEnd"/>
      <w:r w:rsidRPr="0037795D">
        <w:t xml:space="preserve"> countries in the region. </w:t>
      </w:r>
    </w:p>
    <w:p w14:paraId="2E71092C" w14:textId="77777777" w:rsidR="00750FBA" w:rsidRDefault="00750FBA" w:rsidP="00E30707">
      <w:pPr>
        <w:pStyle w:val="ListParagraph"/>
        <w:spacing w:after="0" w:line="240" w:lineRule="auto"/>
        <w:ind w:left="0"/>
        <w:jc w:val="both"/>
      </w:pPr>
    </w:p>
    <w:p w14:paraId="568E0C66" w14:textId="0D837AB5" w:rsidR="00E67C2D" w:rsidRDefault="00A62CCC" w:rsidP="00E30707">
      <w:pPr>
        <w:pStyle w:val="ListParagraph"/>
        <w:spacing w:after="0" w:line="240" w:lineRule="auto"/>
        <w:ind w:left="0"/>
        <w:jc w:val="both"/>
      </w:pPr>
      <w:r w:rsidRPr="0037795D">
        <w:t xml:space="preserve">Three, corporate governance remains a binding constraint in </w:t>
      </w:r>
      <w:r w:rsidR="005A4175">
        <w:t>many</w:t>
      </w:r>
      <w:r w:rsidRPr="0037795D">
        <w:t xml:space="preserve"> capital markets</w:t>
      </w:r>
      <w:r w:rsidR="00E76BCA" w:rsidRPr="00E76BCA">
        <w:t xml:space="preserve"> because of the poor quality of financial reporting by domestic </w:t>
      </w:r>
      <w:r w:rsidR="001C2F0B">
        <w:t>businesses</w:t>
      </w:r>
      <w:r w:rsidR="00E76BCA" w:rsidRPr="00E76BCA">
        <w:t xml:space="preserve"> and weaknesses in the legal system that makes it difficult for investors to seek redress in courts</w:t>
      </w:r>
      <w:r w:rsidR="001C2F0B">
        <w:t>, if needed</w:t>
      </w:r>
      <w:r w:rsidRPr="0037795D">
        <w:t xml:space="preserve">. </w:t>
      </w:r>
    </w:p>
    <w:p w14:paraId="6BAB73C8" w14:textId="77777777" w:rsidR="00E67C2D" w:rsidRDefault="00E67C2D" w:rsidP="00E30707">
      <w:pPr>
        <w:pStyle w:val="ListParagraph"/>
        <w:spacing w:after="0" w:line="240" w:lineRule="auto"/>
        <w:ind w:left="0"/>
        <w:jc w:val="both"/>
      </w:pPr>
    </w:p>
    <w:p w14:paraId="41BA6C35" w14:textId="1EAAC09E" w:rsidR="002A32D3" w:rsidRDefault="00A62CCC" w:rsidP="00E30707">
      <w:pPr>
        <w:pStyle w:val="ListParagraph"/>
        <w:spacing w:after="0" w:line="240" w:lineRule="auto"/>
        <w:ind w:left="0"/>
        <w:jc w:val="both"/>
      </w:pPr>
      <w:r w:rsidRPr="00E87149">
        <w:rPr>
          <w:rFonts w:cstheme="minorHAnsi"/>
        </w:rPr>
        <w:lastRenderedPageBreak/>
        <w:t xml:space="preserve">Four, the enterprise landscape </w:t>
      </w:r>
      <w:r w:rsidR="001C14EC">
        <w:rPr>
          <w:rFonts w:cstheme="minorHAnsi"/>
        </w:rPr>
        <w:t xml:space="preserve">in Asia and the Pacific </w:t>
      </w:r>
      <w:r w:rsidRPr="00E87149">
        <w:rPr>
          <w:rFonts w:cstheme="minorHAnsi"/>
        </w:rPr>
        <w:t xml:space="preserve">is dominated by </w:t>
      </w:r>
      <w:r>
        <w:rPr>
          <w:rFonts w:cstheme="minorHAnsi"/>
        </w:rPr>
        <w:t>micro, small and medium enterprises (</w:t>
      </w:r>
      <w:r w:rsidRPr="00E87149">
        <w:rPr>
          <w:rFonts w:cstheme="minorHAnsi"/>
        </w:rPr>
        <w:t>MSMEs</w:t>
      </w:r>
      <w:r>
        <w:rPr>
          <w:rFonts w:cstheme="minorHAnsi"/>
        </w:rPr>
        <w:t>)</w:t>
      </w:r>
      <w:r w:rsidRPr="00E87149">
        <w:rPr>
          <w:rFonts w:cstheme="minorHAnsi"/>
        </w:rPr>
        <w:t xml:space="preserve">, </w:t>
      </w:r>
      <w:r>
        <w:rPr>
          <w:rFonts w:cstheme="minorHAnsi"/>
        </w:rPr>
        <w:t>which</w:t>
      </w:r>
      <w:r w:rsidRPr="00E87149">
        <w:rPr>
          <w:rFonts w:cstheme="minorHAnsi"/>
        </w:rPr>
        <w:t xml:space="preserve"> account</w:t>
      </w:r>
      <w:r w:rsidR="00811464">
        <w:rPr>
          <w:rFonts w:cstheme="minorHAnsi"/>
        </w:rPr>
        <w:t>s</w:t>
      </w:r>
      <w:r w:rsidRPr="00E87149">
        <w:rPr>
          <w:rFonts w:cstheme="minorHAnsi"/>
        </w:rPr>
        <w:t xml:space="preserve"> for an average of 96.6</w:t>
      </w:r>
      <w:r w:rsidR="008E7E58">
        <w:rPr>
          <w:rFonts w:cstheme="minorHAnsi"/>
        </w:rPr>
        <w:t xml:space="preserve"> per cent</w:t>
      </w:r>
      <w:r w:rsidRPr="00E87149">
        <w:rPr>
          <w:rFonts w:cstheme="minorHAnsi"/>
        </w:rPr>
        <w:t xml:space="preserve"> of all enterprises, 55.8</w:t>
      </w:r>
      <w:r w:rsidR="008E7E58">
        <w:rPr>
          <w:rFonts w:cstheme="minorHAnsi"/>
        </w:rPr>
        <w:t xml:space="preserve"> per cent</w:t>
      </w:r>
      <w:r w:rsidR="008E7E58" w:rsidRPr="00E87149">
        <w:rPr>
          <w:rFonts w:cstheme="minorHAnsi"/>
        </w:rPr>
        <w:t xml:space="preserve"> </w:t>
      </w:r>
      <w:r w:rsidRPr="00E87149">
        <w:rPr>
          <w:rFonts w:cstheme="minorHAnsi"/>
        </w:rPr>
        <w:t>of the workforce and 28.0</w:t>
      </w:r>
      <w:r w:rsidR="008E7E58">
        <w:rPr>
          <w:rFonts w:cstheme="minorHAnsi"/>
        </w:rPr>
        <w:t xml:space="preserve"> per cent</w:t>
      </w:r>
      <w:r w:rsidR="008E7E58" w:rsidRPr="00E87149">
        <w:rPr>
          <w:rFonts w:cstheme="minorHAnsi"/>
        </w:rPr>
        <w:t xml:space="preserve"> </w:t>
      </w:r>
      <w:r w:rsidRPr="00E87149">
        <w:rPr>
          <w:rFonts w:cstheme="minorHAnsi"/>
        </w:rPr>
        <w:t>of gross domestic product (GDP) or gross value added (GVA) in several developing countries in Asia</w:t>
      </w:r>
      <w:r>
        <w:rPr>
          <w:rFonts w:cstheme="minorHAnsi"/>
        </w:rPr>
        <w:t xml:space="preserve"> and the </w:t>
      </w:r>
      <w:r w:rsidRPr="00E87149">
        <w:rPr>
          <w:rFonts w:cstheme="minorHAnsi"/>
        </w:rPr>
        <w:t>Pacific.</w:t>
      </w:r>
      <w:r w:rsidR="00456CDC">
        <w:rPr>
          <w:rStyle w:val="FootnoteReference"/>
          <w:rFonts w:cstheme="minorHAnsi"/>
        </w:rPr>
        <w:footnoteReference w:id="6"/>
      </w:r>
      <w:r w:rsidR="009304FD">
        <w:rPr>
          <w:rFonts w:cstheme="minorHAnsi"/>
        </w:rPr>
        <w:t xml:space="preserve"> </w:t>
      </w:r>
      <w:r w:rsidR="009304FD" w:rsidRPr="009304FD">
        <w:t>Such enterprises are predominantly funded by internal funding (equity)</w:t>
      </w:r>
      <w:r w:rsidR="001C2F0B">
        <w:t xml:space="preserve">. </w:t>
      </w:r>
      <w:r w:rsidR="00912660">
        <w:t>Sometimes they</w:t>
      </w:r>
      <w:r w:rsidR="009304FD" w:rsidRPr="009304FD">
        <w:t xml:space="preserve"> borrow from formal channels such as banks</w:t>
      </w:r>
      <w:r w:rsidR="001C2F0B">
        <w:t>,</w:t>
      </w:r>
      <w:r w:rsidR="00D57DFB">
        <w:t xml:space="preserve"> </w:t>
      </w:r>
      <w:r w:rsidR="001C2F0B">
        <w:t>h</w:t>
      </w:r>
      <w:r w:rsidR="00D57DFB">
        <w:t xml:space="preserve">owever, they </w:t>
      </w:r>
      <w:r w:rsidR="000A0261">
        <w:t>primarily do not</w:t>
      </w:r>
      <w:r w:rsidR="00D57DFB">
        <w:t xml:space="preserve"> </w:t>
      </w:r>
      <w:r w:rsidR="009304FD" w:rsidRPr="009304FD">
        <w:t>raise capital through securities in the capital markets</w:t>
      </w:r>
      <w:r w:rsidR="001265ED">
        <w:t>.</w:t>
      </w:r>
    </w:p>
    <w:p w14:paraId="421EAF20" w14:textId="1D402AE6" w:rsidR="00E67C2D" w:rsidRDefault="008570BE" w:rsidP="00E30707">
      <w:pPr>
        <w:pStyle w:val="ListParagraph"/>
        <w:spacing w:after="0" w:line="240" w:lineRule="auto"/>
        <w:ind w:left="0"/>
        <w:jc w:val="both"/>
      </w:pPr>
      <w:r>
        <w:t xml:space="preserve"> </w:t>
      </w:r>
    </w:p>
    <w:p w14:paraId="38C7E157" w14:textId="78A18ED7" w:rsidR="00A62CCC" w:rsidRPr="009304FD" w:rsidRDefault="008570BE" w:rsidP="00E30707">
      <w:pPr>
        <w:pStyle w:val="ListParagraph"/>
        <w:spacing w:after="0" w:line="240" w:lineRule="auto"/>
        <w:ind w:left="0"/>
        <w:jc w:val="both"/>
      </w:pPr>
      <w:r>
        <w:t xml:space="preserve">Five, </w:t>
      </w:r>
      <w:r w:rsidR="00AA3E60">
        <w:t xml:space="preserve">less than desirable </w:t>
      </w:r>
      <w:r w:rsidR="00C778D2" w:rsidRPr="00C778D2">
        <w:t>policy coherence and coordination in terms of national priorities and planning</w:t>
      </w:r>
      <w:r w:rsidR="00335DC0">
        <w:t>,</w:t>
      </w:r>
      <w:r w:rsidR="00C778D2" w:rsidRPr="00C778D2">
        <w:t xml:space="preserve"> related to the </w:t>
      </w:r>
      <w:r w:rsidR="000D1DB7">
        <w:t>Sustainable Development Goals</w:t>
      </w:r>
      <w:r w:rsidR="00335DC0">
        <w:t>,</w:t>
      </w:r>
      <w:r w:rsidR="00E82758">
        <w:t xml:space="preserve"> </w:t>
      </w:r>
      <w:r w:rsidR="000D64A8">
        <w:t xml:space="preserve">between </w:t>
      </w:r>
      <w:r w:rsidR="000E1FF5">
        <w:t xml:space="preserve">different </w:t>
      </w:r>
      <w:r w:rsidR="00FB1AEA">
        <w:t>ministries</w:t>
      </w:r>
      <w:r w:rsidR="000D64A8">
        <w:t>, departments and agencies</w:t>
      </w:r>
      <w:r w:rsidR="00944340">
        <w:t xml:space="preserve"> </w:t>
      </w:r>
      <w:r w:rsidR="00187D4E">
        <w:t>remain</w:t>
      </w:r>
      <w:r w:rsidR="00AA3E60">
        <w:t xml:space="preserve"> an issue</w:t>
      </w:r>
      <w:r w:rsidR="000E1FF5">
        <w:t xml:space="preserve"> </w:t>
      </w:r>
      <w:r w:rsidR="00E82758">
        <w:t>in</w:t>
      </w:r>
      <w:r w:rsidR="001D1FF9">
        <w:t xml:space="preserve"> several economies</w:t>
      </w:r>
      <w:r w:rsidR="00944340">
        <w:t>.</w:t>
      </w:r>
      <w:r w:rsidR="00FB1AEA" w:rsidRPr="00FB1AEA">
        <w:t xml:space="preserve"> This </w:t>
      </w:r>
      <w:r w:rsidR="00F906B8">
        <w:t>creates uncertainty</w:t>
      </w:r>
      <w:r w:rsidR="00AB11D1">
        <w:t xml:space="preserve">, </w:t>
      </w:r>
      <w:r w:rsidR="00FB1AEA" w:rsidRPr="00FB1AEA">
        <w:t>imposes significant transaction costs on private finance</w:t>
      </w:r>
      <w:r w:rsidR="00171173">
        <w:t xml:space="preserve">, </w:t>
      </w:r>
      <w:r w:rsidR="00FB1AEA" w:rsidRPr="00FB1AEA">
        <w:t xml:space="preserve">and reduces the financial efficiency of sustainable finance, </w:t>
      </w:r>
      <w:r w:rsidR="006852D2">
        <w:t xml:space="preserve">bringing down returns and </w:t>
      </w:r>
      <w:r w:rsidR="00FB1AEA" w:rsidRPr="00FB1AEA">
        <w:t xml:space="preserve">making </w:t>
      </w:r>
      <w:r w:rsidR="00CA6367">
        <w:t xml:space="preserve">private </w:t>
      </w:r>
      <w:r w:rsidR="00FB1AEA" w:rsidRPr="00FB1AEA">
        <w:t xml:space="preserve">investments </w:t>
      </w:r>
      <w:r w:rsidR="00F77AB0">
        <w:t xml:space="preserve">in support of Sustainable Development Goals </w:t>
      </w:r>
      <w:r w:rsidR="00FB1AEA" w:rsidRPr="00FB1AEA">
        <w:t>less desirable.</w:t>
      </w:r>
      <w:r w:rsidR="00E82758">
        <w:t xml:space="preserve"> </w:t>
      </w:r>
    </w:p>
    <w:p w14:paraId="671CA23E" w14:textId="77777777" w:rsidR="00A62CCC" w:rsidRPr="00E87149" w:rsidRDefault="00A62CCC" w:rsidP="00E30707">
      <w:pPr>
        <w:pStyle w:val="ListParagraph"/>
        <w:spacing w:after="0" w:line="240" w:lineRule="auto"/>
        <w:ind w:left="0"/>
        <w:jc w:val="both"/>
        <w:rPr>
          <w:rFonts w:cstheme="minorHAnsi"/>
        </w:rPr>
      </w:pPr>
    </w:p>
    <w:p w14:paraId="2A9E9D71" w14:textId="79328606" w:rsidR="00E56AB9" w:rsidRPr="000E2A8E" w:rsidRDefault="00E56AB9" w:rsidP="00E30707">
      <w:pPr>
        <w:pStyle w:val="ListParagraph"/>
        <w:spacing w:after="0" w:line="240" w:lineRule="auto"/>
        <w:ind w:left="0"/>
        <w:jc w:val="both"/>
        <w:rPr>
          <w:b/>
          <w:bCs/>
          <w:i/>
          <w:iCs/>
          <w:sz w:val="24"/>
          <w:szCs w:val="24"/>
        </w:rPr>
      </w:pPr>
      <w:r w:rsidRPr="000E2A8E">
        <w:rPr>
          <w:b/>
          <w:bCs/>
          <w:i/>
          <w:iCs/>
          <w:sz w:val="24"/>
          <w:szCs w:val="24"/>
        </w:rPr>
        <w:t>Need for integrated actions</w:t>
      </w:r>
      <w:r w:rsidR="000B6B17" w:rsidRPr="000E2A8E">
        <w:rPr>
          <w:b/>
          <w:bCs/>
          <w:i/>
          <w:iCs/>
          <w:sz w:val="24"/>
          <w:szCs w:val="24"/>
        </w:rPr>
        <w:t xml:space="preserve"> by regulators and policymakers</w:t>
      </w:r>
    </w:p>
    <w:p w14:paraId="11C464CA" w14:textId="77777777" w:rsidR="00E56AB9" w:rsidRDefault="00E56AB9" w:rsidP="00E30707">
      <w:pPr>
        <w:pStyle w:val="ListParagraph"/>
        <w:spacing w:after="0" w:line="240" w:lineRule="auto"/>
        <w:ind w:left="0"/>
        <w:jc w:val="both"/>
      </w:pPr>
    </w:p>
    <w:p w14:paraId="508903FB" w14:textId="6EF04D93" w:rsidR="00A62CCC" w:rsidRPr="0037795D" w:rsidRDefault="007E7B97" w:rsidP="00E30707">
      <w:pPr>
        <w:pStyle w:val="ListParagraph"/>
        <w:spacing w:after="0" w:line="240" w:lineRule="auto"/>
        <w:ind w:left="0"/>
        <w:jc w:val="both"/>
      </w:pPr>
      <w:r>
        <w:t>A</w:t>
      </w:r>
      <w:r w:rsidR="002D1FA1">
        <w:t>ddress</w:t>
      </w:r>
      <w:r>
        <w:t>ing</w:t>
      </w:r>
      <w:r w:rsidR="002D1FA1">
        <w:t xml:space="preserve"> these challenges and </w:t>
      </w:r>
      <w:r>
        <w:t>e</w:t>
      </w:r>
      <w:r w:rsidR="00A62CCC" w:rsidRPr="0037795D">
        <w:t>nsur</w:t>
      </w:r>
      <w:r>
        <w:t>ing</w:t>
      </w:r>
      <w:r w:rsidR="00A62CCC" w:rsidRPr="0037795D">
        <w:t xml:space="preserve"> that </w:t>
      </w:r>
      <w:r w:rsidR="00A62CCC">
        <w:t>private finance</w:t>
      </w:r>
      <w:r w:rsidR="00A62CCC" w:rsidRPr="0037795D">
        <w:t xml:space="preserve"> flows at scale towards the S</w:t>
      </w:r>
      <w:r w:rsidR="00957A06">
        <w:t>ustainable Development Goals</w:t>
      </w:r>
      <w:r w:rsidR="00A62CCC" w:rsidRPr="0037795D">
        <w:t xml:space="preserve"> </w:t>
      </w:r>
      <w:r w:rsidR="002D1FA1">
        <w:t>woul</w:t>
      </w:r>
      <w:r>
        <w:t xml:space="preserve">d </w:t>
      </w:r>
      <w:r w:rsidR="00A62CCC" w:rsidRPr="0037795D">
        <w:t>require a suite of integrated actions by policymakers and regulators</w:t>
      </w:r>
      <w:r w:rsidR="00EE7CDF">
        <w:t xml:space="preserve">. </w:t>
      </w:r>
      <w:r w:rsidR="00B470DC">
        <w:t xml:space="preserve">Such actions </w:t>
      </w:r>
      <w:r w:rsidR="00CF477F">
        <w:t xml:space="preserve">encompass </w:t>
      </w:r>
      <w:r w:rsidR="00F53BD4">
        <w:t>the developing</w:t>
      </w:r>
      <w:r w:rsidR="0079520E">
        <w:t xml:space="preserve"> </w:t>
      </w:r>
      <w:r w:rsidR="00C34379">
        <w:t xml:space="preserve">and deepening </w:t>
      </w:r>
      <w:r w:rsidR="0079520E">
        <w:t xml:space="preserve">financial markets and </w:t>
      </w:r>
      <w:r w:rsidR="00FE3082">
        <w:t>strengthen</w:t>
      </w:r>
      <w:r w:rsidR="00DE57FA">
        <w:t>ing</w:t>
      </w:r>
      <w:r w:rsidR="00FE3082">
        <w:t xml:space="preserve"> sustainable finance</w:t>
      </w:r>
      <w:r w:rsidR="00BF1C06">
        <w:t xml:space="preserve"> (figure </w:t>
      </w:r>
      <w:r w:rsidR="00056EF4">
        <w:t>4</w:t>
      </w:r>
      <w:r w:rsidR="00BF1C06">
        <w:t>)</w:t>
      </w:r>
      <w:r w:rsidR="00A62CCC" w:rsidRPr="0037795D">
        <w:t>.</w:t>
      </w:r>
      <w:r w:rsidR="0061612E">
        <w:t xml:space="preserve"> </w:t>
      </w:r>
      <w:r w:rsidR="00A62CCC" w:rsidRPr="0037795D">
        <w:t>Examples of key actions</w:t>
      </w:r>
      <w:r w:rsidR="00A62CCC">
        <w:t xml:space="preserve"> </w:t>
      </w:r>
      <w:r w:rsidR="009B09C9" w:rsidRPr="0037795D">
        <w:t>include</w:t>
      </w:r>
      <w:r w:rsidR="00B65F02">
        <w:t xml:space="preserve"> </w:t>
      </w:r>
      <w:r w:rsidR="00760E8A">
        <w:t>implementation</w:t>
      </w:r>
      <w:r w:rsidR="000E5C7A">
        <w:t xml:space="preserve"> of </w:t>
      </w:r>
      <w:r w:rsidR="00A62CCC">
        <w:t xml:space="preserve">sustainability-focused financial </w:t>
      </w:r>
      <w:r w:rsidR="00A62CCC" w:rsidRPr="0037795D">
        <w:t xml:space="preserve">risk management approaches, </w:t>
      </w:r>
      <w:r w:rsidR="000E5C7A">
        <w:t xml:space="preserve">promotion of </w:t>
      </w:r>
      <w:r w:rsidR="00A62CCC" w:rsidRPr="0037795D">
        <w:t>sustainable</w:t>
      </w:r>
      <w:r w:rsidR="00A62CCC">
        <w:t xml:space="preserve"> financial</w:t>
      </w:r>
      <w:r w:rsidR="00A62CCC" w:rsidRPr="0037795D">
        <w:t xml:space="preserve"> product development (such as sustainable bonds), </w:t>
      </w:r>
      <w:r w:rsidR="00BB4B90">
        <w:t xml:space="preserve">and </w:t>
      </w:r>
      <w:r w:rsidR="00A168D5">
        <w:t xml:space="preserve">adoption of </w:t>
      </w:r>
      <w:r w:rsidR="00A62CCC" w:rsidRPr="0037795D">
        <w:t xml:space="preserve">sustainable </w:t>
      </w:r>
      <w:r w:rsidR="00A168D5">
        <w:t xml:space="preserve">taxonomies and </w:t>
      </w:r>
      <w:r w:rsidR="00A62CCC" w:rsidRPr="0037795D">
        <w:t xml:space="preserve">disclosure frameworks underpinned by a sustainable finance roadmap. Clear, </w:t>
      </w:r>
      <w:r w:rsidR="0049163C">
        <w:t>coherent</w:t>
      </w:r>
      <w:r w:rsidR="00A62CCC" w:rsidRPr="0037795D">
        <w:t xml:space="preserve"> and integrated actions by banking and capital market regulators </w:t>
      </w:r>
      <w:r w:rsidR="00BA7646">
        <w:t>along these lines</w:t>
      </w:r>
      <w:r w:rsidR="00DA26BE">
        <w:t xml:space="preserve"> can </w:t>
      </w:r>
      <w:r w:rsidR="00A62CCC" w:rsidRPr="0037795D">
        <w:t>signal stability and predictability to investors</w:t>
      </w:r>
      <w:r w:rsidR="00FE3082">
        <w:t>,</w:t>
      </w:r>
      <w:r w:rsidR="00A62CCC" w:rsidRPr="0037795D">
        <w:t xml:space="preserve"> enabling long-term investments</w:t>
      </w:r>
      <w:r w:rsidR="00DA26BE">
        <w:t>.</w:t>
      </w:r>
      <w:r w:rsidR="00A62CCC" w:rsidRPr="0037795D">
        <w:t xml:space="preserve"> </w:t>
      </w:r>
    </w:p>
    <w:p w14:paraId="336A9DC2" w14:textId="77777777" w:rsidR="00A62CCC" w:rsidRDefault="00A62CCC" w:rsidP="00E30707">
      <w:pPr>
        <w:pStyle w:val="ListParagraph"/>
        <w:spacing w:after="0" w:line="240" w:lineRule="auto"/>
        <w:ind w:left="0"/>
        <w:jc w:val="both"/>
        <w:rPr>
          <w:rFonts w:ascii="Roboto" w:hAnsi="Roboto"/>
        </w:rPr>
      </w:pPr>
    </w:p>
    <w:p w14:paraId="6E3B914D" w14:textId="77777777" w:rsidR="00E41ED2" w:rsidDel="0098774E" w:rsidRDefault="00E41ED2">
      <w:pPr>
        <w:rPr>
          <w:rFonts w:cstheme="minorHAnsi"/>
          <w:b/>
          <w:bCs/>
        </w:rPr>
      </w:pPr>
      <w:r w:rsidDel="0098774E">
        <w:rPr>
          <w:rFonts w:cstheme="minorHAnsi"/>
          <w:b/>
          <w:bCs/>
        </w:rPr>
        <w:br w:type="page"/>
      </w:r>
    </w:p>
    <w:p w14:paraId="69955A9F" w14:textId="5147DB13" w:rsidR="00A62CCC" w:rsidRDefault="006162B3" w:rsidP="00E30707">
      <w:pPr>
        <w:pStyle w:val="ListParagraph"/>
        <w:spacing w:after="0" w:line="240" w:lineRule="auto"/>
        <w:ind w:left="0"/>
        <w:jc w:val="both"/>
        <w:rPr>
          <w:rFonts w:cstheme="minorHAnsi"/>
          <w:b/>
          <w:bCs/>
        </w:rPr>
      </w:pPr>
      <w:r w:rsidRPr="006162B3">
        <w:rPr>
          <w:rFonts w:cstheme="minorHAnsi"/>
          <w:b/>
          <w:bCs/>
        </w:rPr>
        <w:lastRenderedPageBreak/>
        <w:t xml:space="preserve">Figure </w:t>
      </w:r>
      <w:r w:rsidR="00056EF4">
        <w:rPr>
          <w:rFonts w:cstheme="minorHAnsi"/>
          <w:b/>
          <w:bCs/>
        </w:rPr>
        <w:t>4.</w:t>
      </w:r>
      <w:r w:rsidRPr="006162B3">
        <w:rPr>
          <w:rFonts w:cstheme="minorHAnsi"/>
          <w:b/>
          <w:bCs/>
        </w:rPr>
        <w:t xml:space="preserve"> </w:t>
      </w:r>
      <w:r w:rsidR="00605F21">
        <w:rPr>
          <w:rFonts w:cstheme="minorHAnsi"/>
          <w:b/>
          <w:bCs/>
        </w:rPr>
        <w:t>F</w:t>
      </w:r>
      <w:r w:rsidR="00A62CCC" w:rsidRPr="006162B3">
        <w:rPr>
          <w:rFonts w:cstheme="minorHAnsi"/>
          <w:b/>
          <w:bCs/>
        </w:rPr>
        <w:t>inancial sector development</w:t>
      </w:r>
      <w:r w:rsidR="00605F21">
        <w:rPr>
          <w:rFonts w:cstheme="minorHAnsi"/>
          <w:b/>
          <w:bCs/>
        </w:rPr>
        <w:t xml:space="preserve"> and sustainable finance actions</w:t>
      </w:r>
    </w:p>
    <w:p w14:paraId="2B86DECA" w14:textId="77777777" w:rsidR="00E30707" w:rsidRPr="006162B3" w:rsidRDefault="00E30707" w:rsidP="00F53BD4">
      <w:pPr>
        <w:pStyle w:val="ListParagraph"/>
        <w:spacing w:after="0" w:line="240" w:lineRule="auto"/>
        <w:ind w:left="0"/>
        <w:jc w:val="both"/>
        <w:rPr>
          <w:rFonts w:cstheme="minorHAnsi"/>
          <w:b/>
          <w:bCs/>
        </w:rPr>
      </w:pPr>
    </w:p>
    <w:p w14:paraId="21C27C4D" w14:textId="013898E5" w:rsidR="00A62CCC" w:rsidRPr="006B278C" w:rsidRDefault="00605F21" w:rsidP="00A62CCC">
      <w:pPr>
        <w:pStyle w:val="ListParagraph"/>
        <w:spacing w:after="0" w:line="240" w:lineRule="auto"/>
        <w:ind w:left="0"/>
        <w:rPr>
          <w:rFonts w:ascii="Roboto" w:hAnsi="Roboto"/>
          <w:b/>
          <w:bCs/>
        </w:rPr>
      </w:pPr>
      <w:r w:rsidRPr="00A97FBB">
        <w:rPr>
          <w:rFonts w:ascii="Roboto" w:hAnsi="Roboto"/>
          <w:noProof/>
        </w:rPr>
        <w:drawing>
          <wp:inline distT="0" distB="0" distL="0" distR="0" wp14:anchorId="734E3745" wp14:editId="0D76E1B6">
            <wp:extent cx="5876925" cy="3868900"/>
            <wp:effectExtent l="0" t="0" r="0" b="5080"/>
            <wp:docPr id="15858992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6925" cy="3868900"/>
                    </a:xfrm>
                    <a:prstGeom prst="rect">
                      <a:avLst/>
                    </a:prstGeom>
                    <a:noFill/>
                    <a:ln>
                      <a:noFill/>
                    </a:ln>
                  </pic:spPr>
                </pic:pic>
              </a:graphicData>
            </a:graphic>
          </wp:inline>
        </w:drawing>
      </w:r>
    </w:p>
    <w:p w14:paraId="2944BAEA" w14:textId="5FB073BE" w:rsidR="00A62CCC" w:rsidRPr="00274027" w:rsidRDefault="00A62CCC" w:rsidP="00F53BD4">
      <w:pPr>
        <w:pStyle w:val="ListParagraph"/>
        <w:spacing w:after="0" w:line="240" w:lineRule="auto"/>
        <w:ind w:left="0"/>
        <w:jc w:val="both"/>
        <w:rPr>
          <w:rFonts w:cstheme="minorHAnsi"/>
          <w:sz w:val="18"/>
          <w:szCs w:val="18"/>
        </w:rPr>
      </w:pPr>
      <w:r w:rsidRPr="00274027">
        <w:rPr>
          <w:rFonts w:cstheme="minorHAnsi"/>
          <w:i/>
          <w:iCs/>
          <w:sz w:val="18"/>
          <w:szCs w:val="18"/>
        </w:rPr>
        <w:t xml:space="preserve">Source: </w:t>
      </w:r>
      <w:r w:rsidR="00ED0AEC">
        <w:rPr>
          <w:rFonts w:cstheme="minorHAnsi"/>
          <w:sz w:val="18"/>
          <w:szCs w:val="18"/>
        </w:rPr>
        <w:t>ESCAP</w:t>
      </w:r>
      <w:r w:rsidRPr="00274027">
        <w:rPr>
          <w:rFonts w:cstheme="minorHAnsi"/>
          <w:sz w:val="18"/>
          <w:szCs w:val="18"/>
        </w:rPr>
        <w:t xml:space="preserve"> and Global Green Growth Institute, “ASEAN Green Map”, paper prepared for </w:t>
      </w:r>
      <w:r w:rsidR="00C113E3">
        <w:rPr>
          <w:rFonts w:cstheme="minorHAnsi"/>
          <w:sz w:val="18"/>
          <w:szCs w:val="18"/>
        </w:rPr>
        <w:t xml:space="preserve">the </w:t>
      </w:r>
      <w:r w:rsidRPr="00274027">
        <w:rPr>
          <w:rFonts w:cstheme="minorHAnsi"/>
          <w:sz w:val="18"/>
          <w:szCs w:val="18"/>
        </w:rPr>
        <w:t>Association of Southeast Asian Nations, Jakarta, forthcoming.</w:t>
      </w:r>
    </w:p>
    <w:p w14:paraId="4CC36744" w14:textId="77777777" w:rsidR="00A62CCC" w:rsidRDefault="00A62CCC" w:rsidP="00E30707">
      <w:pPr>
        <w:pStyle w:val="ListParagraph"/>
        <w:spacing w:after="0" w:line="240" w:lineRule="auto"/>
        <w:ind w:left="0"/>
        <w:jc w:val="both"/>
        <w:rPr>
          <w:rFonts w:ascii="Roboto" w:hAnsi="Roboto"/>
          <w:u w:val="single"/>
        </w:rPr>
      </w:pPr>
    </w:p>
    <w:p w14:paraId="7EC36352" w14:textId="2CBC3DC1" w:rsidR="00EA728B" w:rsidRPr="0004009E" w:rsidRDefault="00EA728B" w:rsidP="00F53BD4">
      <w:pPr>
        <w:pStyle w:val="Heading2"/>
        <w:spacing w:before="0" w:line="240" w:lineRule="auto"/>
        <w:rPr>
          <w:rFonts w:asciiTheme="minorHAnsi" w:hAnsiTheme="minorHAnsi" w:cstheme="minorHAnsi"/>
          <w:b/>
          <w:bCs/>
          <w:color w:val="000000" w:themeColor="text1"/>
        </w:rPr>
      </w:pPr>
      <w:r w:rsidRPr="0004009E">
        <w:rPr>
          <w:rFonts w:asciiTheme="minorHAnsi" w:hAnsiTheme="minorHAnsi" w:cstheme="minorHAnsi"/>
          <w:b/>
          <w:bCs/>
          <w:color w:val="000000" w:themeColor="text1"/>
        </w:rPr>
        <w:t xml:space="preserve">Suggested </w:t>
      </w:r>
      <w:r w:rsidR="004778FC">
        <w:rPr>
          <w:rFonts w:asciiTheme="minorHAnsi" w:hAnsiTheme="minorHAnsi" w:cstheme="minorHAnsi"/>
          <w:b/>
          <w:bCs/>
          <w:color w:val="000000" w:themeColor="text1"/>
        </w:rPr>
        <w:t>p</w:t>
      </w:r>
      <w:r w:rsidRPr="0004009E">
        <w:rPr>
          <w:rFonts w:asciiTheme="minorHAnsi" w:hAnsiTheme="minorHAnsi" w:cstheme="minorHAnsi"/>
          <w:b/>
          <w:bCs/>
          <w:color w:val="000000" w:themeColor="text1"/>
        </w:rPr>
        <w:t xml:space="preserve">olicy </w:t>
      </w:r>
      <w:r w:rsidR="004778FC">
        <w:rPr>
          <w:rFonts w:asciiTheme="minorHAnsi" w:hAnsiTheme="minorHAnsi" w:cstheme="minorHAnsi"/>
          <w:b/>
          <w:bCs/>
          <w:color w:val="000000" w:themeColor="text1"/>
        </w:rPr>
        <w:t>p</w:t>
      </w:r>
      <w:r w:rsidRPr="0004009E">
        <w:rPr>
          <w:rFonts w:asciiTheme="minorHAnsi" w:hAnsiTheme="minorHAnsi" w:cstheme="minorHAnsi"/>
          <w:b/>
          <w:bCs/>
          <w:color w:val="000000" w:themeColor="text1"/>
        </w:rPr>
        <w:t xml:space="preserve">riorities </w:t>
      </w:r>
    </w:p>
    <w:p w14:paraId="7C8A3E8E" w14:textId="77777777" w:rsidR="00EA728B" w:rsidRPr="00EA728B" w:rsidRDefault="00EA728B" w:rsidP="00E30707">
      <w:pPr>
        <w:spacing w:after="0" w:line="240" w:lineRule="auto"/>
        <w:jc w:val="both"/>
        <w:rPr>
          <w:rFonts w:cstheme="minorHAnsi"/>
        </w:rPr>
      </w:pPr>
    </w:p>
    <w:p w14:paraId="422DA7BE" w14:textId="5073A615" w:rsidR="00A62CCC" w:rsidRPr="0037795D" w:rsidRDefault="00A62CCC" w:rsidP="00E30707">
      <w:pPr>
        <w:pStyle w:val="ListParagraph"/>
        <w:numPr>
          <w:ilvl w:val="0"/>
          <w:numId w:val="8"/>
        </w:numPr>
        <w:spacing w:after="0" w:line="240" w:lineRule="auto"/>
        <w:jc w:val="both"/>
        <w:rPr>
          <w:rFonts w:cstheme="minorHAnsi"/>
        </w:rPr>
      </w:pPr>
      <w:r w:rsidRPr="0037795D">
        <w:rPr>
          <w:rFonts w:cstheme="minorHAnsi"/>
          <w:b/>
          <w:bCs/>
        </w:rPr>
        <w:t>Strengthen</w:t>
      </w:r>
      <w:r w:rsidR="00222B6F">
        <w:rPr>
          <w:rFonts w:cstheme="minorHAnsi"/>
          <w:b/>
          <w:bCs/>
        </w:rPr>
        <w:t xml:space="preserve"> </w:t>
      </w:r>
      <w:r w:rsidRPr="0037795D">
        <w:rPr>
          <w:rFonts w:cstheme="minorHAnsi"/>
          <w:b/>
          <w:bCs/>
        </w:rPr>
        <w:t xml:space="preserve">financial regulations </w:t>
      </w:r>
      <w:r w:rsidR="00CB43A0">
        <w:rPr>
          <w:rFonts w:cstheme="minorHAnsi"/>
          <w:b/>
          <w:bCs/>
        </w:rPr>
        <w:t>to</w:t>
      </w:r>
      <w:r w:rsidRPr="0037795D">
        <w:rPr>
          <w:rFonts w:cstheme="minorHAnsi"/>
          <w:b/>
          <w:bCs/>
        </w:rPr>
        <w:t xml:space="preserve"> </w:t>
      </w:r>
      <w:r w:rsidR="00CB43A0">
        <w:rPr>
          <w:rFonts w:cstheme="minorHAnsi"/>
          <w:b/>
          <w:bCs/>
        </w:rPr>
        <w:t xml:space="preserve">facilitate and </w:t>
      </w:r>
      <w:r w:rsidRPr="0037795D">
        <w:rPr>
          <w:rFonts w:cstheme="minorHAnsi"/>
          <w:b/>
          <w:bCs/>
        </w:rPr>
        <w:t>accelerate private financing towards the Sustainable Development Goals</w:t>
      </w:r>
      <w:r w:rsidR="00222B6F">
        <w:rPr>
          <w:rFonts w:cstheme="minorHAnsi"/>
          <w:b/>
          <w:bCs/>
        </w:rPr>
        <w:t xml:space="preserve">. </w:t>
      </w:r>
      <w:r w:rsidRPr="0037795D">
        <w:rPr>
          <w:rFonts w:cstheme="minorHAnsi"/>
        </w:rPr>
        <w:t xml:space="preserve">Changes in </w:t>
      </w:r>
      <w:r w:rsidR="0023376F" w:rsidRPr="0037795D">
        <w:rPr>
          <w:rFonts w:cstheme="minorHAnsi"/>
        </w:rPr>
        <w:t>financial</w:t>
      </w:r>
      <w:r w:rsidRPr="0037795D">
        <w:rPr>
          <w:rFonts w:cstheme="minorHAnsi"/>
        </w:rPr>
        <w:t xml:space="preserve"> regulations that prioritize sustainability considerations will influence the </w:t>
      </w:r>
      <w:r w:rsidR="00E15F17" w:rsidRPr="0037795D">
        <w:rPr>
          <w:rFonts w:cstheme="minorHAnsi"/>
        </w:rPr>
        <w:t>behavior</w:t>
      </w:r>
      <w:r w:rsidRPr="0037795D">
        <w:rPr>
          <w:rFonts w:cstheme="minorHAnsi"/>
        </w:rPr>
        <w:t xml:space="preserve"> of </w:t>
      </w:r>
      <w:r w:rsidR="00A33D8B">
        <w:rPr>
          <w:rFonts w:cstheme="minorHAnsi"/>
        </w:rPr>
        <w:t>businesses operating in different sectors of the economy.</w:t>
      </w:r>
      <w:r w:rsidRPr="0037795D">
        <w:rPr>
          <w:rFonts w:cstheme="minorHAnsi"/>
        </w:rPr>
        <w:t xml:space="preserve"> </w:t>
      </w:r>
      <w:r w:rsidR="00C26136">
        <w:rPr>
          <w:rFonts w:cstheme="minorHAnsi"/>
        </w:rPr>
        <w:t xml:space="preserve">For this, </w:t>
      </w:r>
      <w:r w:rsidR="00C26136" w:rsidRPr="0037795D">
        <w:rPr>
          <w:rFonts w:cstheme="minorHAnsi"/>
        </w:rPr>
        <w:t xml:space="preserve">regulators will need </w:t>
      </w:r>
      <w:r w:rsidR="00C26136">
        <w:rPr>
          <w:rFonts w:cstheme="minorHAnsi"/>
        </w:rPr>
        <w:t xml:space="preserve">to </w:t>
      </w:r>
      <w:r w:rsidR="00C26136" w:rsidRPr="0037795D">
        <w:rPr>
          <w:rFonts w:cstheme="minorHAnsi"/>
        </w:rPr>
        <w:t xml:space="preserve">invest in data and capacities </w:t>
      </w:r>
      <w:r w:rsidR="00C26136">
        <w:rPr>
          <w:rFonts w:cstheme="minorHAnsi"/>
        </w:rPr>
        <w:t>of</w:t>
      </w:r>
      <w:r w:rsidR="00C26136" w:rsidRPr="0037795D">
        <w:rPr>
          <w:rFonts w:cstheme="minorHAnsi"/>
        </w:rPr>
        <w:t xml:space="preserve"> their staff and systems to design, monitor and enforce effective sustainable financing regulations.</w:t>
      </w:r>
      <w:r w:rsidR="00835522">
        <w:rPr>
          <w:rFonts w:cstheme="minorHAnsi"/>
        </w:rPr>
        <w:t xml:space="preserve"> Moreover</w:t>
      </w:r>
      <w:r w:rsidRPr="0037795D">
        <w:rPr>
          <w:rFonts w:cstheme="minorHAnsi"/>
        </w:rPr>
        <w:t xml:space="preserve">, regulators </w:t>
      </w:r>
      <w:r w:rsidR="007E0E28">
        <w:rPr>
          <w:rFonts w:cstheme="minorHAnsi"/>
        </w:rPr>
        <w:t>should also strive for</w:t>
      </w:r>
      <w:r w:rsidRPr="0037795D">
        <w:rPr>
          <w:rFonts w:cstheme="minorHAnsi"/>
        </w:rPr>
        <w:t xml:space="preserve"> greater consistency with regional and global sustainable finance taxonomies and roadmaps</w:t>
      </w:r>
      <w:r w:rsidR="005B3A0B">
        <w:rPr>
          <w:rFonts w:cstheme="minorHAnsi"/>
        </w:rPr>
        <w:t xml:space="preserve">. This would </w:t>
      </w:r>
      <w:r w:rsidRPr="0037795D">
        <w:rPr>
          <w:rFonts w:cstheme="minorHAnsi"/>
        </w:rPr>
        <w:t>ensur</w:t>
      </w:r>
      <w:r w:rsidR="005B3A0B">
        <w:rPr>
          <w:rFonts w:cstheme="minorHAnsi"/>
        </w:rPr>
        <w:t>e that</w:t>
      </w:r>
      <w:r w:rsidRPr="0037795D">
        <w:rPr>
          <w:rFonts w:cstheme="minorHAnsi"/>
        </w:rPr>
        <w:t xml:space="preserve"> international investors can benefit from interoperability and </w:t>
      </w:r>
      <w:r w:rsidR="00F81959">
        <w:rPr>
          <w:rFonts w:cstheme="minorHAnsi"/>
        </w:rPr>
        <w:t xml:space="preserve">provide </w:t>
      </w:r>
      <w:r w:rsidRPr="0037795D">
        <w:rPr>
          <w:rFonts w:cstheme="minorHAnsi"/>
        </w:rPr>
        <w:t>incentiv</w:t>
      </w:r>
      <w:r w:rsidR="00F81959">
        <w:rPr>
          <w:rFonts w:cstheme="minorHAnsi"/>
        </w:rPr>
        <w:t>es for</w:t>
      </w:r>
      <w:r w:rsidRPr="0037795D">
        <w:rPr>
          <w:rFonts w:cstheme="minorHAnsi"/>
        </w:rPr>
        <w:t xml:space="preserve"> foreign capital to flow towards the sustainable development goals</w:t>
      </w:r>
      <w:r w:rsidR="00222B6F" w:rsidRPr="0037795D">
        <w:rPr>
          <w:rFonts w:cstheme="minorHAnsi"/>
        </w:rPr>
        <w:t xml:space="preserve">. </w:t>
      </w:r>
    </w:p>
    <w:p w14:paraId="6C88F984" w14:textId="77777777" w:rsidR="00A62CCC" w:rsidRPr="0037795D" w:rsidRDefault="00A62CCC" w:rsidP="00E30707">
      <w:pPr>
        <w:pStyle w:val="ListParagraph"/>
        <w:spacing w:after="0" w:line="240" w:lineRule="auto"/>
        <w:ind w:left="432"/>
        <w:jc w:val="both"/>
        <w:rPr>
          <w:rFonts w:cstheme="minorHAnsi"/>
        </w:rPr>
      </w:pPr>
    </w:p>
    <w:p w14:paraId="1845178C" w14:textId="77777777" w:rsidR="000E2419" w:rsidRPr="000E2419" w:rsidRDefault="00A62CCC" w:rsidP="00E30707">
      <w:pPr>
        <w:pStyle w:val="ListParagraph"/>
        <w:numPr>
          <w:ilvl w:val="0"/>
          <w:numId w:val="8"/>
        </w:numPr>
        <w:spacing w:after="0" w:line="240" w:lineRule="auto"/>
        <w:jc w:val="both"/>
        <w:rPr>
          <w:rFonts w:cstheme="minorHAnsi"/>
          <w:b/>
          <w:bCs/>
        </w:rPr>
      </w:pPr>
      <w:r w:rsidRPr="00BA3673">
        <w:rPr>
          <w:rFonts w:cstheme="minorHAnsi"/>
          <w:b/>
          <w:bCs/>
        </w:rPr>
        <w:t>Undertake actions to develop and deepen domestic banking and capital markets and ensure that sustainability considerations are fu</w:t>
      </w:r>
      <w:r w:rsidR="00800552">
        <w:rPr>
          <w:rFonts w:cstheme="minorHAnsi"/>
          <w:b/>
          <w:bCs/>
        </w:rPr>
        <w:t>lly</w:t>
      </w:r>
      <w:r w:rsidRPr="00BA3673">
        <w:rPr>
          <w:rFonts w:cstheme="minorHAnsi"/>
          <w:b/>
          <w:bCs/>
        </w:rPr>
        <w:t xml:space="preserve"> embedded.</w:t>
      </w:r>
      <w:r w:rsidRPr="00BA3673">
        <w:rPr>
          <w:rFonts w:cstheme="minorHAnsi"/>
        </w:rPr>
        <w:t xml:space="preserve"> Examples of potential actions </w:t>
      </w:r>
      <w:r w:rsidR="003E475A">
        <w:rPr>
          <w:rFonts w:cstheme="minorHAnsi"/>
        </w:rPr>
        <w:t>i</w:t>
      </w:r>
      <w:r w:rsidRPr="00BA3673">
        <w:rPr>
          <w:rFonts w:cstheme="minorHAnsi"/>
        </w:rPr>
        <w:t>nclude</w:t>
      </w:r>
      <w:r w:rsidR="00DB4D2B">
        <w:rPr>
          <w:rFonts w:cstheme="minorHAnsi"/>
        </w:rPr>
        <w:t>:</w:t>
      </w:r>
      <w:r w:rsidR="003E475A">
        <w:rPr>
          <w:rFonts w:cstheme="minorHAnsi"/>
        </w:rPr>
        <w:t xml:space="preserve"> efforts to</w:t>
      </w:r>
      <w:r w:rsidRPr="00BA3673">
        <w:rPr>
          <w:rFonts w:cstheme="minorHAnsi"/>
        </w:rPr>
        <w:t xml:space="preserve"> increase the institutional investor base</w:t>
      </w:r>
      <w:r w:rsidR="00DB4D2B">
        <w:rPr>
          <w:rFonts w:cstheme="minorHAnsi"/>
        </w:rPr>
        <w:t>;</w:t>
      </w:r>
      <w:r w:rsidRPr="00BA3673">
        <w:rPr>
          <w:rFonts w:cstheme="minorHAnsi"/>
        </w:rPr>
        <w:t xml:space="preserve"> </w:t>
      </w:r>
      <w:r w:rsidR="00596C59">
        <w:rPr>
          <w:rFonts w:cstheme="minorHAnsi"/>
        </w:rPr>
        <w:t>strengthening of</w:t>
      </w:r>
      <w:r w:rsidRPr="00BA3673">
        <w:rPr>
          <w:rFonts w:cstheme="minorHAnsi"/>
        </w:rPr>
        <w:t xml:space="preserve"> corporate governance</w:t>
      </w:r>
      <w:r w:rsidR="00DB4D2B">
        <w:rPr>
          <w:rFonts w:cstheme="minorHAnsi"/>
        </w:rPr>
        <w:t>;</w:t>
      </w:r>
      <w:r w:rsidRPr="00BA3673">
        <w:rPr>
          <w:rFonts w:cstheme="minorHAnsi"/>
        </w:rPr>
        <w:t xml:space="preserve"> </w:t>
      </w:r>
      <w:r w:rsidR="00596C59">
        <w:rPr>
          <w:rFonts w:cstheme="minorHAnsi"/>
        </w:rPr>
        <w:t xml:space="preserve">development of </w:t>
      </w:r>
      <w:r w:rsidRPr="00BA3673">
        <w:rPr>
          <w:rFonts w:cstheme="minorHAnsi"/>
        </w:rPr>
        <w:t>more efficient banking and capital market infrastructure</w:t>
      </w:r>
      <w:r w:rsidR="00596C59">
        <w:rPr>
          <w:rFonts w:cstheme="minorHAnsi"/>
        </w:rPr>
        <w:t>;</w:t>
      </w:r>
      <w:r w:rsidRPr="00BA3673">
        <w:rPr>
          <w:rFonts w:cstheme="minorHAnsi"/>
        </w:rPr>
        <w:t xml:space="preserve"> sufficient technical capacity and knowledge provided to market intermediaries</w:t>
      </w:r>
      <w:r w:rsidR="00596C59">
        <w:rPr>
          <w:rFonts w:cstheme="minorHAnsi"/>
        </w:rPr>
        <w:t>;</w:t>
      </w:r>
      <w:r w:rsidRPr="00BA3673">
        <w:rPr>
          <w:rFonts w:cstheme="minorHAnsi"/>
        </w:rPr>
        <w:t xml:space="preserve"> implementation of robust regulatory and supervisory frameworks with strengthened investor protection </w:t>
      </w:r>
      <w:r w:rsidR="000B0A1F">
        <w:rPr>
          <w:rFonts w:cstheme="minorHAnsi"/>
        </w:rPr>
        <w:t>policies</w:t>
      </w:r>
      <w:r w:rsidR="000E2419">
        <w:rPr>
          <w:rFonts w:cstheme="minorHAnsi"/>
        </w:rPr>
        <w:t xml:space="preserve">; </w:t>
      </w:r>
      <w:r w:rsidRPr="00BA3673">
        <w:rPr>
          <w:rFonts w:cstheme="minorHAnsi"/>
        </w:rPr>
        <w:t>ensuring adequate and independent credit risk assessment for companies of all sizes</w:t>
      </w:r>
      <w:r w:rsidR="000E2419">
        <w:rPr>
          <w:rFonts w:cstheme="minorHAnsi"/>
        </w:rPr>
        <w:t>;</w:t>
      </w:r>
      <w:r>
        <w:rPr>
          <w:rFonts w:cstheme="minorHAnsi"/>
        </w:rPr>
        <w:t xml:space="preserve"> and</w:t>
      </w:r>
      <w:r w:rsidRPr="00BA3673">
        <w:rPr>
          <w:rFonts w:cstheme="minorHAnsi"/>
        </w:rPr>
        <w:t xml:space="preserve"> improving secondary market liquidity</w:t>
      </w:r>
      <w:r w:rsidR="000E2419">
        <w:rPr>
          <w:rFonts w:cstheme="minorHAnsi"/>
        </w:rPr>
        <w:t>.</w:t>
      </w:r>
    </w:p>
    <w:p w14:paraId="2DA525E2" w14:textId="77777777" w:rsidR="000E2419" w:rsidRPr="000E2419" w:rsidRDefault="000E2419" w:rsidP="00F53BD4">
      <w:pPr>
        <w:pStyle w:val="ListParagraph"/>
        <w:spacing w:after="0" w:line="240" w:lineRule="auto"/>
        <w:rPr>
          <w:rFonts w:cstheme="minorHAnsi"/>
        </w:rPr>
      </w:pPr>
    </w:p>
    <w:p w14:paraId="6DBF0ABC" w14:textId="43169B5C" w:rsidR="00A62CCC" w:rsidRDefault="00A62CCC" w:rsidP="00E30707">
      <w:pPr>
        <w:pStyle w:val="ListParagraph"/>
        <w:numPr>
          <w:ilvl w:val="0"/>
          <w:numId w:val="8"/>
        </w:numPr>
        <w:spacing w:after="0" w:line="240" w:lineRule="auto"/>
        <w:jc w:val="both"/>
        <w:rPr>
          <w:rFonts w:cstheme="minorHAnsi"/>
        </w:rPr>
      </w:pPr>
      <w:r w:rsidRPr="0037795D">
        <w:rPr>
          <w:rFonts w:cstheme="minorHAnsi"/>
          <w:b/>
          <w:bCs/>
        </w:rPr>
        <w:t xml:space="preserve">Ensure that more concessional and private finance flow towards the </w:t>
      </w:r>
      <w:r w:rsidR="00F53BD4">
        <w:rPr>
          <w:rFonts w:cstheme="minorHAnsi"/>
          <w:b/>
          <w:bCs/>
        </w:rPr>
        <w:t>l</w:t>
      </w:r>
      <w:r w:rsidRPr="0037795D">
        <w:rPr>
          <w:rFonts w:cstheme="minorHAnsi"/>
          <w:b/>
          <w:bCs/>
        </w:rPr>
        <w:t xml:space="preserve">east </w:t>
      </w:r>
      <w:r w:rsidR="00F53BD4">
        <w:rPr>
          <w:rFonts w:cstheme="minorHAnsi"/>
          <w:b/>
          <w:bCs/>
        </w:rPr>
        <w:t>d</w:t>
      </w:r>
      <w:r w:rsidRPr="0037795D">
        <w:rPr>
          <w:rFonts w:cstheme="minorHAnsi"/>
          <w:b/>
          <w:bCs/>
        </w:rPr>
        <w:t xml:space="preserve">eveloped </w:t>
      </w:r>
      <w:r w:rsidR="00F53BD4">
        <w:rPr>
          <w:rFonts w:cstheme="minorHAnsi"/>
          <w:b/>
          <w:bCs/>
        </w:rPr>
        <w:t>c</w:t>
      </w:r>
      <w:r w:rsidRPr="0037795D">
        <w:rPr>
          <w:rFonts w:cstheme="minorHAnsi"/>
          <w:b/>
          <w:bCs/>
        </w:rPr>
        <w:t xml:space="preserve">ountries, as well as more challenging sectors and projects. </w:t>
      </w:r>
      <w:r w:rsidRPr="0037795D">
        <w:rPr>
          <w:rFonts w:cstheme="minorHAnsi"/>
        </w:rPr>
        <w:t xml:space="preserve">For the </w:t>
      </w:r>
      <w:r w:rsidR="00A42B54">
        <w:rPr>
          <w:rFonts w:cstheme="minorHAnsi"/>
        </w:rPr>
        <w:t>LDC</w:t>
      </w:r>
      <w:r w:rsidR="00F53BD4">
        <w:rPr>
          <w:rFonts w:cstheme="minorHAnsi"/>
        </w:rPr>
        <w:t>s</w:t>
      </w:r>
      <w:r w:rsidRPr="0037795D">
        <w:rPr>
          <w:rFonts w:cstheme="minorHAnsi"/>
        </w:rPr>
        <w:t xml:space="preserve"> as well as countries with low sovereign credit ratings, concessional finance by multilateral development banks and development finance </w:t>
      </w:r>
      <w:r w:rsidRPr="0037795D">
        <w:rPr>
          <w:rFonts w:cstheme="minorHAnsi"/>
        </w:rPr>
        <w:lastRenderedPageBreak/>
        <w:t xml:space="preserve">institutions can act as an effective de-risking mechanism for private finance, if undertaken in partnership with the government and the private sector. Setting up a modality in which the private sector (project developers) and financial institutions regularly meet and co-create sustainable projects in a progressive and iterative manner can accelerate the preparation of effective pipelines of sustainable projects at scale. </w:t>
      </w:r>
      <w:r w:rsidR="000678D9">
        <w:rPr>
          <w:rFonts w:cstheme="minorHAnsi"/>
        </w:rPr>
        <w:t>Doing so</w:t>
      </w:r>
      <w:r w:rsidRPr="0037795D">
        <w:rPr>
          <w:rFonts w:cstheme="minorHAnsi"/>
        </w:rPr>
        <w:t xml:space="preserve"> would require</w:t>
      </w:r>
      <w:r>
        <w:rPr>
          <w:rFonts w:cstheme="minorHAnsi"/>
        </w:rPr>
        <w:t xml:space="preserve"> a</w:t>
      </w:r>
      <w:r w:rsidRPr="0037795D">
        <w:rPr>
          <w:rFonts w:cstheme="minorHAnsi"/>
        </w:rPr>
        <w:t xml:space="preserve"> change in mindset </w:t>
      </w:r>
      <w:r w:rsidR="002B4A6B" w:rsidRPr="0037795D">
        <w:rPr>
          <w:rFonts w:cstheme="minorHAnsi"/>
        </w:rPr>
        <w:t>of</w:t>
      </w:r>
      <w:r w:rsidRPr="0037795D">
        <w:rPr>
          <w:rFonts w:cstheme="minorHAnsi"/>
        </w:rPr>
        <w:t xml:space="preserve"> both </w:t>
      </w:r>
      <w:r w:rsidR="000678D9">
        <w:rPr>
          <w:rFonts w:cstheme="minorHAnsi"/>
        </w:rPr>
        <w:t xml:space="preserve">the </w:t>
      </w:r>
      <w:r w:rsidRPr="0037795D">
        <w:rPr>
          <w:rFonts w:cstheme="minorHAnsi"/>
        </w:rPr>
        <w:t>concessional and private finance providers</w:t>
      </w:r>
      <w:r>
        <w:rPr>
          <w:rFonts w:cstheme="minorHAnsi"/>
        </w:rPr>
        <w:t xml:space="preserve"> </w:t>
      </w:r>
      <w:r w:rsidRPr="0037795D">
        <w:rPr>
          <w:rFonts w:cstheme="minorHAnsi"/>
        </w:rPr>
        <w:t>operating in</w:t>
      </w:r>
      <w:r w:rsidR="000678D9">
        <w:rPr>
          <w:rFonts w:cstheme="minorHAnsi"/>
        </w:rPr>
        <w:t xml:space="preserve"> LDCs.</w:t>
      </w:r>
    </w:p>
    <w:p w14:paraId="4FE89E78" w14:textId="77777777" w:rsidR="00A80256" w:rsidRDefault="00A80256" w:rsidP="00E30707">
      <w:pPr>
        <w:pStyle w:val="ListParagraph"/>
        <w:spacing w:after="0" w:line="240" w:lineRule="auto"/>
        <w:ind w:left="360"/>
        <w:jc w:val="both"/>
        <w:rPr>
          <w:rFonts w:cstheme="minorHAnsi"/>
        </w:rPr>
      </w:pPr>
    </w:p>
    <w:p w14:paraId="4ABE125F" w14:textId="77777777" w:rsidR="00E30707" w:rsidRPr="0037795D" w:rsidRDefault="00E30707" w:rsidP="00E30707">
      <w:pPr>
        <w:pStyle w:val="ListParagraph"/>
        <w:spacing w:after="0" w:line="240" w:lineRule="auto"/>
        <w:ind w:left="360"/>
        <w:jc w:val="both"/>
        <w:rPr>
          <w:rFonts w:cstheme="minorHAnsi"/>
        </w:rPr>
      </w:pPr>
    </w:p>
    <w:p w14:paraId="0BDBACE1" w14:textId="25789EA4" w:rsidR="00F50A3B" w:rsidRPr="000678D9" w:rsidRDefault="008E23A6" w:rsidP="00F53BD4">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II. e. Debt and debt sustainability</w:t>
      </w:r>
    </w:p>
    <w:p w14:paraId="7F7E7C8B" w14:textId="77777777" w:rsidR="008E23A6" w:rsidRDefault="008E23A6" w:rsidP="00E30707">
      <w:pPr>
        <w:spacing w:after="0" w:line="240" w:lineRule="auto"/>
        <w:jc w:val="both"/>
        <w:rPr>
          <w:i/>
          <w:iCs/>
          <w:color w:val="2F5496" w:themeColor="accent1" w:themeShade="BF"/>
        </w:rPr>
      </w:pPr>
    </w:p>
    <w:p w14:paraId="07AD6E97" w14:textId="4750BD64" w:rsidR="00F50A3B" w:rsidRPr="000E2A8E" w:rsidRDefault="00F50A3B" w:rsidP="00E30707">
      <w:pPr>
        <w:spacing w:after="0" w:line="240" w:lineRule="auto"/>
        <w:jc w:val="both"/>
        <w:rPr>
          <w:b/>
          <w:bCs/>
          <w:i/>
          <w:iCs/>
          <w:sz w:val="24"/>
          <w:szCs w:val="24"/>
        </w:rPr>
      </w:pPr>
      <w:r w:rsidRPr="000E2A8E">
        <w:rPr>
          <w:b/>
          <w:bCs/>
          <w:i/>
          <w:iCs/>
          <w:sz w:val="24"/>
          <w:szCs w:val="24"/>
        </w:rPr>
        <w:t>General trends and challenges</w:t>
      </w:r>
    </w:p>
    <w:p w14:paraId="237847DC" w14:textId="77777777" w:rsidR="00F50A3B" w:rsidRPr="00BA634F" w:rsidRDefault="00F50A3B" w:rsidP="00E30707">
      <w:pPr>
        <w:pStyle w:val="ListParagraph"/>
        <w:spacing w:after="0" w:line="240" w:lineRule="auto"/>
        <w:ind w:left="0"/>
        <w:jc w:val="both"/>
        <w:rPr>
          <w:lang w:val="en-GB"/>
        </w:rPr>
      </w:pPr>
    </w:p>
    <w:p w14:paraId="586994D1" w14:textId="12792C99" w:rsidR="00F50A3B" w:rsidRDefault="00F50A3B" w:rsidP="00E30707">
      <w:pPr>
        <w:pStyle w:val="ListParagraph"/>
        <w:spacing w:after="0" w:line="240" w:lineRule="auto"/>
        <w:ind w:left="0"/>
        <w:jc w:val="both"/>
        <w:rPr>
          <w:lang w:val="en-GB"/>
        </w:rPr>
      </w:pPr>
      <w:r>
        <w:rPr>
          <w:lang w:val="en-GB"/>
        </w:rPr>
        <w:t>G</w:t>
      </w:r>
      <w:r w:rsidRPr="00F25A8C">
        <w:rPr>
          <w:lang w:val="en-GB"/>
        </w:rPr>
        <w:t xml:space="preserve">ross public debt levels have followed a U-shaped path in developing Asia and the Pacific </w:t>
      </w:r>
      <w:r>
        <w:rPr>
          <w:lang w:val="en-GB"/>
        </w:rPr>
        <w:t>since 2000, with average public-debt-to GDP ratios approaching the high levels observed in the immediate aftermath of the Asian Financial Crisis</w:t>
      </w:r>
      <w:r w:rsidR="00A54519">
        <w:rPr>
          <w:lang w:val="en-GB"/>
        </w:rPr>
        <w:t xml:space="preserve"> of 1997</w:t>
      </w:r>
      <w:r>
        <w:rPr>
          <w:lang w:val="en-GB"/>
        </w:rPr>
        <w:t xml:space="preserve"> (figure </w:t>
      </w:r>
      <w:r w:rsidR="00852791">
        <w:rPr>
          <w:lang w:val="en-GB"/>
        </w:rPr>
        <w:t>5</w:t>
      </w:r>
      <w:r>
        <w:rPr>
          <w:lang w:val="en-GB"/>
        </w:rPr>
        <w:t xml:space="preserve">). </w:t>
      </w:r>
      <w:r w:rsidRPr="00F25A8C">
        <w:rPr>
          <w:lang w:val="en-GB"/>
        </w:rPr>
        <w:t>Primary fiscal deficits have been the main source of public debt level increase during this period</w:t>
      </w:r>
      <w:r>
        <w:rPr>
          <w:lang w:val="en-GB"/>
        </w:rPr>
        <w:t xml:space="preserve">, followed by </w:t>
      </w:r>
      <w:r w:rsidRPr="00F25A8C">
        <w:rPr>
          <w:lang w:val="en-GB"/>
        </w:rPr>
        <w:t>exchange rate depreciation of local currencies</w:t>
      </w:r>
      <w:r>
        <w:rPr>
          <w:lang w:val="en-GB"/>
        </w:rPr>
        <w:t xml:space="preserve"> which had much greater impact on </w:t>
      </w:r>
      <w:r w:rsidRPr="00F25A8C">
        <w:rPr>
          <w:lang w:val="en-GB"/>
        </w:rPr>
        <w:t xml:space="preserve">small and vulnerable economies. Growing share of commercial </w:t>
      </w:r>
      <w:r w:rsidR="00701913">
        <w:rPr>
          <w:lang w:val="en-GB"/>
        </w:rPr>
        <w:t>and private lending</w:t>
      </w:r>
      <w:r w:rsidR="00342563">
        <w:rPr>
          <w:lang w:val="en-GB"/>
        </w:rPr>
        <w:t xml:space="preserve">, which on </w:t>
      </w:r>
      <w:r w:rsidR="00B523B0">
        <w:rPr>
          <w:lang w:val="en-GB"/>
        </w:rPr>
        <w:t>average</w:t>
      </w:r>
      <w:r w:rsidR="00342563">
        <w:rPr>
          <w:lang w:val="en-GB"/>
        </w:rPr>
        <w:t xml:space="preserve"> demand 2.5 times the interest </w:t>
      </w:r>
      <w:r w:rsidR="008F5F5D">
        <w:rPr>
          <w:lang w:val="en-GB"/>
        </w:rPr>
        <w:t xml:space="preserve">rate compared to </w:t>
      </w:r>
      <w:r w:rsidR="00B523B0">
        <w:rPr>
          <w:lang w:val="en-GB"/>
        </w:rPr>
        <w:t>official creditors</w:t>
      </w:r>
      <w:r w:rsidR="0043611F">
        <w:rPr>
          <w:lang w:val="en-GB"/>
        </w:rPr>
        <w:t xml:space="preserve"> and concessional finance</w:t>
      </w:r>
      <w:r w:rsidR="00684EC4">
        <w:rPr>
          <w:lang w:val="en-GB"/>
        </w:rPr>
        <w:t xml:space="preserve">, </w:t>
      </w:r>
      <w:r w:rsidRPr="00F25A8C">
        <w:rPr>
          <w:lang w:val="en-GB"/>
        </w:rPr>
        <w:t>have further compounded the challenge</w:t>
      </w:r>
      <w:r>
        <w:rPr>
          <w:lang w:val="en-GB"/>
        </w:rPr>
        <w:t xml:space="preserve"> result</w:t>
      </w:r>
      <w:r w:rsidR="00684EC4">
        <w:rPr>
          <w:lang w:val="en-GB"/>
        </w:rPr>
        <w:t>ing</w:t>
      </w:r>
      <w:r>
        <w:rPr>
          <w:lang w:val="en-GB"/>
        </w:rPr>
        <w:t xml:space="preserve"> in growing</w:t>
      </w:r>
      <w:r w:rsidRPr="00F25A8C">
        <w:rPr>
          <w:lang w:val="en-GB"/>
        </w:rPr>
        <w:t xml:space="preserve"> debt service burdens and steady decrease in maturities of external public debt. </w:t>
      </w:r>
    </w:p>
    <w:p w14:paraId="670F21CF" w14:textId="77777777" w:rsidR="000678D9" w:rsidRDefault="000678D9" w:rsidP="00E30707">
      <w:pPr>
        <w:pStyle w:val="ListParagraph"/>
        <w:spacing w:after="0" w:line="240" w:lineRule="auto"/>
        <w:ind w:left="0"/>
        <w:jc w:val="both"/>
        <w:rPr>
          <w:lang w:val="en-GB"/>
        </w:rPr>
      </w:pPr>
    </w:p>
    <w:p w14:paraId="54D1C091" w14:textId="05123A59" w:rsidR="00F50A3B" w:rsidRDefault="00F50A3B" w:rsidP="00F53BD4">
      <w:pPr>
        <w:pStyle w:val="ListParagraph"/>
        <w:spacing w:after="0" w:line="240" w:lineRule="auto"/>
        <w:ind w:left="0"/>
        <w:jc w:val="both"/>
        <w:rPr>
          <w:rFonts w:cstheme="minorHAnsi"/>
          <w:b/>
          <w:bCs/>
          <w:sz w:val="20"/>
          <w:szCs w:val="20"/>
          <w:lang w:val="en"/>
        </w:rPr>
      </w:pPr>
      <w:r w:rsidRPr="006570D3">
        <w:rPr>
          <w:rFonts w:cstheme="minorHAnsi"/>
          <w:b/>
          <w:bCs/>
          <w:sz w:val="20"/>
          <w:szCs w:val="20"/>
          <w:lang w:val="en"/>
        </w:rPr>
        <w:t xml:space="preserve">Figure </w:t>
      </w:r>
      <w:r w:rsidR="00F53BD4">
        <w:rPr>
          <w:rFonts w:cstheme="minorHAnsi"/>
          <w:b/>
          <w:bCs/>
          <w:sz w:val="20"/>
          <w:szCs w:val="20"/>
          <w:lang w:val="en"/>
        </w:rPr>
        <w:t>5</w:t>
      </w:r>
      <w:r w:rsidRPr="006570D3">
        <w:rPr>
          <w:rFonts w:cstheme="minorHAnsi"/>
          <w:b/>
          <w:bCs/>
          <w:sz w:val="20"/>
          <w:szCs w:val="20"/>
          <w:lang w:val="en"/>
        </w:rPr>
        <w:t>. Median general government gross debt, by subregion, 2000-2027</w:t>
      </w:r>
    </w:p>
    <w:p w14:paraId="28BDADFF" w14:textId="77777777" w:rsidR="00CB0C3C" w:rsidRDefault="00CB0C3C" w:rsidP="00F53BD4">
      <w:pPr>
        <w:pStyle w:val="ListParagraph"/>
        <w:spacing w:after="0" w:line="240" w:lineRule="auto"/>
        <w:ind w:left="0"/>
        <w:jc w:val="both"/>
        <w:rPr>
          <w:rFonts w:cstheme="minorHAnsi"/>
          <w:b/>
          <w:bCs/>
          <w:sz w:val="20"/>
          <w:szCs w:val="20"/>
          <w:lang w:val="en"/>
        </w:rPr>
      </w:pPr>
    </w:p>
    <w:p w14:paraId="0DD56DEB" w14:textId="77777777" w:rsidR="00F50A3B" w:rsidRPr="006570D3" w:rsidRDefault="00F50A3B" w:rsidP="00F50A3B">
      <w:pPr>
        <w:pStyle w:val="ListParagraph"/>
        <w:spacing w:line="240" w:lineRule="auto"/>
        <w:ind w:left="0"/>
        <w:jc w:val="both"/>
        <w:rPr>
          <w:rFonts w:cstheme="minorHAnsi"/>
          <w:lang w:val="en"/>
        </w:rPr>
      </w:pPr>
      <w:r w:rsidRPr="006570D3">
        <w:rPr>
          <w:rFonts w:cstheme="minorHAnsi"/>
          <w:noProof/>
        </w:rPr>
        <w:t xml:space="preserve"> </w:t>
      </w:r>
      <w:r w:rsidRPr="006570D3">
        <w:rPr>
          <w:rFonts w:cstheme="minorHAnsi"/>
          <w:noProof/>
        </w:rPr>
        <w:drawing>
          <wp:inline distT="0" distB="0" distL="0" distR="0" wp14:anchorId="38189233" wp14:editId="78246B63">
            <wp:extent cx="5296619" cy="2579299"/>
            <wp:effectExtent l="0" t="0" r="0" b="0"/>
            <wp:docPr id="778309910" name="Chart 1">
              <a:extLst xmlns:a="http://schemas.openxmlformats.org/drawingml/2006/main">
                <a:ext uri="{FF2B5EF4-FFF2-40B4-BE49-F238E27FC236}">
                  <a16:creationId xmlns:a16="http://schemas.microsoft.com/office/drawing/2014/main" id="{93BDAAD4-934B-3466-0D27-38200D36A613}"/>
                </a:ext>
                <a:ext uri="{147F2762-F138-4A5C-976F-8EAC2B608ADB}">
                  <a16:predDERef xmlns:a16="http://schemas.microsoft.com/office/drawing/2014/main" pred="{CB089F59-44C6-1DED-2049-02B9CC649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E691C8" w14:textId="6B40F739" w:rsidR="00F50A3B" w:rsidRPr="00F53BD4" w:rsidRDefault="00F50A3B" w:rsidP="00F50A3B">
      <w:pPr>
        <w:pStyle w:val="ListParagraph"/>
        <w:ind w:left="0"/>
        <w:jc w:val="both"/>
        <w:rPr>
          <w:rFonts w:cstheme="minorHAnsi"/>
          <w:sz w:val="18"/>
          <w:szCs w:val="18"/>
          <w:lang w:val="en"/>
        </w:rPr>
      </w:pPr>
      <w:r w:rsidRPr="00F53BD4">
        <w:rPr>
          <w:rFonts w:cstheme="minorHAnsi"/>
          <w:i/>
          <w:sz w:val="18"/>
          <w:szCs w:val="18"/>
          <w:lang w:val="en"/>
        </w:rPr>
        <w:t>Source</w:t>
      </w:r>
      <w:r w:rsidRPr="00F53BD4">
        <w:rPr>
          <w:rFonts w:cstheme="minorHAnsi"/>
          <w:sz w:val="18"/>
          <w:szCs w:val="18"/>
          <w:lang w:val="en"/>
        </w:rPr>
        <w:t xml:space="preserve">: IMF, World Economic Outlook database. </w:t>
      </w:r>
    </w:p>
    <w:p w14:paraId="5B739573" w14:textId="77777777" w:rsidR="00F50A3B" w:rsidRPr="006570D3" w:rsidRDefault="00F50A3B" w:rsidP="00E30707">
      <w:pPr>
        <w:pStyle w:val="ListParagraph"/>
        <w:spacing w:after="0" w:line="240" w:lineRule="auto"/>
        <w:ind w:left="0"/>
        <w:jc w:val="both"/>
        <w:rPr>
          <w:rFonts w:cstheme="minorHAnsi"/>
          <w:lang w:val="en"/>
        </w:rPr>
      </w:pPr>
    </w:p>
    <w:p w14:paraId="39FC9C8E" w14:textId="47E7DE95" w:rsidR="00F50A3B" w:rsidRPr="000E2A8E" w:rsidRDefault="00F50A3B" w:rsidP="00E30707">
      <w:pPr>
        <w:spacing w:after="0" w:line="240" w:lineRule="auto"/>
        <w:jc w:val="both"/>
        <w:rPr>
          <w:b/>
          <w:bCs/>
          <w:i/>
          <w:iCs/>
          <w:sz w:val="24"/>
          <w:szCs w:val="24"/>
        </w:rPr>
      </w:pPr>
      <w:r w:rsidRPr="000E2A8E">
        <w:rPr>
          <w:b/>
          <w:bCs/>
          <w:i/>
          <w:iCs/>
          <w:sz w:val="24"/>
          <w:szCs w:val="24"/>
        </w:rPr>
        <w:t>Three main sources of public debt</w:t>
      </w:r>
      <w:r w:rsidR="00984FE7" w:rsidRPr="000E2A8E">
        <w:rPr>
          <w:b/>
          <w:bCs/>
          <w:i/>
          <w:iCs/>
          <w:sz w:val="24"/>
          <w:szCs w:val="24"/>
        </w:rPr>
        <w:t xml:space="preserve"> distress</w:t>
      </w:r>
      <w:r w:rsidRPr="000E2A8E">
        <w:rPr>
          <w:b/>
          <w:bCs/>
          <w:i/>
          <w:iCs/>
          <w:sz w:val="24"/>
          <w:szCs w:val="24"/>
        </w:rPr>
        <w:t xml:space="preserve"> and their distinct nature</w:t>
      </w:r>
    </w:p>
    <w:p w14:paraId="2B0EBCA5" w14:textId="77777777" w:rsidR="00F50A3B" w:rsidRPr="00AE1F25" w:rsidRDefault="00F50A3B" w:rsidP="00E30707">
      <w:pPr>
        <w:pStyle w:val="ListParagraph"/>
        <w:spacing w:after="0" w:line="240" w:lineRule="auto"/>
        <w:ind w:left="0"/>
        <w:jc w:val="both"/>
      </w:pPr>
    </w:p>
    <w:p w14:paraId="6EE45981" w14:textId="77777777" w:rsidR="005D329D" w:rsidRDefault="00F52224" w:rsidP="00E30707">
      <w:pPr>
        <w:spacing w:after="0" w:line="240" w:lineRule="auto"/>
        <w:jc w:val="both"/>
        <w:rPr>
          <w:lang w:val="en-GB"/>
        </w:rPr>
      </w:pPr>
      <w:r w:rsidRPr="00F52224">
        <w:t xml:space="preserve">One, </w:t>
      </w:r>
      <w:r w:rsidR="005A6EF9">
        <w:t>e</w:t>
      </w:r>
      <w:proofErr w:type="spellStart"/>
      <w:r w:rsidR="00F50A3B" w:rsidRPr="00F52224">
        <w:rPr>
          <w:lang w:val="en-GB"/>
        </w:rPr>
        <w:t>c</w:t>
      </w:r>
      <w:r w:rsidR="005A6EF9">
        <w:rPr>
          <w:lang w:val="en-GB"/>
        </w:rPr>
        <w:t>onomic</w:t>
      </w:r>
      <w:proofErr w:type="spellEnd"/>
      <w:r w:rsidR="005A6EF9">
        <w:rPr>
          <w:lang w:val="en-GB"/>
        </w:rPr>
        <w:t xml:space="preserve"> </w:t>
      </w:r>
      <w:r w:rsidR="00F50A3B" w:rsidRPr="00F52224">
        <w:rPr>
          <w:lang w:val="en-GB"/>
        </w:rPr>
        <w:t xml:space="preserve">and fiscal mismanagement, which represents policy missteps by the government and can theoretically be avoided through greater prudence and accountability of fiscal decision-making. </w:t>
      </w:r>
    </w:p>
    <w:p w14:paraId="4ED5D23B" w14:textId="77777777" w:rsidR="005D329D" w:rsidRDefault="005D329D" w:rsidP="00E30707">
      <w:pPr>
        <w:spacing w:after="0" w:line="240" w:lineRule="auto"/>
        <w:jc w:val="both"/>
        <w:rPr>
          <w:lang w:val="en-GB"/>
        </w:rPr>
      </w:pPr>
    </w:p>
    <w:p w14:paraId="2B2E87AE" w14:textId="77777777" w:rsidR="005D329D" w:rsidRDefault="005D329D" w:rsidP="00E30707">
      <w:pPr>
        <w:spacing w:after="0" w:line="240" w:lineRule="auto"/>
        <w:jc w:val="both"/>
        <w:rPr>
          <w:lang w:val="en-GB"/>
        </w:rPr>
      </w:pPr>
      <w:r>
        <w:rPr>
          <w:lang w:val="en-GB"/>
        </w:rPr>
        <w:t>Two, t</w:t>
      </w:r>
      <w:r w:rsidR="00F50A3B" w:rsidRPr="00F52224">
        <w:rPr>
          <w:lang w:val="en-GB"/>
        </w:rPr>
        <w:t>emporary liquidity shocks, wherein tail risks of economic</w:t>
      </w:r>
      <w:r w:rsidR="00FA07A2" w:rsidRPr="00F52224">
        <w:rPr>
          <w:lang w:val="en-GB"/>
        </w:rPr>
        <w:t xml:space="preserve"> and </w:t>
      </w:r>
      <w:r w:rsidR="00F50A3B" w:rsidRPr="00F52224">
        <w:rPr>
          <w:lang w:val="en-GB"/>
        </w:rPr>
        <w:t xml:space="preserve">financial crises or natural disasters push reasonably managed economies into liquidity and temporary debt </w:t>
      </w:r>
      <w:r w:rsidR="00FA0DCE" w:rsidRPr="00F52224">
        <w:rPr>
          <w:lang w:val="en-GB"/>
        </w:rPr>
        <w:t>distress,</w:t>
      </w:r>
      <w:r w:rsidR="00F50A3B" w:rsidRPr="00F52224">
        <w:rPr>
          <w:lang w:val="en-GB"/>
        </w:rPr>
        <w:t xml:space="preserve"> </w:t>
      </w:r>
      <w:r w:rsidR="009D4117" w:rsidRPr="00F52224">
        <w:rPr>
          <w:lang w:val="en-GB"/>
        </w:rPr>
        <w:t>but</w:t>
      </w:r>
      <w:r w:rsidR="00F50A3B" w:rsidRPr="00F52224">
        <w:rPr>
          <w:lang w:val="en-GB"/>
        </w:rPr>
        <w:t xml:space="preserve"> their long-term fiscal solvency remains intact. These risks are beyond the control of debtor countries and are likely to be contained if </w:t>
      </w:r>
      <w:r w:rsidR="009D4117" w:rsidRPr="00F52224">
        <w:rPr>
          <w:lang w:val="en-GB"/>
        </w:rPr>
        <w:t xml:space="preserve">liquidity </w:t>
      </w:r>
      <w:r w:rsidR="00F50A3B" w:rsidRPr="00F52224">
        <w:rPr>
          <w:lang w:val="en-GB"/>
        </w:rPr>
        <w:t>support can be provided by the international development community.</w:t>
      </w:r>
    </w:p>
    <w:p w14:paraId="35F0864C" w14:textId="77777777" w:rsidR="005D329D" w:rsidRDefault="005D329D" w:rsidP="00E30707">
      <w:pPr>
        <w:spacing w:after="0" w:line="240" w:lineRule="auto"/>
        <w:jc w:val="both"/>
        <w:rPr>
          <w:lang w:val="en-GB"/>
        </w:rPr>
      </w:pPr>
    </w:p>
    <w:p w14:paraId="0B774CFB" w14:textId="7DFBF6DE" w:rsidR="00F50A3B" w:rsidRPr="005D329D" w:rsidRDefault="005D329D" w:rsidP="00E30707">
      <w:pPr>
        <w:spacing w:after="0" w:line="240" w:lineRule="auto"/>
        <w:jc w:val="both"/>
        <w:rPr>
          <w:lang w:val="en-GB"/>
        </w:rPr>
      </w:pPr>
      <w:r>
        <w:rPr>
          <w:lang w:val="en-GB"/>
        </w:rPr>
        <w:t>Three, s</w:t>
      </w:r>
      <w:r w:rsidR="00F50A3B" w:rsidRPr="005D329D">
        <w:rPr>
          <w:lang w:val="en-GB"/>
        </w:rPr>
        <w:t xml:space="preserve">ignificant development deficits and gaps in climate financing. For example, additional </w:t>
      </w:r>
      <w:r w:rsidR="00A44F51" w:rsidRPr="005D329D">
        <w:rPr>
          <w:lang w:val="en-GB"/>
        </w:rPr>
        <w:t>S</w:t>
      </w:r>
      <w:r w:rsidR="00A44F51">
        <w:rPr>
          <w:lang w:val="en-GB"/>
        </w:rPr>
        <w:t xml:space="preserve">ustainable Development </w:t>
      </w:r>
      <w:r w:rsidR="00A44F51" w:rsidRPr="005D329D">
        <w:rPr>
          <w:lang w:val="en-GB"/>
        </w:rPr>
        <w:t>G</w:t>
      </w:r>
      <w:r w:rsidR="00A44F51">
        <w:rPr>
          <w:lang w:val="en-GB"/>
        </w:rPr>
        <w:t>oal</w:t>
      </w:r>
      <w:r w:rsidR="00F50A3B" w:rsidRPr="005D329D">
        <w:rPr>
          <w:lang w:val="en-GB"/>
        </w:rPr>
        <w:t xml:space="preserve"> financing need amounts to 16</w:t>
      </w:r>
      <w:r w:rsidR="008C4382" w:rsidRPr="005D329D">
        <w:rPr>
          <w:lang w:val="en-GB"/>
        </w:rPr>
        <w:t xml:space="preserve"> per</w:t>
      </w:r>
      <w:r w:rsidR="00852791">
        <w:rPr>
          <w:lang w:val="en-GB"/>
        </w:rPr>
        <w:t xml:space="preserve"> </w:t>
      </w:r>
      <w:r w:rsidR="008C4382" w:rsidRPr="005D329D">
        <w:rPr>
          <w:lang w:val="en-GB"/>
        </w:rPr>
        <w:t xml:space="preserve">cent </w:t>
      </w:r>
      <w:r w:rsidR="00F50A3B" w:rsidRPr="005D329D">
        <w:rPr>
          <w:lang w:val="en-GB"/>
        </w:rPr>
        <w:t>of GDP</w:t>
      </w:r>
      <w:r w:rsidR="008C4382" w:rsidRPr="005D329D">
        <w:rPr>
          <w:lang w:val="en-GB"/>
        </w:rPr>
        <w:t>, on average,</w:t>
      </w:r>
      <w:r w:rsidR="00F50A3B" w:rsidRPr="005D329D">
        <w:rPr>
          <w:lang w:val="en-GB"/>
        </w:rPr>
        <w:t xml:space="preserve"> in Asia-Pacific </w:t>
      </w:r>
      <w:r w:rsidR="008C4382" w:rsidRPr="005D329D">
        <w:rPr>
          <w:lang w:val="en-GB"/>
        </w:rPr>
        <w:t>L</w:t>
      </w:r>
      <w:r w:rsidR="00F50A3B" w:rsidRPr="005D329D">
        <w:rPr>
          <w:lang w:val="en-GB"/>
        </w:rPr>
        <w:t xml:space="preserve">DCs, far exceeding their fiscal capacity. </w:t>
      </w:r>
      <w:r w:rsidR="00697596">
        <w:rPr>
          <w:lang w:val="en-GB"/>
        </w:rPr>
        <w:t>Moreover, m</w:t>
      </w:r>
      <w:r w:rsidR="00F50A3B" w:rsidRPr="005D329D">
        <w:rPr>
          <w:lang w:val="en-GB"/>
        </w:rPr>
        <w:t>uch of th</w:t>
      </w:r>
      <w:r w:rsidR="00CA67DE" w:rsidRPr="005D329D">
        <w:rPr>
          <w:lang w:val="en-GB"/>
        </w:rPr>
        <w:t>e</w:t>
      </w:r>
      <w:r w:rsidR="00F50A3B" w:rsidRPr="005D329D">
        <w:rPr>
          <w:lang w:val="en-GB"/>
        </w:rPr>
        <w:t xml:space="preserve"> basic spending need</w:t>
      </w:r>
      <w:r w:rsidR="00CA67DE" w:rsidRPr="005D329D">
        <w:rPr>
          <w:lang w:val="en-GB"/>
        </w:rPr>
        <w:t>s</w:t>
      </w:r>
      <w:r w:rsidR="00F50A3B" w:rsidRPr="005D329D">
        <w:rPr>
          <w:lang w:val="en-GB"/>
        </w:rPr>
        <w:t>, such as social expenses or climate adaptation expenditure, is consumption or insurance in nature, and thus does not generate adequate cash returns for debt servicing and repayment. If financed with debt rather than development transfers, such spendings will almost inevitably result in debt distress.</w:t>
      </w:r>
    </w:p>
    <w:p w14:paraId="3C393F63" w14:textId="77777777" w:rsidR="00F50A3B" w:rsidRPr="00581F0F" w:rsidRDefault="00F50A3B" w:rsidP="00E30707">
      <w:pPr>
        <w:pStyle w:val="ListParagraph"/>
        <w:spacing w:after="0" w:line="240" w:lineRule="auto"/>
        <w:ind w:left="0"/>
        <w:jc w:val="both"/>
        <w:rPr>
          <w:rFonts w:cstheme="minorHAnsi"/>
          <w:lang w:val="en-GB"/>
        </w:rPr>
      </w:pPr>
    </w:p>
    <w:p w14:paraId="7B418337" w14:textId="77777777" w:rsidR="00F50A3B" w:rsidRPr="000E2A8E" w:rsidRDefault="00F50A3B" w:rsidP="00E30707">
      <w:pPr>
        <w:spacing w:after="0" w:line="240" w:lineRule="auto"/>
        <w:jc w:val="both"/>
        <w:rPr>
          <w:b/>
          <w:bCs/>
          <w:i/>
          <w:iCs/>
          <w:sz w:val="24"/>
          <w:szCs w:val="24"/>
        </w:rPr>
      </w:pPr>
      <w:r w:rsidRPr="000E2A8E">
        <w:rPr>
          <w:b/>
          <w:bCs/>
          <w:i/>
          <w:iCs/>
          <w:sz w:val="24"/>
          <w:szCs w:val="24"/>
        </w:rPr>
        <w:t>Central role of public expenditure efficiency and productive use of public funds</w:t>
      </w:r>
    </w:p>
    <w:p w14:paraId="1B53D569" w14:textId="77777777" w:rsidR="00F50A3B" w:rsidRPr="00CB4DE7" w:rsidRDefault="00F50A3B" w:rsidP="00E30707">
      <w:pPr>
        <w:pStyle w:val="ListParagraph"/>
        <w:spacing w:after="0" w:line="240" w:lineRule="auto"/>
        <w:ind w:left="0"/>
        <w:jc w:val="both"/>
        <w:rPr>
          <w:lang w:val="en-GB"/>
        </w:rPr>
      </w:pPr>
    </w:p>
    <w:p w14:paraId="7A2EDD81" w14:textId="53A1AB27" w:rsidR="00F50A3B" w:rsidRDefault="00F50A3B" w:rsidP="00E30707">
      <w:pPr>
        <w:pStyle w:val="ListParagraph"/>
        <w:spacing w:after="0" w:line="240" w:lineRule="auto"/>
        <w:ind w:left="0"/>
        <w:jc w:val="both"/>
        <w:rPr>
          <w:lang w:val="en-GB"/>
        </w:rPr>
      </w:pPr>
      <w:r w:rsidRPr="00062AE5">
        <w:rPr>
          <w:lang w:val="en-GB"/>
        </w:rPr>
        <w:t>Efficient public spending and productive use of public funds i</w:t>
      </w:r>
      <w:r>
        <w:rPr>
          <w:lang w:val="en-GB"/>
        </w:rPr>
        <w:t>s arguably the most</w:t>
      </w:r>
      <w:r w:rsidRPr="00062AE5">
        <w:rPr>
          <w:lang w:val="en-GB"/>
        </w:rPr>
        <w:t xml:space="preserve"> important principle to ensure public debt sustainability</w:t>
      </w:r>
      <w:r>
        <w:rPr>
          <w:lang w:val="en-GB"/>
        </w:rPr>
        <w:t>. A</w:t>
      </w:r>
      <w:r w:rsidRPr="00062AE5">
        <w:rPr>
          <w:lang w:val="en-GB"/>
        </w:rPr>
        <w:t xml:space="preserve"> relentless emphasis on the productive use of </w:t>
      </w:r>
      <w:r>
        <w:rPr>
          <w:lang w:val="en-GB"/>
        </w:rPr>
        <w:t xml:space="preserve">borrowed </w:t>
      </w:r>
      <w:r w:rsidRPr="00062AE5">
        <w:rPr>
          <w:lang w:val="en-GB"/>
        </w:rPr>
        <w:t>funds</w:t>
      </w:r>
      <w:r>
        <w:rPr>
          <w:lang w:val="en-GB"/>
        </w:rPr>
        <w:t xml:space="preserve">, </w:t>
      </w:r>
      <w:r w:rsidRPr="00062AE5">
        <w:rPr>
          <w:lang w:val="en-GB"/>
        </w:rPr>
        <w:t xml:space="preserve">centralized approval of external borrowing, </w:t>
      </w:r>
      <w:r>
        <w:rPr>
          <w:lang w:val="en-GB"/>
        </w:rPr>
        <w:t xml:space="preserve">and </w:t>
      </w:r>
      <w:r w:rsidRPr="00062AE5">
        <w:rPr>
          <w:lang w:val="en-GB"/>
        </w:rPr>
        <w:t xml:space="preserve">close alignment of fund usage with national development priorities </w:t>
      </w:r>
      <w:r>
        <w:rPr>
          <w:lang w:val="en-GB"/>
        </w:rPr>
        <w:t xml:space="preserve">had helped several developing Asia-Pacific economies navigate the perils of fast public debt accumulation when they had to leverage debt financing </w:t>
      </w:r>
      <w:r w:rsidR="00891DD9">
        <w:rPr>
          <w:lang w:val="en-GB"/>
        </w:rPr>
        <w:t>to support their</w:t>
      </w:r>
      <w:r>
        <w:rPr>
          <w:lang w:val="en-GB"/>
        </w:rPr>
        <w:t xml:space="preserve"> economic take-off</w:t>
      </w:r>
      <w:r w:rsidR="00A7226E">
        <w:rPr>
          <w:lang w:val="en-GB"/>
        </w:rPr>
        <w:t>.</w:t>
      </w:r>
      <w:r w:rsidR="00891DD9">
        <w:rPr>
          <w:rStyle w:val="FootnoteReference"/>
          <w:lang w:val="en-GB"/>
        </w:rPr>
        <w:footnoteReference w:id="7"/>
      </w:r>
      <w:r>
        <w:rPr>
          <w:lang w:val="en-GB"/>
        </w:rPr>
        <w:t xml:space="preserve"> </w:t>
      </w:r>
    </w:p>
    <w:p w14:paraId="72F49F30" w14:textId="77777777" w:rsidR="00F50A3B" w:rsidRDefault="00F50A3B" w:rsidP="00E30707">
      <w:pPr>
        <w:pStyle w:val="ListParagraph"/>
        <w:spacing w:after="0" w:line="240" w:lineRule="auto"/>
        <w:ind w:left="0"/>
        <w:jc w:val="both"/>
        <w:rPr>
          <w:lang w:val="en-GB"/>
        </w:rPr>
      </w:pPr>
    </w:p>
    <w:p w14:paraId="2D8BE20F" w14:textId="1267AB48" w:rsidR="00F50A3B" w:rsidRPr="007E11AA" w:rsidRDefault="00F50A3B" w:rsidP="00E30707">
      <w:pPr>
        <w:pStyle w:val="ListParagraph"/>
        <w:spacing w:after="0" w:line="240" w:lineRule="auto"/>
        <w:ind w:left="0"/>
        <w:jc w:val="both"/>
        <w:rPr>
          <w:lang w:val="en-GB"/>
        </w:rPr>
      </w:pPr>
      <w:r>
        <w:rPr>
          <w:lang w:val="en-GB"/>
        </w:rPr>
        <w:t xml:space="preserve">Yet, ESCAP’s recent research </w:t>
      </w:r>
      <w:r w:rsidRPr="00062AE5">
        <w:rPr>
          <w:lang w:val="en-GB"/>
        </w:rPr>
        <w:t>f</w:t>
      </w:r>
      <w:r w:rsidR="006F0749">
        <w:rPr>
          <w:lang w:val="en-GB"/>
        </w:rPr>
        <w:t>inds</w:t>
      </w:r>
      <w:r w:rsidRPr="00062AE5">
        <w:rPr>
          <w:lang w:val="en-GB"/>
        </w:rPr>
        <w:t xml:space="preserve"> weak or generally negative correlation </w:t>
      </w:r>
      <w:r w:rsidR="006F0749">
        <w:rPr>
          <w:lang w:val="en-GB"/>
        </w:rPr>
        <w:t>between</w:t>
      </w:r>
      <w:r w:rsidRPr="00062AE5">
        <w:rPr>
          <w:lang w:val="en-GB"/>
        </w:rPr>
        <w:t xml:space="preserve"> public debt level </w:t>
      </w:r>
      <w:r w:rsidR="007D6474">
        <w:rPr>
          <w:lang w:val="en-GB"/>
        </w:rPr>
        <w:t>and</w:t>
      </w:r>
      <w:r w:rsidRPr="00062AE5">
        <w:rPr>
          <w:lang w:val="en-GB"/>
        </w:rPr>
        <w:t xml:space="preserve"> either gross fixed capital formation or social spending on education and health in most developing Asia-Pacific countries</w:t>
      </w:r>
      <w:r w:rsidR="007D6474" w:rsidRPr="00A7226E">
        <w:rPr>
          <w:lang w:val="en-GB"/>
        </w:rPr>
        <w:t>.</w:t>
      </w:r>
      <w:r w:rsidR="00A44F51" w:rsidRPr="00A7226E">
        <w:rPr>
          <w:rStyle w:val="FootnoteReference"/>
          <w:lang w:val="en-GB"/>
        </w:rPr>
        <w:footnoteReference w:id="8"/>
      </w:r>
      <w:r w:rsidR="007D6474">
        <w:rPr>
          <w:lang w:val="en-GB"/>
        </w:rPr>
        <w:t xml:space="preserve"> This indicates</w:t>
      </w:r>
      <w:r w:rsidRPr="00062AE5">
        <w:rPr>
          <w:lang w:val="en-GB"/>
        </w:rPr>
        <w:t xml:space="preserve"> suboptimal allocation of funds. Even for existing social and infrastructure spending, fiscal savings up to 30 per cent could potentially be achieved when developing Asia-Pacific countries are benchmarked against their best-performing peers</w:t>
      </w:r>
      <w:r w:rsidRPr="000E4F9D">
        <w:rPr>
          <w:rFonts w:cstheme="minorHAnsi"/>
        </w:rPr>
        <w:t>.</w:t>
      </w:r>
      <w:r w:rsidR="00B478DD">
        <w:rPr>
          <w:rStyle w:val="FootnoteReference"/>
          <w:rFonts w:cstheme="minorHAnsi"/>
        </w:rPr>
        <w:footnoteReference w:id="9"/>
      </w:r>
      <w:r w:rsidRPr="000E4F9D">
        <w:rPr>
          <w:rFonts w:cstheme="minorHAnsi"/>
        </w:rPr>
        <w:t xml:space="preserve"> </w:t>
      </w:r>
    </w:p>
    <w:p w14:paraId="6A6C2965" w14:textId="77777777" w:rsidR="00F50A3B" w:rsidRDefault="00F50A3B" w:rsidP="00E30707">
      <w:pPr>
        <w:pStyle w:val="ListParagraph"/>
        <w:spacing w:after="0" w:line="240" w:lineRule="auto"/>
        <w:ind w:left="0"/>
        <w:jc w:val="both"/>
        <w:rPr>
          <w:rFonts w:cstheme="minorHAnsi"/>
        </w:rPr>
      </w:pPr>
    </w:p>
    <w:p w14:paraId="527D00A0" w14:textId="77777777" w:rsidR="00F50A3B" w:rsidRPr="00F947A0" w:rsidRDefault="00F50A3B" w:rsidP="00E30707">
      <w:pPr>
        <w:spacing w:after="0" w:line="240" w:lineRule="auto"/>
        <w:jc w:val="both"/>
        <w:rPr>
          <w:b/>
          <w:bCs/>
          <w:i/>
          <w:iCs/>
        </w:rPr>
      </w:pPr>
      <w:r w:rsidRPr="000E2A8E">
        <w:rPr>
          <w:b/>
          <w:bCs/>
          <w:i/>
          <w:iCs/>
          <w:sz w:val="24"/>
          <w:szCs w:val="24"/>
        </w:rPr>
        <w:t>Sovereign debt management and monitoring as a fiscal safeguard</w:t>
      </w:r>
    </w:p>
    <w:p w14:paraId="208DDA69" w14:textId="77777777" w:rsidR="00F50A3B" w:rsidRPr="00F947A0" w:rsidRDefault="00F50A3B" w:rsidP="00E30707">
      <w:pPr>
        <w:pStyle w:val="ListParagraph"/>
        <w:spacing w:after="0" w:line="240" w:lineRule="auto"/>
        <w:ind w:left="0"/>
        <w:jc w:val="both"/>
        <w:rPr>
          <w:b/>
          <w:bCs/>
          <w:i/>
          <w:iCs/>
          <w:lang w:val="en-GB"/>
        </w:rPr>
      </w:pPr>
    </w:p>
    <w:p w14:paraId="7D00B147" w14:textId="40668884" w:rsidR="00F50A3B" w:rsidRDefault="00F50A3B" w:rsidP="00E30707">
      <w:pPr>
        <w:pStyle w:val="ListParagraph"/>
        <w:spacing w:after="0" w:line="240" w:lineRule="auto"/>
        <w:ind w:left="0"/>
        <w:jc w:val="both"/>
        <w:rPr>
          <w:rFonts w:cstheme="minorHAnsi"/>
        </w:rPr>
      </w:pPr>
      <w:r w:rsidRPr="008C407B">
        <w:rPr>
          <w:lang w:val="en-GB"/>
        </w:rPr>
        <w:t>Effective sovereign debt management and monitoring can reduce both debt distress risk and sovereign borrowing costs.</w:t>
      </w:r>
      <w:r>
        <w:rPr>
          <w:lang w:val="en-GB"/>
        </w:rPr>
        <w:t xml:space="preserve"> </w:t>
      </w:r>
      <w:r w:rsidR="00330C7B" w:rsidRPr="00330C7B">
        <w:rPr>
          <w:lang w:val="en-GB"/>
        </w:rPr>
        <w:t>Data transparency on outstanding and potential debt claims on the Government is particularly important for early detection of debt sustainability challenges and early action to contain the risks and mitigate potential damage</w:t>
      </w:r>
      <w:r w:rsidR="004910BF">
        <w:rPr>
          <w:lang w:val="en-GB"/>
        </w:rPr>
        <w:t xml:space="preserve">. </w:t>
      </w:r>
      <w:r>
        <w:rPr>
          <w:lang w:val="en-GB"/>
        </w:rPr>
        <w:t>Yet</w:t>
      </w:r>
      <w:r w:rsidR="0062077D">
        <w:rPr>
          <w:lang w:val="en-GB"/>
        </w:rPr>
        <w:t>,</w:t>
      </w:r>
      <w:r>
        <w:rPr>
          <w:lang w:val="en-GB"/>
        </w:rPr>
        <w:t xml:space="preserve"> s</w:t>
      </w:r>
      <w:r w:rsidRPr="008C407B">
        <w:rPr>
          <w:lang w:val="en-GB"/>
        </w:rPr>
        <w:t xml:space="preserve">ystematic evaluation of public debt management in many developing Asia-Pacific countries remains sparse. Debt policy rating within World Bank’s Country Policy and Institutional Assessment, as a proxy for debt management quality, </w:t>
      </w:r>
      <w:r w:rsidR="00672A43">
        <w:rPr>
          <w:lang w:val="en-GB"/>
        </w:rPr>
        <w:t>underscores</w:t>
      </w:r>
      <w:r w:rsidRPr="008C407B">
        <w:rPr>
          <w:lang w:val="en-GB"/>
        </w:rPr>
        <w:t xml:space="preserve"> a lack of improvements in </w:t>
      </w:r>
      <w:r w:rsidR="00672A43">
        <w:rPr>
          <w:lang w:val="en-GB"/>
        </w:rPr>
        <w:t xml:space="preserve">many </w:t>
      </w:r>
      <w:r w:rsidRPr="008C407B">
        <w:rPr>
          <w:lang w:val="en-GB"/>
        </w:rPr>
        <w:t xml:space="preserve">developing Asia and the Pacific </w:t>
      </w:r>
      <w:r w:rsidR="00672A43">
        <w:rPr>
          <w:lang w:val="en-GB"/>
        </w:rPr>
        <w:t xml:space="preserve">countries during </w:t>
      </w:r>
      <w:r w:rsidRPr="008C407B">
        <w:rPr>
          <w:lang w:val="en-GB"/>
        </w:rPr>
        <w:t>2014-2023</w:t>
      </w:r>
      <w:r w:rsidRPr="000E4F9D">
        <w:rPr>
          <w:rFonts w:cstheme="minorHAnsi"/>
        </w:rPr>
        <w:t xml:space="preserve">. </w:t>
      </w:r>
    </w:p>
    <w:p w14:paraId="3653676B" w14:textId="77777777" w:rsidR="00F947A0" w:rsidRDefault="00F947A0" w:rsidP="00E30707">
      <w:pPr>
        <w:pStyle w:val="ListParagraph"/>
        <w:spacing w:after="0" w:line="240" w:lineRule="auto"/>
        <w:ind w:left="0"/>
        <w:jc w:val="both"/>
        <w:rPr>
          <w:rFonts w:cstheme="minorHAnsi"/>
        </w:rPr>
      </w:pPr>
    </w:p>
    <w:p w14:paraId="2E26790F" w14:textId="7397BB9A" w:rsidR="00E11656" w:rsidRPr="00EA728B" w:rsidRDefault="00E11656" w:rsidP="00A7226E">
      <w:pPr>
        <w:pStyle w:val="Heading2"/>
        <w:spacing w:before="0" w:line="240" w:lineRule="auto"/>
        <w:rPr>
          <w:rFonts w:asciiTheme="minorHAnsi" w:hAnsiTheme="minorHAnsi" w:cstheme="minorHAnsi"/>
          <w:b/>
          <w:bCs/>
          <w:color w:val="000000" w:themeColor="text1"/>
          <w:sz w:val="24"/>
          <w:szCs w:val="24"/>
        </w:rPr>
      </w:pPr>
      <w:r w:rsidRPr="00051C9B">
        <w:rPr>
          <w:rFonts w:asciiTheme="minorHAnsi" w:hAnsiTheme="minorHAnsi" w:cstheme="minorHAnsi"/>
          <w:b/>
          <w:bCs/>
          <w:color w:val="000000" w:themeColor="text1"/>
          <w:sz w:val="24"/>
          <w:szCs w:val="24"/>
        </w:rPr>
        <w:t xml:space="preserve">Suggested </w:t>
      </w:r>
      <w:r w:rsidR="00A7226E">
        <w:rPr>
          <w:rFonts w:asciiTheme="minorHAnsi" w:hAnsiTheme="minorHAnsi" w:cstheme="minorHAnsi"/>
          <w:b/>
          <w:bCs/>
          <w:color w:val="000000" w:themeColor="text1"/>
          <w:sz w:val="24"/>
          <w:szCs w:val="24"/>
        </w:rPr>
        <w:t>p</w:t>
      </w:r>
      <w:r w:rsidRPr="00051C9B">
        <w:rPr>
          <w:rFonts w:asciiTheme="minorHAnsi" w:hAnsiTheme="minorHAnsi" w:cstheme="minorHAnsi"/>
          <w:b/>
          <w:bCs/>
          <w:color w:val="000000" w:themeColor="text1"/>
          <w:sz w:val="24"/>
          <w:szCs w:val="24"/>
        </w:rPr>
        <w:t xml:space="preserve">olicy </w:t>
      </w:r>
      <w:r w:rsidR="00A7226E">
        <w:rPr>
          <w:rFonts w:asciiTheme="minorHAnsi" w:hAnsiTheme="minorHAnsi" w:cstheme="minorHAnsi"/>
          <w:b/>
          <w:bCs/>
          <w:color w:val="000000" w:themeColor="text1"/>
          <w:sz w:val="24"/>
          <w:szCs w:val="24"/>
        </w:rPr>
        <w:t>p</w:t>
      </w:r>
      <w:r w:rsidRPr="00051C9B">
        <w:rPr>
          <w:rFonts w:asciiTheme="minorHAnsi" w:hAnsiTheme="minorHAnsi" w:cstheme="minorHAnsi"/>
          <w:b/>
          <w:bCs/>
          <w:color w:val="000000" w:themeColor="text1"/>
          <w:sz w:val="24"/>
          <w:szCs w:val="24"/>
        </w:rPr>
        <w:t>riorities</w:t>
      </w:r>
      <w:r w:rsidRPr="00EA728B">
        <w:rPr>
          <w:rFonts w:asciiTheme="minorHAnsi" w:hAnsiTheme="minorHAnsi" w:cstheme="minorHAnsi"/>
          <w:b/>
          <w:bCs/>
          <w:color w:val="000000" w:themeColor="text1"/>
          <w:sz w:val="24"/>
          <w:szCs w:val="24"/>
        </w:rPr>
        <w:t xml:space="preserve"> </w:t>
      </w:r>
    </w:p>
    <w:p w14:paraId="20D1F5F5" w14:textId="77777777" w:rsidR="00F50A3B" w:rsidRDefault="00F50A3B" w:rsidP="00E30707">
      <w:pPr>
        <w:pStyle w:val="ListParagraph"/>
        <w:spacing w:after="0" w:line="240" w:lineRule="auto"/>
        <w:ind w:left="0"/>
        <w:jc w:val="both"/>
        <w:rPr>
          <w:rFonts w:ascii="Roboto" w:hAnsi="Roboto"/>
          <w:u w:val="single"/>
        </w:rPr>
      </w:pPr>
    </w:p>
    <w:p w14:paraId="056BEA0F" w14:textId="1B51B560" w:rsidR="00E837FF" w:rsidRDefault="00F50A3B" w:rsidP="00E30707">
      <w:pPr>
        <w:pStyle w:val="ListParagraph"/>
        <w:numPr>
          <w:ilvl w:val="0"/>
          <w:numId w:val="8"/>
        </w:numPr>
        <w:spacing w:after="0" w:line="240" w:lineRule="auto"/>
        <w:jc w:val="both"/>
        <w:rPr>
          <w:rFonts w:cstheme="minorHAnsi"/>
        </w:rPr>
      </w:pPr>
      <w:proofErr w:type="gramStart"/>
      <w:r w:rsidRPr="009E4CCB">
        <w:rPr>
          <w:rFonts w:cstheme="minorHAnsi"/>
          <w:b/>
          <w:bCs/>
        </w:rPr>
        <w:t>Pursue</w:t>
      </w:r>
      <w:proofErr w:type="gramEnd"/>
      <w:r w:rsidRPr="009E4CCB">
        <w:rPr>
          <w:rFonts w:cstheme="minorHAnsi"/>
          <w:b/>
          <w:bCs/>
        </w:rPr>
        <w:t xml:space="preserve"> a differentiated treatment of public debt sustainability concerns according to the underlying causes.</w:t>
      </w:r>
      <w:r w:rsidRPr="00E837FF">
        <w:rPr>
          <w:rFonts w:cstheme="minorHAnsi"/>
          <w:b/>
          <w:bCs/>
        </w:rPr>
        <w:t xml:space="preserve"> </w:t>
      </w:r>
      <w:r w:rsidRPr="00E837FF">
        <w:rPr>
          <w:rFonts w:cstheme="minorHAnsi"/>
        </w:rPr>
        <w:t>Recognizing the three different underlying sources of public debt distress and the necessity of differentiated treatment for each is the first step towards a systematic and coherent response to the contemporary public debt and development financing challenge.</w:t>
      </w:r>
      <w:r w:rsidR="00D75374">
        <w:rPr>
          <w:rFonts w:cstheme="minorHAnsi"/>
        </w:rPr>
        <w:t xml:space="preserve"> </w:t>
      </w:r>
      <w:r w:rsidRPr="00E837FF">
        <w:rPr>
          <w:rFonts w:cstheme="minorHAnsi"/>
        </w:rPr>
        <w:t>Timely and adequate liquidity support for developing countries affected by unanticipated economic and natural disaster shocks beyond their control is necessary to help them bounce back economically and financially and maintain long-term fiscal solvency. Meanwhile, for public debt distresses caused by sustained economic or fiscal mismanagement, debtor countries rather the creditors should be held primarily accountable for the consequences and needed measures.</w:t>
      </w:r>
    </w:p>
    <w:p w14:paraId="2A6BCC40" w14:textId="77777777" w:rsidR="00E837FF" w:rsidRPr="00E837FF" w:rsidRDefault="00E837FF" w:rsidP="00E30707">
      <w:pPr>
        <w:pStyle w:val="ListParagraph"/>
        <w:spacing w:after="0" w:line="240" w:lineRule="auto"/>
        <w:ind w:left="360"/>
        <w:jc w:val="both"/>
        <w:rPr>
          <w:rFonts w:cstheme="minorHAnsi"/>
        </w:rPr>
      </w:pPr>
    </w:p>
    <w:p w14:paraId="216025A6" w14:textId="77777777" w:rsidR="00E837FF" w:rsidRDefault="00F50A3B" w:rsidP="00E30707">
      <w:pPr>
        <w:pStyle w:val="ListParagraph"/>
        <w:numPr>
          <w:ilvl w:val="0"/>
          <w:numId w:val="8"/>
        </w:numPr>
        <w:spacing w:after="0" w:line="240" w:lineRule="auto"/>
        <w:jc w:val="both"/>
        <w:rPr>
          <w:rFonts w:cstheme="minorHAnsi"/>
        </w:rPr>
      </w:pPr>
      <w:r w:rsidRPr="00E837FF">
        <w:rPr>
          <w:rFonts w:cstheme="minorHAnsi"/>
          <w:b/>
          <w:bCs/>
        </w:rPr>
        <w:lastRenderedPageBreak/>
        <w:t xml:space="preserve">Significantly scale up </w:t>
      </w:r>
      <w:r w:rsidR="007F3F72" w:rsidRPr="00E837FF">
        <w:rPr>
          <w:rFonts w:cstheme="minorHAnsi"/>
          <w:b/>
          <w:bCs/>
        </w:rPr>
        <w:t>ex-ante</w:t>
      </w:r>
      <w:r w:rsidRPr="00E837FF">
        <w:rPr>
          <w:rFonts w:cstheme="minorHAnsi"/>
          <w:b/>
          <w:bCs/>
        </w:rPr>
        <w:t xml:space="preserve"> development transfers as an alternative to ex-post debt relief. </w:t>
      </w:r>
      <w:r w:rsidRPr="00E837FF">
        <w:rPr>
          <w:rFonts w:cstheme="minorHAnsi"/>
        </w:rPr>
        <w:t xml:space="preserve">Scaling up ex-ante development transfers voluntarily would be a much more desirable option for the international development community than being forced to provide complicated and painful ex-post debt reliefs. Generous ex-ante development transfers to reduce future necessity for debt relief is not without precedent, as in the example of the </w:t>
      </w:r>
      <w:proofErr w:type="spellStart"/>
      <w:r w:rsidRPr="00E837FF">
        <w:rPr>
          <w:rFonts w:cstheme="minorHAnsi"/>
        </w:rPr>
        <w:t>NextGenerationEU</w:t>
      </w:r>
      <w:proofErr w:type="spellEnd"/>
      <w:r w:rsidRPr="00E837FF">
        <w:rPr>
          <w:rFonts w:cstheme="minorHAnsi"/>
        </w:rPr>
        <w:t xml:space="preserve"> </w:t>
      </w:r>
      <w:proofErr w:type="spellStart"/>
      <w:r w:rsidRPr="00E837FF">
        <w:rPr>
          <w:rFonts w:cstheme="minorHAnsi"/>
        </w:rPr>
        <w:t>programme</w:t>
      </w:r>
      <w:proofErr w:type="spellEnd"/>
      <w:r w:rsidRPr="00E837FF">
        <w:rPr>
          <w:rFonts w:cstheme="minorHAnsi"/>
        </w:rPr>
        <w:t xml:space="preserve"> in 2021</w:t>
      </w:r>
      <w:r w:rsidR="00E837FF">
        <w:rPr>
          <w:rFonts w:cstheme="minorHAnsi"/>
        </w:rPr>
        <w:t>.</w:t>
      </w:r>
    </w:p>
    <w:p w14:paraId="009106F5" w14:textId="77777777" w:rsidR="00E837FF" w:rsidRPr="00E837FF" w:rsidRDefault="00E837FF" w:rsidP="00A76718">
      <w:pPr>
        <w:pStyle w:val="ListParagraph"/>
        <w:spacing w:after="0" w:line="240" w:lineRule="auto"/>
        <w:rPr>
          <w:rFonts w:cstheme="minorHAnsi"/>
          <w:b/>
          <w:bCs/>
        </w:rPr>
      </w:pPr>
    </w:p>
    <w:p w14:paraId="74001221" w14:textId="50C14425" w:rsidR="00F50A3B" w:rsidRPr="00E837FF" w:rsidRDefault="00F50A3B" w:rsidP="00E30707">
      <w:pPr>
        <w:pStyle w:val="ListParagraph"/>
        <w:numPr>
          <w:ilvl w:val="0"/>
          <w:numId w:val="8"/>
        </w:numPr>
        <w:spacing w:after="0" w:line="240" w:lineRule="auto"/>
        <w:jc w:val="both"/>
        <w:rPr>
          <w:rFonts w:cstheme="minorHAnsi"/>
        </w:rPr>
      </w:pPr>
      <w:r w:rsidRPr="00E837FF">
        <w:rPr>
          <w:rFonts w:cstheme="minorHAnsi"/>
          <w:b/>
          <w:bCs/>
        </w:rPr>
        <w:t xml:space="preserve">Prioritize productive use of borrowed funds and effective public debt management. </w:t>
      </w:r>
      <w:r w:rsidRPr="00E837FF">
        <w:rPr>
          <w:rFonts w:cstheme="minorHAnsi"/>
        </w:rPr>
        <w:t xml:space="preserve">To effectively leverage debt as a tool for expanding development finance without compromising on fiscal sustainability, it is paramount that developing Asia-Pacific countries put the borrowed funds to productive use, rather than wasting them on ill-conceived or </w:t>
      </w:r>
      <w:proofErr w:type="gramStart"/>
      <w:r w:rsidRPr="00E837FF">
        <w:rPr>
          <w:rFonts w:cstheme="minorHAnsi"/>
        </w:rPr>
        <w:t>poorly-implemented</w:t>
      </w:r>
      <w:proofErr w:type="gramEnd"/>
      <w:r w:rsidRPr="00E837FF">
        <w:rPr>
          <w:rFonts w:cstheme="minorHAnsi"/>
        </w:rPr>
        <w:t xml:space="preserve"> projects or financing wasteful consumption. Effective public debt management through clearly articulated policy objectives and legal frameworks, procedural and institutional transparency and accountability, and strengthened debt statistics can further expand the safety margin for debt financing for development. </w:t>
      </w:r>
    </w:p>
    <w:p w14:paraId="7B30D1E1" w14:textId="77777777" w:rsidR="00F812ED" w:rsidRPr="00A76718" w:rsidRDefault="00F812ED" w:rsidP="00A76718"/>
    <w:p w14:paraId="7CDD4B6A" w14:textId="571F421B" w:rsidR="004D5618" w:rsidRPr="000678D9" w:rsidRDefault="004D5618" w:rsidP="00A76718">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 xml:space="preserve">II. f. Addressing </w:t>
      </w:r>
      <w:r w:rsidR="0012214B" w:rsidRPr="000678D9">
        <w:rPr>
          <w:rFonts w:asciiTheme="minorHAnsi" w:hAnsiTheme="minorHAnsi" w:cstheme="minorHAnsi"/>
          <w:b/>
          <w:bCs/>
          <w:color w:val="4472C4" w:themeColor="accent1"/>
        </w:rPr>
        <w:t>systemic issues</w:t>
      </w:r>
    </w:p>
    <w:p w14:paraId="48A9F99A" w14:textId="77777777" w:rsidR="004F2FBB" w:rsidRDefault="004F2FBB" w:rsidP="00A76718">
      <w:pPr>
        <w:spacing w:after="0" w:line="240" w:lineRule="auto"/>
        <w:jc w:val="both"/>
        <w:rPr>
          <w:rFonts w:ascii="Calibri" w:hAnsi="Calibri" w:cs="Calibri"/>
          <w:b/>
          <w:bCs/>
          <w:i/>
          <w:iCs/>
          <w:sz w:val="24"/>
          <w:szCs w:val="24"/>
        </w:rPr>
      </w:pPr>
    </w:p>
    <w:p w14:paraId="2E0AD2BF" w14:textId="4D5ECB4C" w:rsidR="00D4153B" w:rsidRPr="001B5E4B" w:rsidRDefault="009E1DA6" w:rsidP="00A76718">
      <w:pPr>
        <w:spacing w:after="0" w:line="240" w:lineRule="auto"/>
        <w:jc w:val="both"/>
        <w:rPr>
          <w:rFonts w:ascii="Calibri" w:hAnsi="Calibri" w:cs="Calibri"/>
          <w:sz w:val="24"/>
          <w:szCs w:val="24"/>
        </w:rPr>
      </w:pPr>
      <w:r w:rsidRPr="001B5E4B">
        <w:rPr>
          <w:rFonts w:ascii="Calibri" w:hAnsi="Calibri" w:cs="Calibri"/>
          <w:b/>
          <w:bCs/>
          <w:i/>
          <w:iCs/>
          <w:sz w:val="24"/>
          <w:szCs w:val="24"/>
        </w:rPr>
        <w:t>R</w:t>
      </w:r>
      <w:r w:rsidR="00D4153B" w:rsidRPr="001B5E4B">
        <w:rPr>
          <w:rFonts w:ascii="Calibri" w:hAnsi="Calibri" w:cs="Calibri"/>
          <w:b/>
          <w:bCs/>
          <w:i/>
          <w:iCs/>
          <w:sz w:val="24"/>
          <w:szCs w:val="24"/>
        </w:rPr>
        <w:t xml:space="preserve">epresentation of developing countries </w:t>
      </w:r>
      <w:r w:rsidR="0095498A" w:rsidRPr="001B5E4B">
        <w:rPr>
          <w:rFonts w:ascii="Calibri" w:hAnsi="Calibri" w:cs="Calibri"/>
          <w:b/>
          <w:bCs/>
          <w:i/>
          <w:iCs/>
          <w:sz w:val="24"/>
          <w:szCs w:val="24"/>
        </w:rPr>
        <w:t xml:space="preserve">and </w:t>
      </w:r>
      <w:r w:rsidR="003F10C2" w:rsidRPr="001B5E4B">
        <w:rPr>
          <w:rFonts w:ascii="Calibri" w:hAnsi="Calibri" w:cs="Calibri"/>
          <w:b/>
          <w:bCs/>
          <w:i/>
          <w:iCs/>
          <w:sz w:val="24"/>
          <w:szCs w:val="24"/>
        </w:rPr>
        <w:t>voting power</w:t>
      </w:r>
      <w:r w:rsidR="00F315FE" w:rsidRPr="001B5E4B">
        <w:rPr>
          <w:rFonts w:ascii="Calibri" w:hAnsi="Calibri" w:cs="Calibri"/>
          <w:b/>
          <w:bCs/>
          <w:i/>
          <w:iCs/>
          <w:sz w:val="24"/>
          <w:szCs w:val="24"/>
        </w:rPr>
        <w:t xml:space="preserve"> </w:t>
      </w:r>
      <w:r w:rsidR="00D4153B" w:rsidRPr="001B5E4B">
        <w:rPr>
          <w:rFonts w:ascii="Calibri" w:hAnsi="Calibri" w:cs="Calibri"/>
          <w:b/>
          <w:bCs/>
          <w:i/>
          <w:iCs/>
          <w:sz w:val="24"/>
          <w:szCs w:val="24"/>
        </w:rPr>
        <w:t>in international financial institutions</w:t>
      </w:r>
      <w:r w:rsidR="008353DE" w:rsidRPr="001B5E4B">
        <w:rPr>
          <w:rFonts w:ascii="Calibri" w:hAnsi="Calibri" w:cs="Calibri"/>
          <w:b/>
          <w:bCs/>
          <w:i/>
          <w:iCs/>
          <w:sz w:val="24"/>
          <w:szCs w:val="24"/>
        </w:rPr>
        <w:t xml:space="preserve">. </w:t>
      </w:r>
    </w:p>
    <w:p w14:paraId="48753145" w14:textId="77777777" w:rsidR="00911160" w:rsidRDefault="00911160" w:rsidP="00E30707">
      <w:pPr>
        <w:spacing w:after="0" w:line="240" w:lineRule="auto"/>
        <w:jc w:val="both"/>
        <w:rPr>
          <w:rFonts w:ascii="Calibri" w:hAnsi="Calibri" w:cs="Calibri"/>
        </w:rPr>
      </w:pPr>
    </w:p>
    <w:p w14:paraId="101CDFA3" w14:textId="167CAFE9" w:rsidR="0012214B" w:rsidRDefault="009E1DA6" w:rsidP="00E30707">
      <w:pPr>
        <w:spacing w:after="0" w:line="240" w:lineRule="auto"/>
        <w:jc w:val="both"/>
        <w:rPr>
          <w:rFonts w:ascii="Calibri" w:hAnsi="Calibri" w:cs="Calibri"/>
        </w:rPr>
      </w:pPr>
      <w:r w:rsidRPr="009647B6">
        <w:rPr>
          <w:rFonts w:ascii="Calibri" w:hAnsi="Calibri" w:cs="Calibri"/>
        </w:rPr>
        <w:t xml:space="preserve">The issue of </w:t>
      </w:r>
      <w:r w:rsidR="0012214B" w:rsidRPr="009647B6">
        <w:rPr>
          <w:rFonts w:ascii="Calibri" w:hAnsi="Calibri" w:cs="Calibri"/>
        </w:rPr>
        <w:t xml:space="preserve">representation </w:t>
      </w:r>
      <w:r w:rsidR="00E36A11">
        <w:rPr>
          <w:rFonts w:ascii="Calibri" w:hAnsi="Calibri" w:cs="Calibri"/>
        </w:rPr>
        <w:t xml:space="preserve">and voting power </w:t>
      </w:r>
      <w:r w:rsidR="0012214B" w:rsidRPr="009647B6">
        <w:rPr>
          <w:rFonts w:ascii="Calibri" w:hAnsi="Calibri" w:cs="Calibri"/>
        </w:rPr>
        <w:t xml:space="preserve">of developing countries in </w:t>
      </w:r>
      <w:r w:rsidR="0008004F">
        <w:rPr>
          <w:rFonts w:ascii="Calibri" w:hAnsi="Calibri" w:cs="Calibri"/>
        </w:rPr>
        <w:t xml:space="preserve">major </w:t>
      </w:r>
      <w:r w:rsidR="0012214B" w:rsidRPr="009647B6">
        <w:rPr>
          <w:rFonts w:ascii="Calibri" w:hAnsi="Calibri" w:cs="Calibri"/>
        </w:rPr>
        <w:t>international financial institutions</w:t>
      </w:r>
      <w:r w:rsidR="00E36A11">
        <w:rPr>
          <w:rFonts w:ascii="Calibri" w:hAnsi="Calibri" w:cs="Calibri"/>
        </w:rPr>
        <w:t xml:space="preserve"> such as the </w:t>
      </w:r>
      <w:r w:rsidR="006F2CBF">
        <w:rPr>
          <w:rFonts w:ascii="Calibri" w:hAnsi="Calibri" w:cs="Calibri"/>
        </w:rPr>
        <w:t>IMF</w:t>
      </w:r>
      <w:r w:rsidR="0012214B" w:rsidRPr="009647B6">
        <w:rPr>
          <w:rFonts w:ascii="Calibri" w:hAnsi="Calibri" w:cs="Calibri"/>
        </w:rPr>
        <w:t xml:space="preserve"> </w:t>
      </w:r>
      <w:r w:rsidR="005110F5" w:rsidRPr="009647B6">
        <w:rPr>
          <w:rFonts w:ascii="Calibri" w:hAnsi="Calibri" w:cs="Calibri"/>
        </w:rPr>
        <w:t>has</w:t>
      </w:r>
      <w:r w:rsidR="009647B6">
        <w:rPr>
          <w:rFonts w:ascii="Calibri" w:hAnsi="Calibri" w:cs="Calibri"/>
        </w:rPr>
        <w:t xml:space="preserve"> </w:t>
      </w:r>
      <w:r w:rsidR="0012214B" w:rsidRPr="009647B6">
        <w:rPr>
          <w:rFonts w:ascii="Calibri" w:hAnsi="Calibri" w:cs="Calibri"/>
        </w:rPr>
        <w:t xml:space="preserve">been under </w:t>
      </w:r>
      <w:r w:rsidR="00567BFD">
        <w:rPr>
          <w:rFonts w:ascii="Calibri" w:hAnsi="Calibri" w:cs="Calibri"/>
        </w:rPr>
        <w:t>discussion</w:t>
      </w:r>
      <w:r w:rsidR="009647B6">
        <w:rPr>
          <w:rFonts w:ascii="Calibri" w:hAnsi="Calibri" w:cs="Calibri"/>
        </w:rPr>
        <w:t xml:space="preserve"> for </w:t>
      </w:r>
      <w:r w:rsidR="0012214B" w:rsidRPr="009647B6">
        <w:rPr>
          <w:rFonts w:ascii="Calibri" w:hAnsi="Calibri" w:cs="Calibri"/>
        </w:rPr>
        <w:t>decades</w:t>
      </w:r>
      <w:r w:rsidR="009647B6">
        <w:rPr>
          <w:rFonts w:ascii="Calibri" w:hAnsi="Calibri" w:cs="Calibri"/>
        </w:rPr>
        <w:t>.</w:t>
      </w:r>
      <w:r w:rsidR="0012214B">
        <w:rPr>
          <w:rFonts w:ascii="Calibri" w:hAnsi="Calibri" w:cs="Calibri"/>
        </w:rPr>
        <w:t xml:space="preserve"> Recently, in August 2023, </w:t>
      </w:r>
      <w:r w:rsidR="007A4635">
        <w:rPr>
          <w:rFonts w:ascii="Calibri" w:hAnsi="Calibri" w:cs="Calibri"/>
        </w:rPr>
        <w:t xml:space="preserve">the XV BRICS Johannesburg II Summit resolution </w:t>
      </w:r>
      <w:r w:rsidR="001A3E84">
        <w:rPr>
          <w:rFonts w:ascii="Calibri" w:hAnsi="Calibri" w:cs="Calibri"/>
        </w:rPr>
        <w:t xml:space="preserve">10 called for </w:t>
      </w:r>
      <w:r w:rsidR="0012214B" w:rsidRPr="0025439F">
        <w:rPr>
          <w:rFonts w:ascii="Calibri" w:hAnsi="Calibri" w:cs="Calibri"/>
        </w:rPr>
        <w:t>changes in IMF quotas to ensure higher representation of developing economies.</w:t>
      </w:r>
      <w:r w:rsidR="0003479B">
        <w:rPr>
          <w:rStyle w:val="FootnoteReference"/>
          <w:rFonts w:ascii="Calibri" w:hAnsi="Calibri" w:cs="Calibri"/>
        </w:rPr>
        <w:footnoteReference w:id="10"/>
      </w:r>
      <w:r w:rsidR="0012214B" w:rsidRPr="0025439F">
        <w:rPr>
          <w:rFonts w:ascii="Calibri" w:hAnsi="Calibri" w:cs="Calibri"/>
        </w:rPr>
        <w:t xml:space="preserve"> In April 2024, the Intergovernmental Group of Twenty Four (G24)</w:t>
      </w:r>
      <w:r w:rsidR="00B45D6E" w:rsidRPr="0025439F">
        <w:rPr>
          <w:rFonts w:ascii="Calibri" w:hAnsi="Calibri" w:cs="Calibri"/>
        </w:rPr>
        <w:t xml:space="preserve"> </w:t>
      </w:r>
      <w:r w:rsidR="0012214B" w:rsidRPr="0025439F">
        <w:rPr>
          <w:rFonts w:ascii="Calibri" w:hAnsi="Calibri" w:cs="Calibri"/>
        </w:rPr>
        <w:t>noted the need to increase representation of emerging markets and developing economies, including from the Asia-Pacific region, in the IMF governance structure.</w:t>
      </w:r>
      <w:r w:rsidR="009F25C7">
        <w:rPr>
          <w:rStyle w:val="FootnoteReference"/>
          <w:rFonts w:ascii="Calibri" w:hAnsi="Calibri" w:cs="Calibri"/>
        </w:rPr>
        <w:footnoteReference w:id="11"/>
      </w:r>
      <w:r w:rsidR="00A86CA7">
        <w:rPr>
          <w:rFonts w:ascii="Calibri" w:hAnsi="Calibri" w:cs="Calibri"/>
        </w:rPr>
        <w:t xml:space="preserve"> More recently, in September 2024, the recently adopted </w:t>
      </w:r>
      <w:r w:rsidR="00A86CA7" w:rsidRPr="00A86CA7">
        <w:rPr>
          <w:rFonts w:ascii="Calibri" w:hAnsi="Calibri" w:cs="Calibri"/>
          <w:i/>
          <w:iCs/>
        </w:rPr>
        <w:t>Pact of the Future</w:t>
      </w:r>
      <w:r w:rsidR="00560EEC">
        <w:rPr>
          <w:rFonts w:ascii="Calibri" w:hAnsi="Calibri" w:cs="Calibri"/>
        </w:rPr>
        <w:t xml:space="preserve"> </w:t>
      </w:r>
      <w:r w:rsidR="003949B0" w:rsidRPr="00560EEC">
        <w:rPr>
          <w:rFonts w:ascii="Calibri" w:hAnsi="Calibri" w:cs="Calibri"/>
        </w:rPr>
        <w:t>underscored</w:t>
      </w:r>
      <w:r w:rsidR="00560EEC" w:rsidRPr="00560EEC">
        <w:rPr>
          <w:rFonts w:ascii="Calibri" w:hAnsi="Calibri" w:cs="Calibri"/>
        </w:rPr>
        <w:t xml:space="preserve"> </w:t>
      </w:r>
      <w:r w:rsidR="003949B0">
        <w:rPr>
          <w:rFonts w:ascii="Calibri" w:hAnsi="Calibri" w:cs="Calibri"/>
        </w:rPr>
        <w:t>“</w:t>
      </w:r>
      <w:r w:rsidR="00560EEC" w:rsidRPr="002B4A6B">
        <w:rPr>
          <w:rFonts w:ascii="Calibri" w:hAnsi="Calibri" w:cs="Calibri"/>
          <w:i/>
          <w:iCs/>
        </w:rPr>
        <w:t>the need to enhance the representation and voice of developing</w:t>
      </w:r>
      <w:r w:rsidR="003949B0" w:rsidRPr="002B4A6B">
        <w:rPr>
          <w:rFonts w:ascii="Calibri" w:hAnsi="Calibri" w:cs="Calibri"/>
          <w:i/>
          <w:iCs/>
        </w:rPr>
        <w:t xml:space="preserve"> </w:t>
      </w:r>
      <w:r w:rsidR="00560EEC" w:rsidRPr="002B4A6B">
        <w:rPr>
          <w:rFonts w:ascii="Calibri" w:hAnsi="Calibri" w:cs="Calibri"/>
          <w:i/>
          <w:iCs/>
        </w:rPr>
        <w:t>countries in global economic decision-making, norm-setting and global</w:t>
      </w:r>
      <w:r w:rsidR="003949B0" w:rsidRPr="002B4A6B">
        <w:rPr>
          <w:rFonts w:ascii="Calibri" w:hAnsi="Calibri" w:cs="Calibri"/>
          <w:i/>
          <w:iCs/>
        </w:rPr>
        <w:t xml:space="preserve"> </w:t>
      </w:r>
      <w:r w:rsidR="00560EEC" w:rsidRPr="002B4A6B">
        <w:rPr>
          <w:rFonts w:ascii="Calibri" w:hAnsi="Calibri" w:cs="Calibri"/>
          <w:i/>
          <w:iCs/>
        </w:rPr>
        <w:t>economic governance at international economic and financial institutions</w:t>
      </w:r>
      <w:r w:rsidR="00711138" w:rsidRPr="002B4A6B">
        <w:rPr>
          <w:rFonts w:ascii="Calibri" w:hAnsi="Calibri" w:cs="Calibri"/>
          <w:i/>
          <w:iCs/>
        </w:rPr>
        <w:t xml:space="preserve"> </w:t>
      </w:r>
      <w:r w:rsidR="00711138">
        <w:rPr>
          <w:rFonts w:ascii="Calibri" w:hAnsi="Calibri" w:cs="Calibri"/>
        </w:rPr>
        <w:t>(Action 48)</w:t>
      </w:r>
      <w:r w:rsidR="00AF63E0">
        <w:rPr>
          <w:rFonts w:ascii="Calibri" w:hAnsi="Calibri" w:cs="Calibri"/>
        </w:rPr>
        <w:t>”</w:t>
      </w:r>
      <w:r w:rsidR="00B145D7">
        <w:rPr>
          <w:rFonts w:ascii="Calibri" w:hAnsi="Calibri" w:cs="Calibri"/>
        </w:rPr>
        <w:t>.</w:t>
      </w:r>
      <w:r w:rsidR="00711138">
        <w:rPr>
          <w:rStyle w:val="FootnoteReference"/>
          <w:rFonts w:ascii="Calibri" w:hAnsi="Calibri" w:cs="Calibri"/>
        </w:rPr>
        <w:footnoteReference w:id="12"/>
      </w:r>
    </w:p>
    <w:p w14:paraId="3F3CC1E9" w14:textId="77777777" w:rsidR="00E30707" w:rsidRPr="00560EEC" w:rsidRDefault="00E30707" w:rsidP="00A76718">
      <w:pPr>
        <w:spacing w:after="0" w:line="240" w:lineRule="auto"/>
        <w:jc w:val="both"/>
        <w:rPr>
          <w:rFonts w:ascii="Calibri" w:hAnsi="Calibri" w:cs="Calibri"/>
        </w:rPr>
      </w:pPr>
    </w:p>
    <w:p w14:paraId="3EBC1EE5" w14:textId="60DE8A05" w:rsidR="0012214B" w:rsidRDefault="0012214B" w:rsidP="00A76718">
      <w:pPr>
        <w:spacing w:after="0" w:line="240" w:lineRule="auto"/>
        <w:jc w:val="both"/>
        <w:rPr>
          <w:rFonts w:ascii="Calibri" w:hAnsi="Calibri" w:cs="Calibri"/>
        </w:rPr>
      </w:pPr>
      <w:r w:rsidRPr="0025439F">
        <w:rPr>
          <w:rFonts w:ascii="Calibri" w:hAnsi="Calibri" w:cs="Calibri"/>
        </w:rPr>
        <w:t>Significant decisions at the IMF require an 85 per cent approval rate of all voting rights</w:t>
      </w:r>
      <w:r>
        <w:rPr>
          <w:rFonts w:ascii="Calibri" w:hAnsi="Calibri" w:cs="Calibri"/>
        </w:rPr>
        <w:t xml:space="preserve">, </w:t>
      </w:r>
      <w:r w:rsidRPr="0025439F">
        <w:rPr>
          <w:rFonts w:ascii="Calibri" w:hAnsi="Calibri" w:cs="Calibri"/>
        </w:rPr>
        <w:t>ensur</w:t>
      </w:r>
      <w:r>
        <w:rPr>
          <w:rFonts w:ascii="Calibri" w:hAnsi="Calibri" w:cs="Calibri"/>
        </w:rPr>
        <w:t>ing</w:t>
      </w:r>
      <w:r w:rsidRPr="0025439F">
        <w:rPr>
          <w:rFonts w:ascii="Calibri" w:hAnsi="Calibri" w:cs="Calibri"/>
        </w:rPr>
        <w:t xml:space="preserve"> that decisions represent </w:t>
      </w:r>
      <w:proofErr w:type="gramStart"/>
      <w:r w:rsidRPr="0025439F">
        <w:rPr>
          <w:rFonts w:ascii="Calibri" w:hAnsi="Calibri" w:cs="Calibri"/>
        </w:rPr>
        <w:t>the vast majority of</w:t>
      </w:r>
      <w:proofErr w:type="gramEnd"/>
      <w:r w:rsidRPr="0025439F">
        <w:rPr>
          <w:rFonts w:ascii="Calibri" w:hAnsi="Calibri" w:cs="Calibri"/>
        </w:rPr>
        <w:t xml:space="preserve"> members and facilitate their implementation. However, with 16.5 per cent of the votes</w:t>
      </w:r>
      <w:r w:rsidR="008E3E69">
        <w:rPr>
          <w:rFonts w:ascii="Calibri" w:hAnsi="Calibri" w:cs="Calibri"/>
        </w:rPr>
        <w:t>,</w:t>
      </w:r>
      <w:r w:rsidRPr="0025439F">
        <w:rPr>
          <w:rFonts w:ascii="Calibri" w:hAnsi="Calibri" w:cs="Calibri"/>
        </w:rPr>
        <w:t xml:space="preserve"> the United States of America </w:t>
      </w:r>
      <w:r w:rsidR="008E3E69">
        <w:rPr>
          <w:rFonts w:ascii="Calibri" w:hAnsi="Calibri" w:cs="Calibri"/>
        </w:rPr>
        <w:t xml:space="preserve">has </w:t>
      </w:r>
      <w:r w:rsidRPr="0025439F">
        <w:rPr>
          <w:rFonts w:ascii="Calibri" w:hAnsi="Calibri" w:cs="Calibri"/>
        </w:rPr>
        <w:t>effective veto power at the IMF</w:t>
      </w:r>
      <w:r>
        <w:rPr>
          <w:rFonts w:ascii="Calibri" w:hAnsi="Calibri" w:cs="Calibri"/>
        </w:rPr>
        <w:t xml:space="preserve"> </w:t>
      </w:r>
      <w:r w:rsidR="00F733A8">
        <w:rPr>
          <w:rFonts w:ascii="Calibri" w:hAnsi="Calibri" w:cs="Calibri"/>
        </w:rPr>
        <w:t xml:space="preserve">(figure </w:t>
      </w:r>
      <w:r w:rsidR="00E31CAC">
        <w:rPr>
          <w:rFonts w:ascii="Calibri" w:hAnsi="Calibri" w:cs="Calibri"/>
        </w:rPr>
        <w:t>6</w:t>
      </w:r>
      <w:r w:rsidR="00F733A8">
        <w:rPr>
          <w:rFonts w:ascii="Calibri" w:hAnsi="Calibri" w:cs="Calibri"/>
        </w:rPr>
        <w:t>)</w:t>
      </w:r>
      <w:r w:rsidRPr="00046AA2">
        <w:rPr>
          <w:rFonts w:ascii="Calibri" w:hAnsi="Calibri" w:cs="Calibri"/>
        </w:rPr>
        <w:t xml:space="preserve">. </w:t>
      </w:r>
      <w:r>
        <w:rPr>
          <w:rFonts w:ascii="Calibri" w:hAnsi="Calibri" w:cs="Calibri"/>
        </w:rPr>
        <w:t>S</w:t>
      </w:r>
      <w:r w:rsidRPr="00046AA2">
        <w:rPr>
          <w:rFonts w:ascii="Calibri" w:hAnsi="Calibri" w:cs="Calibri"/>
        </w:rPr>
        <w:t xml:space="preserve">imilar </w:t>
      </w:r>
      <w:r w:rsidRPr="0025439F">
        <w:rPr>
          <w:rFonts w:ascii="Calibri" w:hAnsi="Calibri" w:cs="Calibri"/>
        </w:rPr>
        <w:t>imbalances persist within the Asian Infrastructure Investment Bank (AIIB)</w:t>
      </w:r>
      <w:r>
        <w:rPr>
          <w:rFonts w:ascii="Calibri" w:hAnsi="Calibri" w:cs="Calibri"/>
        </w:rPr>
        <w:t xml:space="preserve"> where</w:t>
      </w:r>
      <w:r w:rsidRPr="0025439F">
        <w:rPr>
          <w:rFonts w:ascii="Calibri" w:hAnsi="Calibri" w:cs="Calibri"/>
        </w:rPr>
        <w:t xml:space="preserve"> China, the largest shareholder with 27 per cent of the votes</w:t>
      </w:r>
      <w:r>
        <w:rPr>
          <w:rFonts w:ascii="Calibri" w:hAnsi="Calibri" w:cs="Calibri"/>
        </w:rPr>
        <w:t>, also holds an</w:t>
      </w:r>
      <w:r w:rsidRPr="0025439F">
        <w:rPr>
          <w:rFonts w:ascii="Calibri" w:hAnsi="Calibri" w:cs="Calibri"/>
        </w:rPr>
        <w:t xml:space="preserve"> effective veto</w:t>
      </w:r>
      <w:r>
        <w:rPr>
          <w:rFonts w:ascii="Calibri" w:hAnsi="Calibri" w:cs="Calibri"/>
        </w:rPr>
        <w:t xml:space="preserve"> power.</w:t>
      </w:r>
      <w:r w:rsidR="00E02CAD">
        <w:rPr>
          <w:rStyle w:val="FootnoteReference"/>
          <w:rFonts w:ascii="Calibri" w:hAnsi="Calibri" w:cs="Calibri"/>
        </w:rPr>
        <w:footnoteReference w:id="13"/>
      </w:r>
      <w:r>
        <w:rPr>
          <w:rFonts w:ascii="Calibri" w:hAnsi="Calibri" w:cs="Calibri"/>
        </w:rPr>
        <w:t xml:space="preserve"> </w:t>
      </w:r>
      <w:r w:rsidRPr="0025439F">
        <w:rPr>
          <w:rFonts w:ascii="Calibri" w:hAnsi="Calibri" w:cs="Calibri"/>
        </w:rPr>
        <w:t>The voting power distribution at the Asian Development Bank (ADB) is less concentrated than at the IMF or AIIB</w:t>
      </w:r>
      <w:r>
        <w:rPr>
          <w:rFonts w:ascii="Calibri" w:hAnsi="Calibri" w:cs="Calibri"/>
        </w:rPr>
        <w:t xml:space="preserve"> -</w:t>
      </w:r>
      <w:r w:rsidRPr="0025439F">
        <w:rPr>
          <w:rFonts w:ascii="Calibri" w:hAnsi="Calibri" w:cs="Calibri"/>
        </w:rPr>
        <w:t xml:space="preserve"> there is no ADB member that holds an effective veto power of 25 per cent of the votes</w:t>
      </w:r>
      <w:r>
        <w:rPr>
          <w:rFonts w:ascii="Calibri" w:hAnsi="Calibri" w:cs="Calibri"/>
        </w:rPr>
        <w:t>.</w:t>
      </w:r>
      <w:r w:rsidR="005A48AF">
        <w:rPr>
          <w:rStyle w:val="FootnoteReference"/>
          <w:rFonts w:ascii="Calibri" w:hAnsi="Calibri" w:cs="Calibri"/>
        </w:rPr>
        <w:footnoteReference w:id="14"/>
      </w:r>
    </w:p>
    <w:p w14:paraId="0E695C61" w14:textId="77777777" w:rsidR="00E31CAC" w:rsidRDefault="00E31CAC" w:rsidP="00A76718">
      <w:pPr>
        <w:spacing w:after="0" w:line="240" w:lineRule="auto"/>
        <w:rPr>
          <w:rFonts w:cstheme="minorHAnsi"/>
          <w:b/>
          <w:bCs/>
          <w:sz w:val="20"/>
          <w:szCs w:val="20"/>
          <w:lang w:val="en"/>
        </w:rPr>
      </w:pPr>
      <w:r>
        <w:rPr>
          <w:rFonts w:cstheme="minorHAnsi"/>
          <w:b/>
          <w:bCs/>
          <w:sz w:val="20"/>
          <w:szCs w:val="20"/>
          <w:lang w:val="en"/>
        </w:rPr>
        <w:br w:type="page"/>
      </w:r>
    </w:p>
    <w:p w14:paraId="142D0AF6" w14:textId="0E860F3E" w:rsidR="00F733A8" w:rsidRDefault="00F733A8" w:rsidP="00E30707">
      <w:pPr>
        <w:pStyle w:val="ListParagraph"/>
        <w:spacing w:after="0" w:line="240" w:lineRule="auto"/>
        <w:ind w:left="0"/>
        <w:jc w:val="both"/>
        <w:rPr>
          <w:rFonts w:cstheme="minorHAnsi"/>
          <w:b/>
          <w:bCs/>
          <w:sz w:val="20"/>
          <w:szCs w:val="20"/>
          <w:lang w:val="en"/>
        </w:rPr>
      </w:pPr>
      <w:r w:rsidRPr="00F733A8">
        <w:rPr>
          <w:rFonts w:cstheme="minorHAnsi"/>
          <w:b/>
          <w:bCs/>
          <w:sz w:val="20"/>
          <w:szCs w:val="20"/>
          <w:lang w:val="en"/>
        </w:rPr>
        <w:lastRenderedPageBreak/>
        <w:t>Figure</w:t>
      </w:r>
      <w:r w:rsidR="00E31CAC">
        <w:rPr>
          <w:rFonts w:cstheme="minorHAnsi"/>
          <w:b/>
          <w:bCs/>
          <w:sz w:val="20"/>
          <w:szCs w:val="20"/>
          <w:lang w:val="en"/>
        </w:rPr>
        <w:t xml:space="preserve"> 6.</w:t>
      </w:r>
      <w:r w:rsidRPr="00F733A8">
        <w:rPr>
          <w:rFonts w:cstheme="minorHAnsi"/>
          <w:b/>
          <w:bCs/>
          <w:sz w:val="20"/>
          <w:szCs w:val="20"/>
          <w:lang w:val="en"/>
        </w:rPr>
        <w:t xml:space="preserve"> Voting power at the IMF Executive </w:t>
      </w:r>
      <w:proofErr w:type="gramStart"/>
      <w:r w:rsidRPr="00F733A8">
        <w:rPr>
          <w:rFonts w:cstheme="minorHAnsi"/>
          <w:b/>
          <w:bCs/>
          <w:sz w:val="20"/>
          <w:szCs w:val="20"/>
          <w:lang w:val="en"/>
        </w:rPr>
        <w:t>Board,</w:t>
      </w:r>
      <w:r w:rsidR="00CA1351">
        <w:rPr>
          <w:rFonts w:cstheme="minorHAnsi"/>
          <w:b/>
          <w:bCs/>
          <w:sz w:val="20"/>
          <w:szCs w:val="20"/>
          <w:lang w:val="en"/>
        </w:rPr>
        <w:t>*</w:t>
      </w:r>
      <w:proofErr w:type="gramEnd"/>
      <w:r w:rsidRPr="00F733A8">
        <w:rPr>
          <w:rFonts w:cstheme="minorHAnsi"/>
          <w:b/>
          <w:bCs/>
          <w:sz w:val="20"/>
          <w:szCs w:val="20"/>
          <w:lang w:val="en"/>
        </w:rPr>
        <w:t xml:space="preserve"> June 2024</w:t>
      </w:r>
    </w:p>
    <w:p w14:paraId="71D1D48D" w14:textId="77777777" w:rsidR="001513C2" w:rsidRPr="00F733A8" w:rsidRDefault="001513C2" w:rsidP="00911160">
      <w:pPr>
        <w:pStyle w:val="ListParagraph"/>
        <w:spacing w:after="0" w:line="240" w:lineRule="auto"/>
        <w:ind w:left="0"/>
        <w:jc w:val="both"/>
        <w:rPr>
          <w:rFonts w:cstheme="minorHAnsi"/>
          <w:b/>
          <w:bCs/>
          <w:sz w:val="20"/>
          <w:szCs w:val="20"/>
          <w:lang w:val="en"/>
        </w:rPr>
      </w:pPr>
    </w:p>
    <w:p w14:paraId="6198DA03" w14:textId="18A3EE43" w:rsidR="00FC6F9A" w:rsidRDefault="00FC6F9A" w:rsidP="00911160">
      <w:pPr>
        <w:spacing w:after="0" w:line="240" w:lineRule="auto"/>
        <w:jc w:val="both"/>
        <w:rPr>
          <w:rFonts w:ascii="Calibri" w:hAnsi="Calibri" w:cs="Calibri"/>
        </w:rPr>
      </w:pPr>
      <w:r w:rsidRPr="00407306">
        <w:rPr>
          <w:rFonts w:ascii="Roboto" w:hAnsi="Roboto" w:cs="Calibri"/>
          <w:noProof/>
        </w:rPr>
        <w:drawing>
          <wp:inline distT="0" distB="0" distL="0" distR="0" wp14:anchorId="63F8414D" wp14:editId="333BA257">
            <wp:extent cx="4286250" cy="2181225"/>
            <wp:effectExtent l="0" t="0" r="0" b="0"/>
            <wp:docPr id="243711555" name="图表 27">
              <a:extLst xmlns:a="http://schemas.openxmlformats.org/drawingml/2006/main">
                <a:ext uri="{FF2B5EF4-FFF2-40B4-BE49-F238E27FC236}">
                  <a16:creationId xmlns:a16="http://schemas.microsoft.com/office/drawing/2014/main" id="{1FC1DE39-7109-5FBB-0410-0679547CD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49DFCC" w14:textId="78C4BD91" w:rsidR="0078041E" w:rsidRPr="00AC70D9" w:rsidRDefault="00087806" w:rsidP="00911160">
      <w:pPr>
        <w:pStyle w:val="ListParagraph"/>
        <w:spacing w:after="0" w:line="240" w:lineRule="auto"/>
        <w:ind w:left="0"/>
        <w:jc w:val="both"/>
        <w:rPr>
          <w:rFonts w:ascii="Calibri" w:hAnsi="Calibri" w:cs="Calibri"/>
          <w:color w:val="0563C1" w:themeColor="hyperlink"/>
          <w:sz w:val="18"/>
          <w:szCs w:val="18"/>
          <w:highlight w:val="yellow"/>
          <w:u w:val="single"/>
        </w:rPr>
      </w:pPr>
      <w:r w:rsidRPr="00AC70D9">
        <w:rPr>
          <w:rFonts w:cstheme="minorHAnsi"/>
          <w:i/>
          <w:sz w:val="18"/>
          <w:szCs w:val="18"/>
          <w:lang w:val="en"/>
        </w:rPr>
        <w:t>Source</w:t>
      </w:r>
      <w:r w:rsidRPr="00AC70D9">
        <w:rPr>
          <w:rFonts w:cstheme="minorHAnsi"/>
          <w:sz w:val="18"/>
          <w:szCs w:val="18"/>
          <w:lang w:val="en"/>
        </w:rPr>
        <w:t xml:space="preserve">: </w:t>
      </w:r>
      <w:r w:rsidR="0078041E" w:rsidRPr="00AC70D9">
        <w:rPr>
          <w:rFonts w:ascii="Calibri" w:hAnsi="Calibri" w:cs="Calibri"/>
          <w:sz w:val="18"/>
          <w:szCs w:val="18"/>
        </w:rPr>
        <w:t>I</w:t>
      </w:r>
      <w:r w:rsidR="00E31CAC">
        <w:rPr>
          <w:rFonts w:ascii="Calibri" w:hAnsi="Calibri" w:cs="Calibri"/>
          <w:sz w:val="18"/>
          <w:szCs w:val="18"/>
        </w:rPr>
        <w:t>MF</w:t>
      </w:r>
      <w:r w:rsidR="0078041E" w:rsidRPr="00AC70D9">
        <w:rPr>
          <w:rFonts w:ascii="Calibri" w:hAnsi="Calibri" w:cs="Calibri"/>
          <w:sz w:val="18"/>
          <w:szCs w:val="18"/>
        </w:rPr>
        <w:t>, “IMF members' quotas and voting power, and IMF Board of Governors”, 10 October 2024. Available at www.imf.org/en/About/executive-board/members-quotas.</w:t>
      </w:r>
    </w:p>
    <w:p w14:paraId="621B5F70" w14:textId="5625151C" w:rsidR="0078041E" w:rsidRPr="00AC70D9" w:rsidRDefault="0078041E" w:rsidP="00911160">
      <w:pPr>
        <w:pStyle w:val="ListParagraph"/>
        <w:spacing w:after="0" w:line="240" w:lineRule="auto"/>
        <w:ind w:left="0"/>
        <w:jc w:val="both"/>
        <w:rPr>
          <w:rFonts w:ascii="Calibri" w:hAnsi="Calibri" w:cs="Calibri"/>
          <w:sz w:val="18"/>
          <w:szCs w:val="18"/>
          <w:lang w:val="en-GB"/>
        </w:rPr>
      </w:pPr>
      <w:r w:rsidRPr="00AC70D9">
        <w:rPr>
          <w:rFonts w:ascii="Calibri" w:hAnsi="Calibri" w:cs="Calibri"/>
          <w:i/>
          <w:iCs/>
          <w:sz w:val="18"/>
          <w:szCs w:val="18"/>
          <w:lang w:val="en-GB"/>
        </w:rPr>
        <w:t>Note</w:t>
      </w:r>
      <w:r w:rsidR="003D1582" w:rsidRPr="00AC70D9">
        <w:rPr>
          <w:rFonts w:ascii="Calibri" w:hAnsi="Calibri" w:cs="Calibri"/>
          <w:i/>
          <w:iCs/>
          <w:sz w:val="18"/>
          <w:szCs w:val="18"/>
          <w:lang w:val="en-GB"/>
        </w:rPr>
        <w:t>s</w:t>
      </w:r>
      <w:r w:rsidRPr="00AC70D9">
        <w:rPr>
          <w:rFonts w:ascii="Calibri" w:hAnsi="Calibri" w:cs="Calibri"/>
          <w:i/>
          <w:iCs/>
          <w:sz w:val="18"/>
          <w:szCs w:val="18"/>
          <w:lang w:val="en-GB"/>
        </w:rPr>
        <w:t>:</w:t>
      </w:r>
      <w:r w:rsidRPr="00AC70D9">
        <w:rPr>
          <w:rFonts w:ascii="Calibri" w:hAnsi="Calibri" w:cs="Calibri"/>
          <w:sz w:val="18"/>
          <w:szCs w:val="18"/>
          <w:lang w:val="en-GB"/>
        </w:rPr>
        <w:t xml:space="preserve"> * </w:t>
      </w:r>
      <w:r w:rsidRPr="00AC70D9">
        <w:rPr>
          <w:rFonts w:ascii="Calibri" w:hAnsi="Calibri" w:cs="Calibri"/>
          <w:sz w:val="18"/>
          <w:szCs w:val="18"/>
        </w:rPr>
        <w:t>The Executive Board (the Board) is responsible for conducting the day-to-day business of the IMF (IMF, “IMF Board of Governors approves quota increase under 16th General Review Quotas”, 18 December 2023.)</w:t>
      </w:r>
    </w:p>
    <w:p w14:paraId="4F292CB8" w14:textId="77777777" w:rsidR="0078041E" w:rsidRPr="00AC70D9" w:rsidRDefault="0078041E" w:rsidP="00911160">
      <w:pPr>
        <w:pStyle w:val="ListParagraph"/>
        <w:spacing w:after="0" w:line="240" w:lineRule="auto"/>
        <w:ind w:left="0" w:firstLine="540"/>
        <w:jc w:val="both"/>
        <w:rPr>
          <w:rStyle w:val="Hyperlink"/>
          <w:rFonts w:ascii="Calibri" w:hAnsi="Calibri" w:cs="Calibri"/>
          <w:sz w:val="18"/>
          <w:szCs w:val="18"/>
        </w:rPr>
      </w:pPr>
      <w:r w:rsidRPr="00AC70D9">
        <w:rPr>
          <w:sz w:val="18"/>
          <w:szCs w:val="18"/>
          <w:lang w:val="en-GB"/>
        </w:rPr>
        <w:t>** Effective veto power – the IMF Executive Board agrees on decisions with 85 per cent majority, therefore it is enough to have 15 per cent of the votes to block decisions.</w:t>
      </w:r>
    </w:p>
    <w:p w14:paraId="3B34CEEC" w14:textId="77777777" w:rsidR="00EF7E66" w:rsidRDefault="00EF7E66" w:rsidP="00911160">
      <w:pPr>
        <w:pStyle w:val="ListParagraph"/>
        <w:spacing w:after="0" w:line="240" w:lineRule="auto"/>
        <w:ind w:left="0"/>
        <w:jc w:val="both"/>
        <w:rPr>
          <w:rStyle w:val="Hyperlink"/>
          <w:rFonts w:ascii="Calibri" w:hAnsi="Calibri" w:cs="Calibri"/>
        </w:rPr>
      </w:pPr>
    </w:p>
    <w:p w14:paraId="185863E4" w14:textId="6D5A45CE" w:rsidR="00E551D6" w:rsidRPr="00A17424" w:rsidRDefault="00E93D40" w:rsidP="00911160">
      <w:pPr>
        <w:pStyle w:val="ListParagraph"/>
        <w:spacing w:after="0" w:line="240" w:lineRule="auto"/>
        <w:ind w:left="0"/>
        <w:jc w:val="both"/>
        <w:rPr>
          <w:rFonts w:ascii="Calibri" w:hAnsi="Calibri" w:cs="Calibri"/>
          <w:b/>
          <w:bCs/>
          <w:i/>
          <w:iCs/>
          <w:sz w:val="24"/>
          <w:szCs w:val="24"/>
        </w:rPr>
      </w:pPr>
      <w:r w:rsidRPr="00A17424">
        <w:rPr>
          <w:rFonts w:ascii="Calibri" w:hAnsi="Calibri" w:cs="Calibri"/>
          <w:b/>
          <w:bCs/>
          <w:i/>
          <w:iCs/>
          <w:sz w:val="24"/>
          <w:szCs w:val="24"/>
        </w:rPr>
        <w:t>B</w:t>
      </w:r>
      <w:r w:rsidR="0012214B" w:rsidRPr="00A17424">
        <w:rPr>
          <w:rFonts w:ascii="Calibri" w:hAnsi="Calibri" w:cs="Calibri"/>
          <w:b/>
          <w:bCs/>
          <w:i/>
          <w:iCs/>
          <w:sz w:val="24"/>
          <w:szCs w:val="24"/>
        </w:rPr>
        <w:t xml:space="preserve">esides quota allocation, other factors also play a role in </w:t>
      </w:r>
      <w:r w:rsidR="00E551D6" w:rsidRPr="00A17424">
        <w:rPr>
          <w:rFonts w:ascii="Calibri" w:hAnsi="Calibri" w:cs="Calibri"/>
          <w:b/>
          <w:bCs/>
          <w:i/>
          <w:iCs/>
          <w:sz w:val="24"/>
          <w:szCs w:val="24"/>
        </w:rPr>
        <w:t xml:space="preserve">availability of </w:t>
      </w:r>
      <w:r w:rsidR="0012214B" w:rsidRPr="00A17424">
        <w:rPr>
          <w:rFonts w:ascii="Calibri" w:hAnsi="Calibri" w:cs="Calibri"/>
          <w:b/>
          <w:bCs/>
          <w:i/>
          <w:iCs/>
          <w:sz w:val="24"/>
          <w:szCs w:val="24"/>
        </w:rPr>
        <w:t>financing</w:t>
      </w:r>
    </w:p>
    <w:p w14:paraId="4E5B5A35" w14:textId="77777777" w:rsidR="001513C2" w:rsidRDefault="001513C2" w:rsidP="00E30707">
      <w:pPr>
        <w:spacing w:after="0" w:line="240" w:lineRule="auto"/>
        <w:jc w:val="both"/>
        <w:rPr>
          <w:rFonts w:ascii="Calibri" w:hAnsi="Calibri" w:cs="Calibri"/>
        </w:rPr>
      </w:pPr>
    </w:p>
    <w:p w14:paraId="025AC6D9" w14:textId="14EF297A" w:rsidR="0012214B" w:rsidRDefault="0012214B" w:rsidP="00E30707">
      <w:pPr>
        <w:spacing w:after="0" w:line="240" w:lineRule="auto"/>
        <w:jc w:val="both"/>
        <w:rPr>
          <w:rFonts w:ascii="Calibri" w:hAnsi="Calibri" w:cs="Calibri"/>
        </w:rPr>
      </w:pPr>
      <w:r w:rsidRPr="0025439F">
        <w:rPr>
          <w:rFonts w:ascii="Calibri" w:hAnsi="Calibri" w:cs="Calibri"/>
        </w:rPr>
        <w:t xml:space="preserve">As of the end of May 2024, around 60 per cent of the total credit outstanding </w:t>
      </w:r>
      <w:r>
        <w:rPr>
          <w:rFonts w:ascii="Calibri" w:hAnsi="Calibri" w:cs="Calibri"/>
        </w:rPr>
        <w:t xml:space="preserve">at the IMF </w:t>
      </w:r>
      <w:r w:rsidRPr="0025439F">
        <w:rPr>
          <w:rFonts w:ascii="Calibri" w:hAnsi="Calibri" w:cs="Calibri"/>
        </w:rPr>
        <w:t>ha</w:t>
      </w:r>
      <w:r>
        <w:rPr>
          <w:rFonts w:ascii="Calibri" w:hAnsi="Calibri" w:cs="Calibri"/>
        </w:rPr>
        <w:t>s</w:t>
      </w:r>
      <w:r w:rsidRPr="0025439F">
        <w:rPr>
          <w:rFonts w:ascii="Calibri" w:hAnsi="Calibri" w:cs="Calibri"/>
        </w:rPr>
        <w:t xml:space="preserve"> been given to only five borrowers with merely around 2.1 per cent of the total voting power (Argentina, Egypt, Ukraine, Pakistan, and Ecuador), highlighting a skewed distribution against the majority of developing and least-developed countries, including from the Asia and the Pacific.</w:t>
      </w:r>
      <w:r w:rsidR="006E2A81">
        <w:rPr>
          <w:rStyle w:val="FootnoteReference"/>
          <w:rFonts w:ascii="Calibri" w:hAnsi="Calibri" w:cs="Calibri"/>
        </w:rPr>
        <w:footnoteReference w:id="15"/>
      </w:r>
      <w:r w:rsidRPr="0025439F">
        <w:rPr>
          <w:rFonts w:ascii="Calibri" w:hAnsi="Calibri" w:cs="Calibri"/>
        </w:rPr>
        <w:t xml:space="preserve"> Therefore, concerns about the distribution of votes remain overshadowed by the proportional access to financing by other developing and least-developed countries within already existing rules.</w:t>
      </w:r>
    </w:p>
    <w:p w14:paraId="03FE9198" w14:textId="77777777" w:rsidR="00E30707" w:rsidRDefault="00E30707" w:rsidP="00AC70D9">
      <w:pPr>
        <w:spacing w:after="0" w:line="240" w:lineRule="auto"/>
        <w:jc w:val="both"/>
        <w:rPr>
          <w:rFonts w:ascii="Calibri" w:hAnsi="Calibri" w:cs="Calibri"/>
        </w:rPr>
      </w:pPr>
    </w:p>
    <w:p w14:paraId="0D2D9183" w14:textId="4AF69D16" w:rsidR="006339A5" w:rsidRDefault="006339A5" w:rsidP="00AC70D9">
      <w:pPr>
        <w:pStyle w:val="Heading2"/>
        <w:spacing w:before="0" w:line="240" w:lineRule="auto"/>
        <w:rPr>
          <w:rFonts w:asciiTheme="minorHAnsi" w:hAnsiTheme="minorHAnsi" w:cstheme="minorHAnsi"/>
          <w:b/>
          <w:bCs/>
          <w:color w:val="000000" w:themeColor="text1"/>
        </w:rPr>
      </w:pPr>
      <w:r w:rsidRPr="00823335">
        <w:rPr>
          <w:rFonts w:asciiTheme="minorHAnsi" w:hAnsiTheme="minorHAnsi" w:cstheme="minorHAnsi"/>
          <w:b/>
          <w:bCs/>
          <w:color w:val="000000" w:themeColor="text1"/>
        </w:rPr>
        <w:t xml:space="preserve">Suggested </w:t>
      </w:r>
      <w:r w:rsidR="00AC70D9">
        <w:rPr>
          <w:rFonts w:asciiTheme="minorHAnsi" w:hAnsiTheme="minorHAnsi" w:cstheme="minorHAnsi"/>
          <w:b/>
          <w:bCs/>
          <w:color w:val="000000" w:themeColor="text1"/>
        </w:rPr>
        <w:t>p</w:t>
      </w:r>
      <w:r w:rsidRPr="00823335">
        <w:rPr>
          <w:rFonts w:asciiTheme="minorHAnsi" w:hAnsiTheme="minorHAnsi" w:cstheme="minorHAnsi"/>
          <w:b/>
          <w:bCs/>
          <w:color w:val="000000" w:themeColor="text1"/>
        </w:rPr>
        <w:t xml:space="preserve">olicy </w:t>
      </w:r>
      <w:r w:rsidR="00AC70D9">
        <w:rPr>
          <w:rFonts w:asciiTheme="minorHAnsi" w:hAnsiTheme="minorHAnsi" w:cstheme="minorHAnsi"/>
          <w:b/>
          <w:bCs/>
          <w:color w:val="000000" w:themeColor="text1"/>
        </w:rPr>
        <w:t>p</w:t>
      </w:r>
      <w:r w:rsidRPr="00823335">
        <w:rPr>
          <w:rFonts w:asciiTheme="minorHAnsi" w:hAnsiTheme="minorHAnsi" w:cstheme="minorHAnsi"/>
          <w:b/>
          <w:bCs/>
          <w:color w:val="000000" w:themeColor="text1"/>
        </w:rPr>
        <w:t>riority</w:t>
      </w:r>
    </w:p>
    <w:p w14:paraId="38F8E996" w14:textId="77777777" w:rsidR="00823335" w:rsidRPr="00823335" w:rsidRDefault="00823335" w:rsidP="00AC70D9">
      <w:pPr>
        <w:spacing w:after="0" w:line="240" w:lineRule="auto"/>
      </w:pPr>
    </w:p>
    <w:p w14:paraId="41473139" w14:textId="50E56C58" w:rsidR="00F315FE" w:rsidRPr="00E837FF" w:rsidRDefault="006339A5" w:rsidP="00AC70D9">
      <w:pPr>
        <w:pStyle w:val="ListParagraph"/>
        <w:numPr>
          <w:ilvl w:val="0"/>
          <w:numId w:val="8"/>
        </w:numPr>
        <w:tabs>
          <w:tab w:val="left" w:pos="360"/>
          <w:tab w:val="left" w:pos="450"/>
        </w:tabs>
        <w:spacing w:after="0" w:line="240" w:lineRule="auto"/>
        <w:jc w:val="both"/>
        <w:rPr>
          <w:rFonts w:ascii="Calibri" w:hAnsi="Calibri" w:cs="Calibri"/>
          <w:b/>
          <w:bCs/>
        </w:rPr>
      </w:pPr>
      <w:r w:rsidRPr="00E837FF">
        <w:rPr>
          <w:b/>
          <w:bCs/>
          <w:lang w:val="en-GB"/>
        </w:rPr>
        <w:t>Ensure fair representation of Asia-Pacific in global financial policymaking</w:t>
      </w:r>
      <w:r w:rsidR="001D172B" w:rsidRPr="00E837FF">
        <w:rPr>
          <w:lang w:val="en-GB"/>
        </w:rPr>
        <w:t>.</w:t>
      </w:r>
      <w:r w:rsidRPr="00E837FF">
        <w:rPr>
          <w:lang w:val="en-GB"/>
        </w:rPr>
        <w:t xml:space="preserve"> </w:t>
      </w:r>
      <w:r w:rsidR="00BB0F59" w:rsidRPr="00E837FF">
        <w:rPr>
          <w:lang w:val="en-GB"/>
        </w:rPr>
        <w:t>W</w:t>
      </w:r>
      <w:r w:rsidR="00F315FE" w:rsidRPr="00E837FF">
        <w:rPr>
          <w:lang w:val="en-GB"/>
        </w:rPr>
        <w:t xml:space="preserve">ith </w:t>
      </w:r>
      <w:r w:rsidR="006417D8" w:rsidRPr="00E837FF">
        <w:rPr>
          <w:lang w:val="en-GB"/>
        </w:rPr>
        <w:t xml:space="preserve">better representation of Asia </w:t>
      </w:r>
      <w:r w:rsidR="00F315FE" w:rsidRPr="00E837FF">
        <w:rPr>
          <w:lang w:val="en-GB"/>
        </w:rPr>
        <w:t>and the Pacific, the region would benefit from proportionally greater influence on policy decisions. Consequently, policies that affect the global economy could align better towards regional needs and priorities. The move would also partly translate into improved access to resources for development financing as, for example, the IMF quotas are linked to the availability of loans for the IMF members</w:t>
      </w:r>
      <w:r w:rsidR="00F315FE">
        <w:t>.</w:t>
      </w:r>
      <w:r w:rsidR="00AE5660">
        <w:rPr>
          <w:rStyle w:val="FootnoteReference"/>
        </w:rPr>
        <w:footnoteReference w:id="16"/>
      </w:r>
    </w:p>
    <w:p w14:paraId="7B1CA4DC" w14:textId="77777777" w:rsidR="004D5618" w:rsidRDefault="004D5618" w:rsidP="00E30707">
      <w:pPr>
        <w:spacing w:after="0" w:line="240" w:lineRule="auto"/>
      </w:pPr>
    </w:p>
    <w:p w14:paraId="552A55FD" w14:textId="77777777" w:rsidR="00E30707" w:rsidRDefault="00E30707" w:rsidP="00AC70D9">
      <w:pPr>
        <w:spacing w:after="0" w:line="240" w:lineRule="auto"/>
      </w:pPr>
    </w:p>
    <w:p w14:paraId="469D3215" w14:textId="45837E90" w:rsidR="00AB33B5" w:rsidRPr="000678D9" w:rsidRDefault="002839F1" w:rsidP="00AC70D9">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II</w:t>
      </w:r>
      <w:r w:rsidR="00500DEC" w:rsidRPr="000678D9">
        <w:rPr>
          <w:rFonts w:asciiTheme="minorHAnsi" w:hAnsiTheme="minorHAnsi" w:cstheme="minorHAnsi"/>
          <w:b/>
          <w:bCs/>
          <w:color w:val="4472C4" w:themeColor="accent1"/>
        </w:rPr>
        <w:t>I</w:t>
      </w:r>
      <w:r w:rsidRPr="000678D9">
        <w:rPr>
          <w:rFonts w:asciiTheme="minorHAnsi" w:hAnsiTheme="minorHAnsi" w:cstheme="minorHAnsi"/>
          <w:b/>
          <w:bCs/>
          <w:color w:val="4472C4" w:themeColor="accent1"/>
        </w:rPr>
        <w:t xml:space="preserve">. </w:t>
      </w:r>
      <w:r w:rsidR="00500DEC" w:rsidRPr="000678D9">
        <w:rPr>
          <w:rFonts w:asciiTheme="minorHAnsi" w:hAnsiTheme="minorHAnsi" w:cstheme="minorHAnsi"/>
          <w:b/>
          <w:bCs/>
          <w:color w:val="4472C4" w:themeColor="accent1"/>
        </w:rPr>
        <w:t xml:space="preserve">Emerging issues </w:t>
      </w:r>
    </w:p>
    <w:p w14:paraId="1D46F075" w14:textId="77777777" w:rsidR="00AB33B5" w:rsidRDefault="00AB33B5" w:rsidP="00AC70D9">
      <w:pPr>
        <w:pStyle w:val="Heading2"/>
        <w:spacing w:before="0" w:line="240" w:lineRule="auto"/>
        <w:rPr>
          <w:rFonts w:asciiTheme="minorHAnsi" w:hAnsiTheme="minorHAnsi" w:cstheme="minorHAnsi"/>
          <w:b/>
          <w:bCs/>
          <w:color w:val="000000" w:themeColor="text1"/>
          <w:sz w:val="24"/>
          <w:szCs w:val="24"/>
        </w:rPr>
      </w:pPr>
    </w:p>
    <w:p w14:paraId="3776D338" w14:textId="47E142AC" w:rsidR="002839F1" w:rsidRDefault="00013AD8" w:rsidP="00AC70D9">
      <w:pPr>
        <w:pStyle w:val="Heading2"/>
        <w:spacing w:before="0" w:line="240" w:lineRule="auto"/>
        <w:rPr>
          <w:i/>
          <w:iCs/>
        </w:rPr>
      </w:pPr>
      <w:r>
        <w:rPr>
          <w:rFonts w:asciiTheme="minorHAnsi" w:hAnsiTheme="minorHAnsi" w:cstheme="minorHAnsi"/>
          <w:b/>
          <w:bCs/>
          <w:color w:val="000000" w:themeColor="text1"/>
          <w:sz w:val="24"/>
          <w:szCs w:val="24"/>
        </w:rPr>
        <w:t>N</w:t>
      </w:r>
      <w:r w:rsidR="00936BD6">
        <w:rPr>
          <w:rFonts w:asciiTheme="minorHAnsi" w:hAnsiTheme="minorHAnsi" w:cstheme="minorHAnsi"/>
          <w:b/>
          <w:bCs/>
          <w:color w:val="000000" w:themeColor="text1"/>
          <w:sz w:val="24"/>
          <w:szCs w:val="24"/>
        </w:rPr>
        <w:t>eed for enhancing synergies among global commitments and alignment of financial flows</w:t>
      </w:r>
      <w:r w:rsidR="00D77DC0">
        <w:rPr>
          <w:rFonts w:asciiTheme="minorHAnsi" w:hAnsiTheme="minorHAnsi" w:cstheme="minorHAnsi"/>
          <w:b/>
          <w:bCs/>
          <w:color w:val="000000" w:themeColor="text1"/>
          <w:sz w:val="24"/>
          <w:szCs w:val="24"/>
        </w:rPr>
        <w:t xml:space="preserve"> </w:t>
      </w:r>
    </w:p>
    <w:p w14:paraId="0FF2D56C" w14:textId="77777777" w:rsidR="002839F1" w:rsidRDefault="002839F1" w:rsidP="00AC70D9">
      <w:pPr>
        <w:pStyle w:val="ListParagraph"/>
        <w:spacing w:after="0" w:line="240" w:lineRule="auto"/>
        <w:ind w:left="0"/>
        <w:jc w:val="both"/>
        <w:rPr>
          <w:rFonts w:ascii="Roboto" w:hAnsi="Roboto" w:cs="Calibri"/>
        </w:rPr>
      </w:pPr>
    </w:p>
    <w:p w14:paraId="1639BA48" w14:textId="73D02F51" w:rsidR="006E4781" w:rsidRDefault="00D66A18" w:rsidP="00AC70D9">
      <w:pPr>
        <w:pStyle w:val="ListParagraph"/>
        <w:spacing w:after="0" w:line="240" w:lineRule="auto"/>
        <w:ind w:left="0"/>
        <w:jc w:val="both"/>
        <w:rPr>
          <w:lang w:val="en-GB"/>
        </w:rPr>
      </w:pPr>
      <w:r>
        <w:rPr>
          <w:lang w:val="en-GB"/>
        </w:rPr>
        <w:t xml:space="preserve">There are several differences </w:t>
      </w:r>
      <w:r w:rsidR="00A839C0">
        <w:rPr>
          <w:lang w:val="en-GB"/>
        </w:rPr>
        <w:t xml:space="preserve">between </w:t>
      </w:r>
      <w:r w:rsidR="003F72CE">
        <w:rPr>
          <w:lang w:val="en-GB"/>
        </w:rPr>
        <w:t xml:space="preserve">global commitments and frameworks such as </w:t>
      </w:r>
      <w:r w:rsidR="004E5DA1">
        <w:rPr>
          <w:lang w:val="en-GB"/>
        </w:rPr>
        <w:t xml:space="preserve">the 2030 Agenda for </w:t>
      </w:r>
      <w:r w:rsidR="00013AD8">
        <w:rPr>
          <w:lang w:val="en-GB"/>
        </w:rPr>
        <w:t>S</w:t>
      </w:r>
      <w:r w:rsidR="004E5DA1">
        <w:rPr>
          <w:lang w:val="en-GB"/>
        </w:rPr>
        <w:t xml:space="preserve">ustainable </w:t>
      </w:r>
      <w:r w:rsidR="002E43A1">
        <w:rPr>
          <w:lang w:val="en-GB"/>
        </w:rPr>
        <w:t>D</w:t>
      </w:r>
      <w:r w:rsidR="004E5DA1">
        <w:rPr>
          <w:lang w:val="en-GB"/>
        </w:rPr>
        <w:t>evelopment</w:t>
      </w:r>
      <w:r w:rsidR="003F72CE">
        <w:rPr>
          <w:lang w:val="en-GB"/>
        </w:rPr>
        <w:t xml:space="preserve"> and </w:t>
      </w:r>
      <w:r w:rsidR="00FB50DF">
        <w:rPr>
          <w:lang w:val="en-GB"/>
        </w:rPr>
        <w:t>the Paris Agreement on climate change</w:t>
      </w:r>
      <w:r w:rsidR="00BA1B7F">
        <w:rPr>
          <w:lang w:val="en-GB"/>
        </w:rPr>
        <w:t xml:space="preserve"> with respect to </w:t>
      </w:r>
      <w:r w:rsidR="000F1941">
        <w:rPr>
          <w:lang w:val="en-GB"/>
        </w:rPr>
        <w:t xml:space="preserve">finance related </w:t>
      </w:r>
      <w:r w:rsidR="000F1941">
        <w:rPr>
          <w:lang w:val="en-GB"/>
        </w:rPr>
        <w:lastRenderedPageBreak/>
        <w:t>commitments</w:t>
      </w:r>
      <w:r w:rsidR="001C11BE">
        <w:rPr>
          <w:lang w:val="en-GB"/>
        </w:rPr>
        <w:t>,</w:t>
      </w:r>
      <w:r w:rsidR="000F1941">
        <w:rPr>
          <w:lang w:val="en-GB"/>
        </w:rPr>
        <w:t xml:space="preserve"> language</w:t>
      </w:r>
      <w:r w:rsidR="001C11BE">
        <w:rPr>
          <w:lang w:val="en-GB"/>
        </w:rPr>
        <w:t xml:space="preserve"> and strategies</w:t>
      </w:r>
      <w:r w:rsidR="000F1941">
        <w:rPr>
          <w:lang w:val="en-GB"/>
        </w:rPr>
        <w:t xml:space="preserve">. </w:t>
      </w:r>
      <w:r w:rsidR="00EB2A36">
        <w:rPr>
          <w:lang w:val="en-GB"/>
        </w:rPr>
        <w:t>Nonetheless</w:t>
      </w:r>
      <w:r w:rsidR="0007397D">
        <w:rPr>
          <w:lang w:val="en-GB"/>
        </w:rPr>
        <w:t xml:space="preserve">, </w:t>
      </w:r>
      <w:r w:rsidR="0005679E">
        <w:rPr>
          <w:lang w:val="en-GB"/>
        </w:rPr>
        <w:t xml:space="preserve">the issue of financing </w:t>
      </w:r>
      <w:r w:rsidR="00A12C07">
        <w:rPr>
          <w:lang w:val="en-GB"/>
        </w:rPr>
        <w:t>r</w:t>
      </w:r>
      <w:r w:rsidR="00A12C07" w:rsidRPr="00DC46A0">
        <w:rPr>
          <w:lang w:val="en-GB"/>
        </w:rPr>
        <w:t>emains</w:t>
      </w:r>
      <w:r w:rsidR="0007397D" w:rsidRPr="00DC46A0">
        <w:rPr>
          <w:lang w:val="en-GB"/>
        </w:rPr>
        <w:t xml:space="preserve"> at the </w:t>
      </w:r>
      <w:proofErr w:type="spellStart"/>
      <w:r w:rsidR="0007397D" w:rsidRPr="00DC46A0">
        <w:rPr>
          <w:lang w:val="en-GB"/>
        </w:rPr>
        <w:t>center</w:t>
      </w:r>
      <w:proofErr w:type="spellEnd"/>
      <w:r w:rsidR="0007397D" w:rsidRPr="00DC46A0">
        <w:rPr>
          <w:lang w:val="en-GB"/>
        </w:rPr>
        <w:t xml:space="preserve"> of both the climate negotiations and the sustainable development agenda</w:t>
      </w:r>
      <w:r w:rsidR="00121AB2">
        <w:rPr>
          <w:lang w:val="en-GB"/>
        </w:rPr>
        <w:t>, with the</w:t>
      </w:r>
      <w:r w:rsidR="0007397D" w:rsidRPr="00DC46A0">
        <w:rPr>
          <w:lang w:val="en-GB"/>
        </w:rPr>
        <w:t xml:space="preserve"> underlying </w:t>
      </w:r>
      <w:r w:rsidR="00405927">
        <w:rPr>
          <w:lang w:val="en-GB"/>
        </w:rPr>
        <w:t>details</w:t>
      </w:r>
      <w:r w:rsidR="0007397D" w:rsidRPr="00DC46A0">
        <w:rPr>
          <w:lang w:val="en-GB"/>
        </w:rPr>
        <w:t xml:space="preserve"> </w:t>
      </w:r>
      <w:r w:rsidR="00121AB2">
        <w:rPr>
          <w:lang w:val="en-GB"/>
        </w:rPr>
        <w:t>being</w:t>
      </w:r>
      <w:r w:rsidR="0007397D" w:rsidRPr="00DC46A0">
        <w:rPr>
          <w:lang w:val="en-GB"/>
        </w:rPr>
        <w:t xml:space="preserve"> debated and developed separately.</w:t>
      </w:r>
      <w:r w:rsidR="00121AB2">
        <w:rPr>
          <w:lang w:val="en-GB"/>
        </w:rPr>
        <w:t xml:space="preserve"> </w:t>
      </w:r>
      <w:r w:rsidR="005A0A5C">
        <w:rPr>
          <w:lang w:val="en-GB"/>
        </w:rPr>
        <w:t>At the same time, t</w:t>
      </w:r>
      <w:r w:rsidR="00A9055B" w:rsidRPr="00E20980">
        <w:rPr>
          <w:lang w:val="en-GB"/>
        </w:rPr>
        <w:t xml:space="preserve">he current international financial architecture </w:t>
      </w:r>
      <w:r w:rsidR="00D03B63">
        <w:rPr>
          <w:lang w:val="en-GB"/>
        </w:rPr>
        <w:t xml:space="preserve">is fragmented and </w:t>
      </w:r>
      <w:r w:rsidR="00A9055B" w:rsidRPr="00E20980">
        <w:rPr>
          <w:lang w:val="en-GB"/>
        </w:rPr>
        <w:t>lacks the ability to enable efficient and effective funding or provide an environment for investment for synergistic action</w:t>
      </w:r>
      <w:r w:rsidR="00B322E0" w:rsidRPr="00234E3B">
        <w:rPr>
          <w:lang w:val="en-GB"/>
        </w:rPr>
        <w:t xml:space="preserve"> to fulfil commitments across </w:t>
      </w:r>
      <w:r w:rsidR="00B322E0">
        <w:rPr>
          <w:lang w:val="en-GB"/>
        </w:rPr>
        <w:t>these</w:t>
      </w:r>
      <w:r w:rsidR="00B322E0" w:rsidRPr="00234E3B">
        <w:rPr>
          <w:lang w:val="en-GB"/>
        </w:rPr>
        <w:t xml:space="preserve"> global frameworks and commitments</w:t>
      </w:r>
      <w:r w:rsidR="00AC70D9">
        <w:rPr>
          <w:lang w:val="en-GB"/>
        </w:rPr>
        <w:t>.</w:t>
      </w:r>
      <w:r w:rsidR="00C43305" w:rsidRPr="000E4083">
        <w:rPr>
          <w:vertAlign w:val="superscript"/>
          <w:lang w:val="en-GB"/>
        </w:rPr>
        <w:footnoteReference w:id="17"/>
      </w:r>
    </w:p>
    <w:p w14:paraId="7A2837FE" w14:textId="77777777" w:rsidR="00A0607F" w:rsidRDefault="00A0607F" w:rsidP="00AC70D9">
      <w:pPr>
        <w:pStyle w:val="ListParagraph"/>
        <w:spacing w:after="0" w:line="240" w:lineRule="auto"/>
        <w:ind w:left="0"/>
        <w:jc w:val="both"/>
        <w:rPr>
          <w:lang w:val="en-GB"/>
        </w:rPr>
      </w:pPr>
    </w:p>
    <w:p w14:paraId="20F789BF" w14:textId="1FB96FA4" w:rsidR="0023203F" w:rsidRDefault="006E4781" w:rsidP="00AC70D9">
      <w:pPr>
        <w:pStyle w:val="ListParagraph"/>
        <w:spacing w:after="0" w:line="240" w:lineRule="auto"/>
        <w:ind w:left="0"/>
        <w:jc w:val="both"/>
        <w:rPr>
          <w:lang w:val="en-GB"/>
        </w:rPr>
      </w:pPr>
      <w:r w:rsidRPr="006E4781">
        <w:rPr>
          <w:lang w:val="en-GB"/>
        </w:rPr>
        <w:t>Without aligning financing targets, flows and goals, there will be fragmentation in progress</w:t>
      </w:r>
      <w:r w:rsidR="00373667">
        <w:rPr>
          <w:lang w:val="en-GB"/>
        </w:rPr>
        <w:t xml:space="preserve"> across climate and sustainable development ambitions</w:t>
      </w:r>
      <w:r w:rsidRPr="006E4781">
        <w:rPr>
          <w:lang w:val="en-GB"/>
        </w:rPr>
        <w:t xml:space="preserve">. With over 80 per cent of </w:t>
      </w:r>
      <w:r w:rsidR="00606822" w:rsidRPr="006E4781">
        <w:rPr>
          <w:lang w:val="en-GB"/>
        </w:rPr>
        <w:t>S</w:t>
      </w:r>
      <w:r w:rsidR="00606822">
        <w:rPr>
          <w:lang w:val="en-GB"/>
        </w:rPr>
        <w:t xml:space="preserve">ustainable </w:t>
      </w:r>
      <w:r w:rsidR="00606822" w:rsidRPr="006E4781">
        <w:rPr>
          <w:lang w:val="en-GB"/>
        </w:rPr>
        <w:t>D</w:t>
      </w:r>
      <w:r w:rsidR="00606822">
        <w:rPr>
          <w:lang w:val="en-GB"/>
        </w:rPr>
        <w:t xml:space="preserve">evelopment </w:t>
      </w:r>
      <w:r w:rsidR="00606822" w:rsidRPr="006E4781">
        <w:rPr>
          <w:lang w:val="en-GB"/>
        </w:rPr>
        <w:t>G</w:t>
      </w:r>
      <w:r w:rsidR="00606822">
        <w:rPr>
          <w:lang w:val="en-GB"/>
        </w:rPr>
        <w:t>oal</w:t>
      </w:r>
      <w:r w:rsidRPr="006E4781">
        <w:rPr>
          <w:lang w:val="en-GB"/>
        </w:rPr>
        <w:t xml:space="preserve"> targets directly linked to climate, either through positive co-benefits or negative trade-offs, there is an urgent need for a synergistic approach to harness these benefits and minimise trade-offs.</w:t>
      </w:r>
      <w:r w:rsidR="00B46654" w:rsidRPr="00B46654">
        <w:rPr>
          <w:vertAlign w:val="superscript"/>
          <w:lang w:val="en-GB"/>
        </w:rPr>
        <w:footnoteReference w:id="18"/>
      </w:r>
      <w:r w:rsidRPr="00B46654">
        <w:rPr>
          <w:vertAlign w:val="superscript"/>
          <w:lang w:val="en-GB"/>
        </w:rPr>
        <w:t xml:space="preserve"> </w:t>
      </w:r>
      <w:r w:rsidRPr="006E4781">
        <w:rPr>
          <w:lang w:val="en-GB"/>
        </w:rPr>
        <w:t xml:space="preserve"> </w:t>
      </w:r>
    </w:p>
    <w:p w14:paraId="76E7736B" w14:textId="77777777" w:rsidR="0023203F" w:rsidRDefault="0023203F" w:rsidP="00AC70D9">
      <w:pPr>
        <w:pStyle w:val="ListParagraph"/>
        <w:spacing w:after="0" w:line="240" w:lineRule="auto"/>
        <w:ind w:left="0"/>
        <w:jc w:val="both"/>
        <w:rPr>
          <w:lang w:val="en-GB"/>
        </w:rPr>
      </w:pPr>
    </w:p>
    <w:p w14:paraId="1227340D" w14:textId="5CA9D1F5" w:rsidR="009B61BE" w:rsidRDefault="00911C1C" w:rsidP="00AC70D9">
      <w:pPr>
        <w:pStyle w:val="ListParagraph"/>
        <w:spacing w:after="0" w:line="240" w:lineRule="auto"/>
        <w:ind w:left="0"/>
        <w:jc w:val="both"/>
        <w:rPr>
          <w:lang w:val="en-GB"/>
        </w:rPr>
      </w:pPr>
      <w:r>
        <w:rPr>
          <w:lang w:val="en-GB"/>
        </w:rPr>
        <w:t>At the national level, w</w:t>
      </w:r>
      <w:r w:rsidR="004844F3" w:rsidRPr="00E20980">
        <w:rPr>
          <w:lang w:val="en-GB"/>
        </w:rPr>
        <w:t xml:space="preserve">hat is needed is an approach that integrates </w:t>
      </w:r>
      <w:r w:rsidR="007022D3">
        <w:rPr>
          <w:lang w:val="en-GB"/>
        </w:rPr>
        <w:t>all the</w:t>
      </w:r>
      <w:r w:rsidR="004844F3" w:rsidRPr="00E20980">
        <w:rPr>
          <w:lang w:val="en-GB"/>
        </w:rPr>
        <w:t xml:space="preserve"> international commitments </w:t>
      </w:r>
      <w:r w:rsidR="007022D3">
        <w:rPr>
          <w:lang w:val="en-GB"/>
        </w:rPr>
        <w:t xml:space="preserve">of countries </w:t>
      </w:r>
      <w:r w:rsidR="00DD5A27">
        <w:rPr>
          <w:lang w:val="en-GB"/>
        </w:rPr>
        <w:t xml:space="preserve">– regarding sustainable development, climate change, and </w:t>
      </w:r>
      <w:r w:rsidR="00384173">
        <w:rPr>
          <w:lang w:val="en-GB"/>
        </w:rPr>
        <w:t>other issues</w:t>
      </w:r>
      <w:r w:rsidR="00AE03AC">
        <w:rPr>
          <w:lang w:val="en-GB"/>
        </w:rPr>
        <w:t xml:space="preserve"> – </w:t>
      </w:r>
      <w:r w:rsidR="004844F3" w:rsidRPr="00E20980">
        <w:rPr>
          <w:lang w:val="en-GB"/>
        </w:rPr>
        <w:t xml:space="preserve">with their national investment planning and financing processes. </w:t>
      </w:r>
      <w:r w:rsidR="005D3291">
        <w:rPr>
          <w:lang w:val="en-GB"/>
        </w:rPr>
        <w:t>To this end</w:t>
      </w:r>
      <w:r w:rsidR="00FA3C13">
        <w:rPr>
          <w:lang w:val="en-GB"/>
        </w:rPr>
        <w:t xml:space="preserve">, </w:t>
      </w:r>
      <w:r w:rsidR="006B2A31">
        <w:rPr>
          <w:lang w:val="en-GB"/>
        </w:rPr>
        <w:t xml:space="preserve">the </w:t>
      </w:r>
      <w:r w:rsidR="004844F3" w:rsidRPr="00E20980">
        <w:rPr>
          <w:lang w:val="en-GB"/>
        </w:rPr>
        <w:t xml:space="preserve">government, financial regulators, and private finance entities </w:t>
      </w:r>
      <w:r w:rsidR="009B61BE">
        <w:rPr>
          <w:lang w:val="en-GB"/>
        </w:rPr>
        <w:t xml:space="preserve">would </w:t>
      </w:r>
      <w:r w:rsidR="00FA3C13">
        <w:rPr>
          <w:lang w:val="en-GB"/>
        </w:rPr>
        <w:t xml:space="preserve">need to </w:t>
      </w:r>
      <w:r w:rsidR="004844F3" w:rsidRPr="00E20980">
        <w:rPr>
          <w:lang w:val="en-GB"/>
        </w:rPr>
        <w:t>work</w:t>
      </w:r>
      <w:r w:rsidR="00FA3C13">
        <w:rPr>
          <w:lang w:val="en-GB"/>
        </w:rPr>
        <w:t xml:space="preserve"> together</w:t>
      </w:r>
      <w:r w:rsidR="004844F3" w:rsidRPr="00E20980">
        <w:rPr>
          <w:lang w:val="en-GB"/>
        </w:rPr>
        <w:t xml:space="preserve"> on a common set of actions</w:t>
      </w:r>
      <w:r w:rsidR="001867A5">
        <w:rPr>
          <w:lang w:val="en-GB"/>
        </w:rPr>
        <w:t xml:space="preserve"> and strategies</w:t>
      </w:r>
      <w:r w:rsidR="006805D1">
        <w:rPr>
          <w:lang w:val="en-GB"/>
        </w:rPr>
        <w:t xml:space="preserve"> to ensure that </w:t>
      </w:r>
      <w:r w:rsidR="004844F3" w:rsidRPr="00E20980">
        <w:rPr>
          <w:lang w:val="en-GB"/>
        </w:rPr>
        <w:t xml:space="preserve">sufficient finance </w:t>
      </w:r>
      <w:r w:rsidR="006805D1">
        <w:rPr>
          <w:lang w:val="en-GB"/>
        </w:rPr>
        <w:t xml:space="preserve">is mobilized </w:t>
      </w:r>
      <w:r w:rsidR="004844F3" w:rsidRPr="00E20980">
        <w:rPr>
          <w:lang w:val="en-GB"/>
        </w:rPr>
        <w:t xml:space="preserve">for these </w:t>
      </w:r>
      <w:r w:rsidR="005C48E4">
        <w:rPr>
          <w:lang w:val="en-GB"/>
        </w:rPr>
        <w:t>global commitments</w:t>
      </w:r>
      <w:r w:rsidR="004844F3" w:rsidRPr="00E20980">
        <w:rPr>
          <w:lang w:val="en-GB"/>
        </w:rPr>
        <w:t xml:space="preserve">. </w:t>
      </w:r>
    </w:p>
    <w:p w14:paraId="1AA3D34A" w14:textId="77777777" w:rsidR="009B61BE" w:rsidRDefault="009B61BE" w:rsidP="00AC70D9">
      <w:pPr>
        <w:pStyle w:val="ListParagraph"/>
        <w:spacing w:after="0" w:line="240" w:lineRule="auto"/>
        <w:ind w:left="0"/>
        <w:jc w:val="both"/>
        <w:rPr>
          <w:lang w:val="en-GB"/>
        </w:rPr>
      </w:pPr>
    </w:p>
    <w:p w14:paraId="67A94BB1" w14:textId="05048D0D" w:rsidR="00B87DA5" w:rsidRPr="00E20980" w:rsidRDefault="00B0726F" w:rsidP="00AC70D9">
      <w:pPr>
        <w:pStyle w:val="ListParagraph"/>
        <w:spacing w:after="0" w:line="240" w:lineRule="auto"/>
        <w:ind w:left="0"/>
        <w:jc w:val="both"/>
        <w:rPr>
          <w:lang w:val="en-GB"/>
        </w:rPr>
      </w:pPr>
      <w:r>
        <w:rPr>
          <w:lang w:val="en-GB"/>
        </w:rPr>
        <w:t xml:space="preserve">A similar </w:t>
      </w:r>
      <w:r w:rsidR="000F6156">
        <w:rPr>
          <w:lang w:val="en-GB"/>
        </w:rPr>
        <w:t xml:space="preserve">integrated </w:t>
      </w:r>
      <w:r>
        <w:rPr>
          <w:lang w:val="en-GB"/>
        </w:rPr>
        <w:t>approach needs to be p</w:t>
      </w:r>
      <w:r w:rsidR="00757837">
        <w:rPr>
          <w:lang w:val="en-GB"/>
        </w:rPr>
        <w:t>ursued</w:t>
      </w:r>
      <w:r>
        <w:rPr>
          <w:lang w:val="en-GB"/>
        </w:rPr>
        <w:t xml:space="preserve"> </w:t>
      </w:r>
      <w:r w:rsidR="00195D65">
        <w:rPr>
          <w:lang w:val="en-GB"/>
        </w:rPr>
        <w:t xml:space="preserve">at the global level as well </w:t>
      </w:r>
      <w:r>
        <w:rPr>
          <w:lang w:val="en-GB"/>
        </w:rPr>
        <w:t>with regards to international financial flows.</w:t>
      </w:r>
      <w:r w:rsidR="0096732A">
        <w:rPr>
          <w:lang w:val="en-GB"/>
        </w:rPr>
        <w:t xml:space="preserve"> </w:t>
      </w:r>
      <w:r w:rsidR="00041011">
        <w:rPr>
          <w:lang w:val="en-GB"/>
        </w:rPr>
        <w:t>Such a</w:t>
      </w:r>
      <w:r w:rsidR="00511E13" w:rsidRPr="00E20980">
        <w:rPr>
          <w:lang w:val="en-GB"/>
        </w:rPr>
        <w:t>n integrated international development system</w:t>
      </w:r>
      <w:r w:rsidR="007E2059">
        <w:rPr>
          <w:lang w:val="en-GB"/>
        </w:rPr>
        <w:t>, supported by aligned financing strategies</w:t>
      </w:r>
      <w:r w:rsidR="00435362">
        <w:rPr>
          <w:lang w:val="en-GB"/>
        </w:rPr>
        <w:t xml:space="preserve">, </w:t>
      </w:r>
      <w:r w:rsidR="005B6CDE">
        <w:rPr>
          <w:lang w:val="en-GB"/>
        </w:rPr>
        <w:t>represent</w:t>
      </w:r>
      <w:r w:rsidR="00C14707">
        <w:rPr>
          <w:lang w:val="en-GB"/>
        </w:rPr>
        <w:t xml:space="preserve"> the essence of </w:t>
      </w:r>
      <w:r w:rsidR="005B6CDE">
        <w:rPr>
          <w:lang w:val="en-GB"/>
        </w:rPr>
        <w:t>needed reforms</w:t>
      </w:r>
      <w:r w:rsidR="00C14707">
        <w:rPr>
          <w:lang w:val="en-GB"/>
        </w:rPr>
        <w:t xml:space="preserve"> of the international financial architecture. </w:t>
      </w:r>
    </w:p>
    <w:p w14:paraId="29A54ED1" w14:textId="77777777" w:rsidR="00B87DA5" w:rsidRDefault="00B87DA5" w:rsidP="00AC70D9">
      <w:pPr>
        <w:pStyle w:val="ListParagraph"/>
        <w:spacing w:after="0" w:line="240" w:lineRule="auto"/>
        <w:ind w:left="0"/>
        <w:jc w:val="both"/>
        <w:rPr>
          <w:rFonts w:ascii="Roboto" w:hAnsi="Roboto" w:cs="Calibri"/>
        </w:rPr>
      </w:pPr>
    </w:p>
    <w:p w14:paraId="6E7E99E9" w14:textId="72772B5E" w:rsidR="00DC46A0" w:rsidRPr="00823335" w:rsidRDefault="00B87DA5" w:rsidP="00AC70D9">
      <w:pPr>
        <w:pStyle w:val="Heading2"/>
        <w:spacing w:before="0" w:line="240" w:lineRule="auto"/>
        <w:rPr>
          <w:rFonts w:asciiTheme="minorHAnsi" w:hAnsiTheme="minorHAnsi" w:cstheme="minorHAnsi"/>
          <w:b/>
          <w:bCs/>
          <w:color w:val="000000" w:themeColor="text1"/>
        </w:rPr>
      </w:pPr>
      <w:bookmarkStart w:id="1" w:name="_Toc177480150"/>
      <w:r w:rsidRPr="00823335">
        <w:rPr>
          <w:rFonts w:asciiTheme="minorHAnsi" w:hAnsiTheme="minorHAnsi" w:cstheme="minorHAnsi"/>
          <w:b/>
          <w:bCs/>
          <w:color w:val="000000" w:themeColor="text1"/>
        </w:rPr>
        <w:t xml:space="preserve">Suggested </w:t>
      </w:r>
      <w:r w:rsidR="00AC70D9">
        <w:rPr>
          <w:rFonts w:asciiTheme="minorHAnsi" w:hAnsiTheme="minorHAnsi" w:cstheme="minorHAnsi"/>
          <w:b/>
          <w:bCs/>
          <w:color w:val="000000" w:themeColor="text1"/>
        </w:rPr>
        <w:t>p</w:t>
      </w:r>
      <w:r w:rsidR="00DC46A0" w:rsidRPr="00823335">
        <w:rPr>
          <w:rFonts w:asciiTheme="minorHAnsi" w:hAnsiTheme="minorHAnsi" w:cstheme="minorHAnsi"/>
          <w:b/>
          <w:bCs/>
          <w:color w:val="000000" w:themeColor="text1"/>
        </w:rPr>
        <w:t xml:space="preserve">olicy </w:t>
      </w:r>
      <w:r w:rsidR="00AC70D9">
        <w:rPr>
          <w:rFonts w:asciiTheme="minorHAnsi" w:hAnsiTheme="minorHAnsi" w:cstheme="minorHAnsi"/>
          <w:b/>
          <w:bCs/>
          <w:color w:val="000000" w:themeColor="text1"/>
        </w:rPr>
        <w:t>p</w:t>
      </w:r>
      <w:r w:rsidR="00DC46A0" w:rsidRPr="00823335">
        <w:rPr>
          <w:rFonts w:asciiTheme="minorHAnsi" w:hAnsiTheme="minorHAnsi" w:cstheme="minorHAnsi"/>
          <w:b/>
          <w:bCs/>
          <w:color w:val="000000" w:themeColor="text1"/>
        </w:rPr>
        <w:t>riority</w:t>
      </w:r>
    </w:p>
    <w:p w14:paraId="7730DF10" w14:textId="77777777" w:rsidR="00DC46A0" w:rsidRPr="00451631" w:rsidRDefault="00DC46A0" w:rsidP="00E30707">
      <w:pPr>
        <w:pStyle w:val="ListParagraph"/>
        <w:spacing w:after="0" w:line="240" w:lineRule="auto"/>
        <w:ind w:left="18"/>
        <w:jc w:val="both"/>
        <w:outlineLvl w:val="1"/>
        <w:rPr>
          <w:rFonts w:ascii="Roboto" w:hAnsi="Roboto" w:cs="Calibri"/>
          <w:b/>
          <w:bCs/>
        </w:rPr>
      </w:pPr>
    </w:p>
    <w:p w14:paraId="770E0598" w14:textId="7F92617C" w:rsidR="00B87DA5" w:rsidRDefault="00B87DA5" w:rsidP="00AC70D9">
      <w:pPr>
        <w:pStyle w:val="ListParagraph"/>
        <w:numPr>
          <w:ilvl w:val="0"/>
          <w:numId w:val="8"/>
        </w:numPr>
        <w:spacing w:after="0" w:line="240" w:lineRule="auto"/>
        <w:jc w:val="both"/>
        <w:rPr>
          <w:lang w:val="en-GB"/>
        </w:rPr>
      </w:pPr>
      <w:r w:rsidRPr="005E001C">
        <w:rPr>
          <w:b/>
          <w:bCs/>
          <w:lang w:val="en-GB"/>
        </w:rPr>
        <w:t>Strive for coherence, consistency and clarity in the international development system, as relate</w:t>
      </w:r>
      <w:r w:rsidR="00451631" w:rsidRPr="005E001C">
        <w:rPr>
          <w:b/>
          <w:bCs/>
          <w:lang w:val="en-GB"/>
        </w:rPr>
        <w:t>d</w:t>
      </w:r>
      <w:r w:rsidRPr="005E001C">
        <w:rPr>
          <w:b/>
          <w:bCs/>
          <w:lang w:val="en-GB"/>
        </w:rPr>
        <w:t xml:space="preserve"> to sustainable finance</w:t>
      </w:r>
      <w:bookmarkEnd w:id="1"/>
      <w:r w:rsidR="00451631" w:rsidRPr="005E001C">
        <w:rPr>
          <w:lang w:val="en-GB"/>
        </w:rPr>
        <w:t>.</w:t>
      </w:r>
      <w:r w:rsidRPr="005E001C">
        <w:rPr>
          <w:lang w:val="en-GB"/>
        </w:rPr>
        <w:t xml:space="preserve"> </w:t>
      </w:r>
      <w:r w:rsidR="009B7575" w:rsidRPr="000235AB">
        <w:rPr>
          <w:lang w:val="en-GB"/>
        </w:rPr>
        <w:t>T</w:t>
      </w:r>
      <w:r w:rsidRPr="00DC46A0">
        <w:rPr>
          <w:lang w:val="en-GB"/>
        </w:rPr>
        <w:t xml:space="preserve">he </w:t>
      </w:r>
      <w:r w:rsidRPr="006E23A8">
        <w:rPr>
          <w:i/>
          <w:iCs/>
          <w:lang w:val="en-GB"/>
        </w:rPr>
        <w:t>Financing for Development</w:t>
      </w:r>
      <w:r w:rsidRPr="00DC46A0">
        <w:rPr>
          <w:lang w:val="en-GB"/>
        </w:rPr>
        <w:t xml:space="preserve"> process</w:t>
      </w:r>
      <w:r w:rsidR="0015445F">
        <w:rPr>
          <w:lang w:val="en-GB"/>
        </w:rPr>
        <w:t>, both at the national and international level,</w:t>
      </w:r>
      <w:r w:rsidRPr="00DC46A0">
        <w:rPr>
          <w:lang w:val="en-GB"/>
        </w:rPr>
        <w:t xml:space="preserve"> should strive to align financing flows and targets with </w:t>
      </w:r>
      <w:r w:rsidR="00F3331D">
        <w:rPr>
          <w:lang w:val="en-GB"/>
        </w:rPr>
        <w:t>all</w:t>
      </w:r>
      <w:r w:rsidRPr="00DC46A0">
        <w:rPr>
          <w:lang w:val="en-GB"/>
        </w:rPr>
        <w:t xml:space="preserve"> key international </w:t>
      </w:r>
      <w:r w:rsidR="004F7C8B">
        <w:rPr>
          <w:lang w:val="en-GB"/>
        </w:rPr>
        <w:t>frame</w:t>
      </w:r>
      <w:r w:rsidR="0028211B">
        <w:rPr>
          <w:lang w:val="en-GB"/>
        </w:rPr>
        <w:t>works and agreements</w:t>
      </w:r>
      <w:r w:rsidRPr="00DC46A0">
        <w:rPr>
          <w:lang w:val="en-GB"/>
        </w:rPr>
        <w:t xml:space="preserve"> already committed to by countries. These agreements have specific financing-related text</w:t>
      </w:r>
      <w:r w:rsidR="00E23260">
        <w:rPr>
          <w:lang w:val="en-GB"/>
        </w:rPr>
        <w:t>,</w:t>
      </w:r>
      <w:r w:rsidRPr="00DC46A0">
        <w:rPr>
          <w:lang w:val="en-GB"/>
        </w:rPr>
        <w:t xml:space="preserve"> which have been incorporated by some financial regulators, and which is </w:t>
      </w:r>
      <w:r w:rsidR="003269AC">
        <w:rPr>
          <w:lang w:val="en-GB"/>
        </w:rPr>
        <w:t xml:space="preserve">already </w:t>
      </w:r>
      <w:r w:rsidRPr="00DC46A0">
        <w:rPr>
          <w:lang w:val="en-GB"/>
        </w:rPr>
        <w:t>driving the progress of sustainable finance regulations</w:t>
      </w:r>
      <w:r w:rsidR="00E23260" w:rsidRPr="00E23260">
        <w:rPr>
          <w:lang w:val="en-GB"/>
        </w:rPr>
        <w:t xml:space="preserve"> </w:t>
      </w:r>
      <w:r w:rsidR="00E23260" w:rsidRPr="00DC46A0">
        <w:rPr>
          <w:lang w:val="en-GB"/>
        </w:rPr>
        <w:t>in the region</w:t>
      </w:r>
      <w:r w:rsidRPr="00DC46A0">
        <w:rPr>
          <w:lang w:val="en-GB"/>
        </w:rPr>
        <w:t xml:space="preserve">. </w:t>
      </w:r>
      <w:r w:rsidR="003D5753">
        <w:rPr>
          <w:lang w:val="en-GB"/>
        </w:rPr>
        <w:t>This aspect can be strengthened further.</w:t>
      </w:r>
    </w:p>
    <w:p w14:paraId="770E6DAC" w14:textId="77777777" w:rsidR="00092662" w:rsidRDefault="00092662" w:rsidP="00E30707">
      <w:pPr>
        <w:spacing w:after="0" w:line="240" w:lineRule="auto"/>
        <w:jc w:val="both"/>
        <w:rPr>
          <w:lang w:val="en-GB"/>
        </w:rPr>
      </w:pPr>
    </w:p>
    <w:p w14:paraId="184D9A2F" w14:textId="77777777" w:rsidR="00E30707" w:rsidRPr="00E30707" w:rsidRDefault="00E30707" w:rsidP="00AC70D9">
      <w:pPr>
        <w:spacing w:after="0" w:line="240" w:lineRule="auto"/>
        <w:jc w:val="both"/>
        <w:rPr>
          <w:lang w:val="en-GB"/>
        </w:rPr>
      </w:pPr>
    </w:p>
    <w:p w14:paraId="1282DF65" w14:textId="77777777" w:rsidR="00823335" w:rsidRPr="000678D9" w:rsidRDefault="00864011" w:rsidP="00AC70D9">
      <w:pPr>
        <w:pStyle w:val="Heading2"/>
        <w:spacing w:before="0" w:line="240" w:lineRule="auto"/>
        <w:rPr>
          <w:rFonts w:asciiTheme="minorHAnsi" w:hAnsiTheme="minorHAnsi" w:cstheme="minorHAnsi"/>
          <w:b/>
          <w:bCs/>
          <w:color w:val="4472C4" w:themeColor="accent1"/>
        </w:rPr>
      </w:pPr>
      <w:r w:rsidRPr="000678D9">
        <w:rPr>
          <w:rFonts w:asciiTheme="minorHAnsi" w:hAnsiTheme="minorHAnsi" w:cstheme="minorHAnsi"/>
          <w:b/>
          <w:bCs/>
          <w:color w:val="4472C4" w:themeColor="accent1"/>
        </w:rPr>
        <w:t xml:space="preserve">V. Overarching </w:t>
      </w:r>
      <w:r w:rsidR="00823335" w:rsidRPr="000678D9">
        <w:rPr>
          <w:rFonts w:asciiTheme="minorHAnsi" w:hAnsiTheme="minorHAnsi" w:cstheme="minorHAnsi"/>
          <w:b/>
          <w:bCs/>
          <w:color w:val="4472C4" w:themeColor="accent1"/>
        </w:rPr>
        <w:t>reflections</w:t>
      </w:r>
    </w:p>
    <w:p w14:paraId="1EED9192" w14:textId="77777777" w:rsidR="00823335" w:rsidRDefault="00823335" w:rsidP="00AC70D9">
      <w:pPr>
        <w:pStyle w:val="Heading2"/>
        <w:spacing w:before="0" w:line="240" w:lineRule="auto"/>
        <w:rPr>
          <w:rFonts w:asciiTheme="minorHAnsi" w:hAnsiTheme="minorHAnsi" w:cstheme="minorHAnsi"/>
          <w:b/>
          <w:bCs/>
          <w:color w:val="000000" w:themeColor="text1"/>
        </w:rPr>
      </w:pPr>
    </w:p>
    <w:p w14:paraId="27AB8723" w14:textId="6F86042A" w:rsidR="00A57463" w:rsidRDefault="006C3E98" w:rsidP="00E30707">
      <w:pPr>
        <w:spacing w:after="0" w:line="240" w:lineRule="auto"/>
        <w:jc w:val="both"/>
        <w:rPr>
          <w:lang w:val="en-GB"/>
        </w:rPr>
      </w:pPr>
      <w:r w:rsidRPr="001402C7">
        <w:rPr>
          <w:lang w:val="en-GB"/>
        </w:rPr>
        <w:t xml:space="preserve">The General Assembly resolution </w:t>
      </w:r>
      <w:r w:rsidR="004D7A35" w:rsidRPr="001402C7">
        <w:rPr>
          <w:lang w:val="en-GB"/>
        </w:rPr>
        <w:t>78/271</w:t>
      </w:r>
      <w:r w:rsidR="00F72DFF">
        <w:rPr>
          <w:lang w:val="en-GB"/>
        </w:rPr>
        <w:t xml:space="preserve"> on </w:t>
      </w:r>
      <w:r w:rsidR="00CC520D">
        <w:rPr>
          <w:lang w:val="en-GB"/>
        </w:rPr>
        <w:t>further modalities of the fourth international conference on financing for development,</w:t>
      </w:r>
      <w:r w:rsidR="004D7A35" w:rsidRPr="001402C7">
        <w:rPr>
          <w:lang w:val="en-GB"/>
        </w:rPr>
        <w:t xml:space="preserve"> </w:t>
      </w:r>
      <w:r w:rsidR="004D7A35" w:rsidRPr="006139AA">
        <w:rPr>
          <w:i/>
          <w:iCs/>
          <w:lang w:val="en-GB"/>
        </w:rPr>
        <w:t>“</w:t>
      </w:r>
      <w:r w:rsidR="005E001C" w:rsidRPr="006139AA">
        <w:rPr>
          <w:i/>
          <w:iCs/>
          <w:lang w:val="en-GB"/>
        </w:rPr>
        <w:t>Invites the regional commissions, with the support of regional development banks and other relevant entities, to hold regional consultations, as appropriate, the outcome of which could serve as input to the preparations for the Conference</w:t>
      </w:r>
      <w:r w:rsidR="004D7A35" w:rsidRPr="006139AA">
        <w:rPr>
          <w:i/>
          <w:iCs/>
          <w:lang w:val="en-GB"/>
        </w:rPr>
        <w:t>”.</w:t>
      </w:r>
      <w:r w:rsidR="00C37187" w:rsidRPr="001402C7">
        <w:rPr>
          <w:lang w:val="en-GB"/>
        </w:rPr>
        <w:t xml:space="preserve"> </w:t>
      </w:r>
      <w:r w:rsidR="001A486C" w:rsidRPr="001402C7">
        <w:rPr>
          <w:lang w:val="en-GB"/>
        </w:rPr>
        <w:t xml:space="preserve">Responding to this invitation, ESCAP is organizing a </w:t>
      </w:r>
      <w:r w:rsidR="001402C7" w:rsidRPr="001B2FA1">
        <w:rPr>
          <w:i/>
          <w:iCs/>
          <w:lang w:val="en-GB"/>
        </w:rPr>
        <w:t>High-Level Regional Consultation on Financing for Development in Asia and the Pacific</w:t>
      </w:r>
      <w:r w:rsidR="001B2FA1">
        <w:rPr>
          <w:i/>
          <w:iCs/>
          <w:lang w:val="en-GB"/>
        </w:rPr>
        <w:t xml:space="preserve">, </w:t>
      </w:r>
      <w:r w:rsidR="006139AA">
        <w:rPr>
          <w:lang w:val="en-GB"/>
        </w:rPr>
        <w:t>on 17 and 18 December 2024.</w:t>
      </w:r>
      <w:r w:rsidR="00A57463">
        <w:rPr>
          <w:lang w:val="en-GB"/>
        </w:rPr>
        <w:t xml:space="preserve"> </w:t>
      </w:r>
    </w:p>
    <w:p w14:paraId="29006B74" w14:textId="77777777" w:rsidR="00E30707" w:rsidRDefault="00E30707" w:rsidP="00AC70D9">
      <w:pPr>
        <w:spacing w:after="0" w:line="240" w:lineRule="auto"/>
        <w:jc w:val="both"/>
        <w:rPr>
          <w:lang w:val="en-GB"/>
        </w:rPr>
      </w:pPr>
    </w:p>
    <w:p w14:paraId="71D148DF" w14:textId="77777777" w:rsidR="00E30707" w:rsidRDefault="00C37187" w:rsidP="00E30707">
      <w:pPr>
        <w:spacing w:after="0" w:line="240" w:lineRule="auto"/>
        <w:jc w:val="both"/>
      </w:pPr>
      <w:r>
        <w:rPr>
          <w:lang w:val="en-GB"/>
        </w:rPr>
        <w:t xml:space="preserve">The role of regional </w:t>
      </w:r>
      <w:r w:rsidR="00A57463">
        <w:rPr>
          <w:lang w:val="en-GB"/>
        </w:rPr>
        <w:t>commissions</w:t>
      </w:r>
      <w:r w:rsidR="00707BCF">
        <w:rPr>
          <w:lang w:val="en-GB"/>
        </w:rPr>
        <w:t xml:space="preserve">, such </w:t>
      </w:r>
      <w:r w:rsidR="00252BE0">
        <w:rPr>
          <w:lang w:val="en-GB"/>
        </w:rPr>
        <w:t xml:space="preserve">as </w:t>
      </w:r>
      <w:r w:rsidR="00707BCF">
        <w:rPr>
          <w:lang w:val="en-GB"/>
        </w:rPr>
        <w:t>ESCAP,</w:t>
      </w:r>
      <w:r>
        <w:rPr>
          <w:lang w:val="en-GB"/>
        </w:rPr>
        <w:t xml:space="preserve"> </w:t>
      </w:r>
      <w:r w:rsidR="00DA3516">
        <w:rPr>
          <w:lang w:val="en-GB"/>
        </w:rPr>
        <w:t>with</w:t>
      </w:r>
      <w:r w:rsidR="00574CC8">
        <w:rPr>
          <w:lang w:val="en-GB"/>
        </w:rPr>
        <w:t xml:space="preserve"> regards to financing for development process </w:t>
      </w:r>
      <w:r w:rsidR="00577EF5">
        <w:rPr>
          <w:lang w:val="en-GB"/>
        </w:rPr>
        <w:t>sh</w:t>
      </w:r>
      <w:r>
        <w:rPr>
          <w:lang w:val="en-GB"/>
        </w:rPr>
        <w:t xml:space="preserve">ould not </w:t>
      </w:r>
      <w:r w:rsidR="00574CC8">
        <w:rPr>
          <w:lang w:val="en-GB"/>
        </w:rPr>
        <w:t xml:space="preserve">stop at </w:t>
      </w:r>
      <w:r w:rsidR="00306481">
        <w:rPr>
          <w:lang w:val="en-GB"/>
        </w:rPr>
        <w:t xml:space="preserve">just </w:t>
      </w:r>
      <w:r w:rsidR="00574CC8">
        <w:rPr>
          <w:lang w:val="en-GB"/>
        </w:rPr>
        <w:t xml:space="preserve">organizing </w:t>
      </w:r>
      <w:r w:rsidR="00795C97">
        <w:rPr>
          <w:lang w:val="en-GB"/>
        </w:rPr>
        <w:t>such consultation</w:t>
      </w:r>
      <w:r w:rsidR="00306481">
        <w:rPr>
          <w:lang w:val="en-GB"/>
        </w:rPr>
        <w:t>s</w:t>
      </w:r>
      <w:r w:rsidR="001A32C9">
        <w:rPr>
          <w:lang w:val="en-GB"/>
        </w:rPr>
        <w:t xml:space="preserve"> prior to the Conference</w:t>
      </w:r>
      <w:r w:rsidR="00795C97">
        <w:rPr>
          <w:lang w:val="en-GB"/>
        </w:rPr>
        <w:t xml:space="preserve">. </w:t>
      </w:r>
      <w:r w:rsidR="00D91863">
        <w:rPr>
          <w:lang w:val="en-GB"/>
        </w:rPr>
        <w:t>ESC</w:t>
      </w:r>
      <w:r w:rsidR="008754C1">
        <w:rPr>
          <w:lang w:val="en-GB"/>
        </w:rPr>
        <w:t>AP, as the regional arm of the United Nations system in Asia and the Pacific</w:t>
      </w:r>
      <w:r w:rsidR="004F77CF">
        <w:rPr>
          <w:lang w:val="en-GB"/>
        </w:rPr>
        <w:t xml:space="preserve">, </w:t>
      </w:r>
      <w:r w:rsidR="00DA3516">
        <w:rPr>
          <w:lang w:val="en-GB"/>
        </w:rPr>
        <w:t xml:space="preserve">can </w:t>
      </w:r>
      <w:r w:rsidR="00B45CF3">
        <w:rPr>
          <w:lang w:val="en-GB"/>
        </w:rPr>
        <w:t xml:space="preserve">also </w:t>
      </w:r>
      <w:r w:rsidR="00DA3516">
        <w:rPr>
          <w:lang w:val="en-GB"/>
        </w:rPr>
        <w:t xml:space="preserve">play an important role in </w:t>
      </w:r>
      <w:r w:rsidR="00DA3516">
        <w:t xml:space="preserve">strengthening the follow-up process and ensuring accountability to and full implementation of commitments </w:t>
      </w:r>
      <w:r w:rsidR="00190984">
        <w:t xml:space="preserve">(to be) </w:t>
      </w:r>
      <w:r w:rsidR="00DA3516">
        <w:t xml:space="preserve">made at the </w:t>
      </w:r>
      <w:r w:rsidR="001A32C9" w:rsidRPr="00634245">
        <w:rPr>
          <w:i/>
          <w:iCs/>
        </w:rPr>
        <w:lastRenderedPageBreak/>
        <w:t>Conference</w:t>
      </w:r>
      <w:r w:rsidR="001A32C9">
        <w:t>.</w:t>
      </w:r>
      <w:r w:rsidR="0004570C">
        <w:t xml:space="preserve"> </w:t>
      </w:r>
      <w:r w:rsidR="00B211F1">
        <w:t xml:space="preserve">It can </w:t>
      </w:r>
      <w:r w:rsidR="004A01BB">
        <w:t>leverage</w:t>
      </w:r>
      <w:r w:rsidR="00A8178A">
        <w:t xml:space="preserve"> its existing </w:t>
      </w:r>
      <w:r w:rsidR="002D4EA7">
        <w:t>expertise</w:t>
      </w:r>
      <w:r w:rsidR="00853CC0">
        <w:t xml:space="preserve"> and </w:t>
      </w:r>
      <w:r w:rsidR="00A8178A">
        <w:t>platform</w:t>
      </w:r>
      <w:r w:rsidR="002D4EA7">
        <w:t>s</w:t>
      </w:r>
      <w:r w:rsidR="002D5B23">
        <w:t xml:space="preserve"> to organize </w:t>
      </w:r>
      <w:r w:rsidR="005E2DB1">
        <w:t>dialogue</w:t>
      </w:r>
      <w:r w:rsidR="00B211F1">
        <w:t>s</w:t>
      </w:r>
      <w:r w:rsidR="005E2DB1">
        <w:t xml:space="preserve"> among member States</w:t>
      </w:r>
      <w:r w:rsidR="00B52B41">
        <w:t xml:space="preserve"> and </w:t>
      </w:r>
      <w:r w:rsidR="005E2DB1">
        <w:t xml:space="preserve">other stakeholders </w:t>
      </w:r>
      <w:r w:rsidR="00CD20C4">
        <w:t xml:space="preserve">to chart out the regional </w:t>
      </w:r>
      <w:r w:rsidR="007C07CC">
        <w:t>priorities and needs</w:t>
      </w:r>
      <w:r w:rsidR="004D71FF">
        <w:t>,</w:t>
      </w:r>
      <w:r w:rsidR="00F540F3">
        <w:t xml:space="preserve"> </w:t>
      </w:r>
      <w:r w:rsidR="005211DB">
        <w:t xml:space="preserve">deliver demand-driven technical assistance, and </w:t>
      </w:r>
      <w:r w:rsidR="00707C89">
        <w:t>provide</w:t>
      </w:r>
      <w:r w:rsidR="00700FCC">
        <w:t xml:space="preserve"> a stocktaking of initiatives undertaken </w:t>
      </w:r>
      <w:r w:rsidR="00A65213">
        <w:t>as part of the follow-up process</w:t>
      </w:r>
      <w:r w:rsidR="00732850">
        <w:t>.</w:t>
      </w:r>
      <w:r w:rsidR="004D71FF">
        <w:t xml:space="preserve"> </w:t>
      </w:r>
    </w:p>
    <w:p w14:paraId="4E8311F8" w14:textId="43035499" w:rsidR="00324148" w:rsidRDefault="00A65213" w:rsidP="00AC70D9">
      <w:pPr>
        <w:spacing w:after="0" w:line="240" w:lineRule="auto"/>
        <w:jc w:val="both"/>
      </w:pPr>
      <w:r>
        <w:t xml:space="preserve"> </w:t>
      </w:r>
    </w:p>
    <w:p w14:paraId="54CC726B" w14:textId="49465044" w:rsidR="002D5B23" w:rsidRDefault="00320ADB" w:rsidP="00E30707">
      <w:pPr>
        <w:spacing w:after="0" w:line="240" w:lineRule="auto"/>
        <w:jc w:val="both"/>
      </w:pPr>
      <w:r>
        <w:t xml:space="preserve">Specifically, </w:t>
      </w:r>
      <w:r w:rsidR="007B6356">
        <w:t>ESCAP</w:t>
      </w:r>
      <w:r>
        <w:t>’s intergovernmental</w:t>
      </w:r>
      <w:r w:rsidR="007B6356">
        <w:t xml:space="preserve"> </w:t>
      </w:r>
      <w:r w:rsidR="007B6356" w:rsidRPr="00B06ED9">
        <w:rPr>
          <w:i/>
          <w:iCs/>
        </w:rPr>
        <w:t>Committee on Macroeconomic Policy, Poverty Reduction and Financing for Development</w:t>
      </w:r>
      <w:r w:rsidR="007B6356">
        <w:t xml:space="preserve">, which meets every two-years, </w:t>
      </w:r>
      <w:r w:rsidR="00475CA1">
        <w:t xml:space="preserve">already </w:t>
      </w:r>
      <w:r w:rsidR="006D2250">
        <w:t xml:space="preserve">has a mandate </w:t>
      </w:r>
      <w:r w:rsidR="009C6D71">
        <w:t>on</w:t>
      </w:r>
      <w:r w:rsidR="002832A7">
        <w:t xml:space="preserve"> supporting</w:t>
      </w:r>
      <w:r w:rsidR="006D2250">
        <w:t xml:space="preserve"> </w:t>
      </w:r>
      <w:r w:rsidR="005C66D9" w:rsidRPr="00E72B38">
        <w:rPr>
          <w:i/>
          <w:iCs/>
        </w:rPr>
        <w:t>“Regional cooperation on macroeconomic and financing for development issues and developing common regional positions as inputs to global processes while ensuring regional follow-up to their outcomes”.</w:t>
      </w:r>
      <w:r w:rsidR="005C66D9">
        <w:t xml:space="preserve"> </w:t>
      </w:r>
      <w:r w:rsidR="00111938">
        <w:t xml:space="preserve">The </w:t>
      </w:r>
      <w:r w:rsidR="00817506">
        <w:t xml:space="preserve">discussion regarding the outcome of the </w:t>
      </w:r>
      <w:r w:rsidR="00817506" w:rsidRPr="002832A7">
        <w:rPr>
          <w:i/>
          <w:iCs/>
        </w:rPr>
        <w:t>Conference</w:t>
      </w:r>
      <w:r w:rsidR="00817506">
        <w:t xml:space="preserve"> and follow-up at the regional level </w:t>
      </w:r>
      <w:r w:rsidR="00AE64F8">
        <w:t xml:space="preserve">can be a </w:t>
      </w:r>
      <w:r w:rsidR="00111938">
        <w:t xml:space="preserve">recurring agenda item </w:t>
      </w:r>
      <w:r w:rsidR="00190D24">
        <w:t xml:space="preserve">at </w:t>
      </w:r>
      <w:r w:rsidR="00AE64F8">
        <w:t xml:space="preserve">this </w:t>
      </w:r>
      <w:r w:rsidR="00AE64F8" w:rsidRPr="008C42ED">
        <w:rPr>
          <w:i/>
          <w:iCs/>
        </w:rPr>
        <w:t>Committee</w:t>
      </w:r>
      <w:r w:rsidR="00AE64F8">
        <w:t xml:space="preserve">. </w:t>
      </w:r>
    </w:p>
    <w:p w14:paraId="23399CC4" w14:textId="77777777" w:rsidR="00E30707" w:rsidRDefault="00E30707" w:rsidP="00B6373F">
      <w:pPr>
        <w:spacing w:after="0" w:line="240" w:lineRule="auto"/>
        <w:jc w:val="both"/>
      </w:pPr>
    </w:p>
    <w:p w14:paraId="4FA58204" w14:textId="1886ED83" w:rsidR="002D5B23" w:rsidRDefault="008C23EF" w:rsidP="00B6373F">
      <w:pPr>
        <w:spacing w:after="0" w:line="240" w:lineRule="auto"/>
        <w:jc w:val="both"/>
      </w:pPr>
      <w:r>
        <w:t xml:space="preserve">Co-facilitators should consider including language </w:t>
      </w:r>
      <w:r w:rsidR="00C515E5">
        <w:t xml:space="preserve">in the </w:t>
      </w:r>
      <w:r w:rsidR="00C515E5" w:rsidRPr="00AE64F8">
        <w:rPr>
          <w:i/>
          <w:iCs/>
        </w:rPr>
        <w:t>Elements Paper</w:t>
      </w:r>
      <w:r w:rsidR="00C515E5">
        <w:t xml:space="preserve"> and the draft </w:t>
      </w:r>
      <w:r w:rsidR="00C515E5" w:rsidRPr="00AE64F8">
        <w:rPr>
          <w:i/>
          <w:iCs/>
        </w:rPr>
        <w:t>Outcome Document</w:t>
      </w:r>
      <w:r w:rsidR="00C515E5">
        <w:t xml:space="preserve"> that</w:t>
      </w:r>
      <w:r w:rsidR="00CE76D9">
        <w:t xml:space="preserve"> </w:t>
      </w:r>
      <w:r w:rsidR="0058563F">
        <w:t>underscores the role of</w:t>
      </w:r>
      <w:r w:rsidR="00CE76D9">
        <w:t xml:space="preserve"> </w:t>
      </w:r>
      <w:r w:rsidR="0058563F">
        <w:t xml:space="preserve">existing </w:t>
      </w:r>
      <w:r w:rsidR="004F67C0">
        <w:t>platforms</w:t>
      </w:r>
      <w:r w:rsidR="0058563F">
        <w:t xml:space="preserve"> and mechanisms </w:t>
      </w:r>
      <w:r w:rsidR="004F67C0">
        <w:t xml:space="preserve">of </w:t>
      </w:r>
      <w:r w:rsidR="0005200D">
        <w:t>regional commissions</w:t>
      </w:r>
      <w:r w:rsidR="008C42ED">
        <w:t xml:space="preserve">, such as ESCAP’s </w:t>
      </w:r>
      <w:r w:rsidR="008C42ED" w:rsidRPr="00B06ED9">
        <w:rPr>
          <w:i/>
          <w:iCs/>
        </w:rPr>
        <w:t>Committee on Macroeconomic Policy, Poverty Reduction and Financing for Development</w:t>
      </w:r>
      <w:r w:rsidR="004F67C0">
        <w:t xml:space="preserve"> in strengthening the follow-up process</w:t>
      </w:r>
      <w:r w:rsidR="002B6F98">
        <w:t xml:space="preserve"> to the </w:t>
      </w:r>
      <w:r w:rsidR="002B6F98" w:rsidRPr="008C42ED">
        <w:rPr>
          <w:i/>
          <w:iCs/>
        </w:rPr>
        <w:t>Conference</w:t>
      </w:r>
      <w:r w:rsidR="004F67C0">
        <w:t xml:space="preserve">. </w:t>
      </w:r>
      <w:r w:rsidR="00C515E5">
        <w:t xml:space="preserve"> </w:t>
      </w:r>
    </w:p>
    <w:sectPr w:rsidR="002D5B23" w:rsidSect="00CF62AA">
      <w:footerReference w:type="default" r:id="rId17"/>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329E" w14:textId="77777777" w:rsidR="001C1662" w:rsidRDefault="001C1662" w:rsidP="003A03B5">
      <w:pPr>
        <w:spacing w:after="0" w:line="240" w:lineRule="auto"/>
      </w:pPr>
      <w:r>
        <w:separator/>
      </w:r>
    </w:p>
  </w:endnote>
  <w:endnote w:type="continuationSeparator" w:id="0">
    <w:p w14:paraId="1F9CD80B" w14:textId="77777777" w:rsidR="001C1662" w:rsidRDefault="001C1662" w:rsidP="003A03B5">
      <w:pPr>
        <w:spacing w:after="0" w:line="240" w:lineRule="auto"/>
      </w:pPr>
      <w:r>
        <w:continuationSeparator/>
      </w:r>
    </w:p>
  </w:endnote>
  <w:endnote w:type="continuationNotice" w:id="1">
    <w:p w14:paraId="59A3F889" w14:textId="77777777" w:rsidR="001C1662" w:rsidRDefault="001C1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Condensed">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94947"/>
      <w:docPartObj>
        <w:docPartGallery w:val="Page Numbers (Bottom of Page)"/>
        <w:docPartUnique/>
      </w:docPartObj>
    </w:sdtPr>
    <w:sdtEndPr>
      <w:rPr>
        <w:noProof/>
      </w:rPr>
    </w:sdtEndPr>
    <w:sdtContent>
      <w:p w14:paraId="2F7F9B3A" w14:textId="4FF58F2A" w:rsidR="00B8183D" w:rsidRDefault="00B818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6DB70" w14:textId="77777777" w:rsidR="00B8183D" w:rsidRDefault="00B8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16CF" w14:textId="77777777" w:rsidR="001C1662" w:rsidRDefault="001C1662" w:rsidP="003A03B5">
      <w:pPr>
        <w:spacing w:after="0" w:line="240" w:lineRule="auto"/>
      </w:pPr>
      <w:r>
        <w:separator/>
      </w:r>
    </w:p>
  </w:footnote>
  <w:footnote w:type="continuationSeparator" w:id="0">
    <w:p w14:paraId="41FC9A7E" w14:textId="77777777" w:rsidR="001C1662" w:rsidRDefault="001C1662" w:rsidP="003A03B5">
      <w:pPr>
        <w:spacing w:after="0" w:line="240" w:lineRule="auto"/>
      </w:pPr>
      <w:r>
        <w:continuationSeparator/>
      </w:r>
    </w:p>
  </w:footnote>
  <w:footnote w:type="continuationNotice" w:id="1">
    <w:p w14:paraId="5F0F6AB9" w14:textId="77777777" w:rsidR="001C1662" w:rsidRDefault="001C1662">
      <w:pPr>
        <w:spacing w:after="0" w:line="240" w:lineRule="auto"/>
      </w:pPr>
    </w:p>
  </w:footnote>
  <w:footnote w:id="2">
    <w:p w14:paraId="387D7786" w14:textId="443B5C12" w:rsidR="00703477" w:rsidRPr="00D51527" w:rsidRDefault="00F00F78">
      <w:pPr>
        <w:pStyle w:val="FootnoteText"/>
        <w:rPr>
          <w:sz w:val="18"/>
          <w:szCs w:val="18"/>
        </w:rPr>
      </w:pPr>
      <w:r w:rsidRPr="00D51527">
        <w:rPr>
          <w:rStyle w:val="FootnoteReference"/>
          <w:sz w:val="18"/>
          <w:szCs w:val="18"/>
        </w:rPr>
        <w:footnoteRef/>
      </w:r>
      <w:r w:rsidR="00D51527">
        <w:rPr>
          <w:sz w:val="18"/>
          <w:szCs w:val="18"/>
        </w:rPr>
        <w:t xml:space="preserve"> </w:t>
      </w:r>
      <w:r w:rsidR="00A90D5E" w:rsidRPr="00D51527">
        <w:rPr>
          <w:sz w:val="18"/>
          <w:szCs w:val="18"/>
        </w:rPr>
        <w:t xml:space="preserve">Tax potential is defined as the gap between actual tax collection and </w:t>
      </w:r>
      <w:r w:rsidR="00A90D5E" w:rsidRPr="00D51527">
        <w:rPr>
          <w:i/>
          <w:iCs/>
          <w:sz w:val="18"/>
          <w:szCs w:val="18"/>
        </w:rPr>
        <w:t>estimated</w:t>
      </w:r>
      <w:r w:rsidR="00A90D5E" w:rsidRPr="00D51527">
        <w:rPr>
          <w:sz w:val="18"/>
          <w:szCs w:val="18"/>
        </w:rPr>
        <w:t xml:space="preserve"> maximum tax capacity.</w:t>
      </w:r>
    </w:p>
  </w:footnote>
  <w:footnote w:id="3">
    <w:p w14:paraId="369ABC04" w14:textId="3D475D4E" w:rsidR="0062488F" w:rsidRPr="00D51527" w:rsidRDefault="0062488F" w:rsidP="00D51527">
      <w:pPr>
        <w:pStyle w:val="FootnoteText"/>
        <w:jc w:val="both"/>
        <w:rPr>
          <w:sz w:val="18"/>
          <w:szCs w:val="18"/>
        </w:rPr>
      </w:pPr>
      <w:r w:rsidRPr="00D51527">
        <w:rPr>
          <w:rStyle w:val="FootnoteReference"/>
          <w:sz w:val="18"/>
          <w:szCs w:val="18"/>
        </w:rPr>
        <w:footnoteRef/>
      </w:r>
      <w:r w:rsidRPr="00D51527">
        <w:rPr>
          <w:sz w:val="18"/>
          <w:szCs w:val="18"/>
        </w:rPr>
        <w:t xml:space="preserve"> </w:t>
      </w:r>
      <w:r w:rsidR="00F9599A" w:rsidRPr="0005722A">
        <w:rPr>
          <w:rFonts w:cstheme="minorHAnsi"/>
          <w:i/>
          <w:iCs/>
          <w:sz w:val="18"/>
          <w:szCs w:val="18"/>
        </w:rPr>
        <w:t>Economic and Social Survey of Asia and the Pacific 2024: Boosting Affordable and Longer-term Financing for Governments</w:t>
      </w:r>
      <w:r w:rsidR="00F9599A" w:rsidRPr="00D51527">
        <w:rPr>
          <w:rFonts w:cstheme="minorHAnsi"/>
          <w:color w:val="454545"/>
          <w:spacing w:val="-5"/>
          <w:sz w:val="18"/>
          <w:szCs w:val="18"/>
          <w:shd w:val="clear" w:color="auto" w:fill="FFFFFF"/>
        </w:rPr>
        <w:t xml:space="preserve"> </w:t>
      </w:r>
      <w:r w:rsidR="00F9599A" w:rsidRPr="0005722A">
        <w:rPr>
          <w:rFonts w:cstheme="minorHAnsi"/>
          <w:sz w:val="18"/>
          <w:szCs w:val="18"/>
        </w:rPr>
        <w:t>(United Nations publication, 2024).</w:t>
      </w:r>
    </w:p>
  </w:footnote>
  <w:footnote w:id="4">
    <w:p w14:paraId="66C49B13" w14:textId="4CFD1A12" w:rsidR="00BE7501" w:rsidRPr="00B02E02" w:rsidRDefault="00BE7501">
      <w:pPr>
        <w:pStyle w:val="FootnoteText"/>
        <w:rPr>
          <w:rFonts w:cstheme="minorHAnsi"/>
          <w:sz w:val="18"/>
          <w:szCs w:val="18"/>
        </w:rPr>
      </w:pPr>
      <w:r w:rsidRPr="00E76E99">
        <w:rPr>
          <w:rStyle w:val="FootnoteReference"/>
          <w:rFonts w:cstheme="minorHAnsi"/>
          <w:sz w:val="18"/>
          <w:szCs w:val="18"/>
        </w:rPr>
        <w:footnoteRef/>
      </w:r>
      <w:r w:rsidRPr="00E76E99">
        <w:rPr>
          <w:rFonts w:cstheme="minorHAnsi"/>
          <w:sz w:val="18"/>
          <w:szCs w:val="18"/>
        </w:rPr>
        <w:t xml:space="preserve"> </w:t>
      </w:r>
      <w:r w:rsidR="00E00652" w:rsidRPr="00E76E99">
        <w:rPr>
          <w:rFonts w:cstheme="minorHAnsi"/>
          <w:sz w:val="18"/>
          <w:szCs w:val="18"/>
        </w:rPr>
        <w:t>LVC refers to policies and mechanisms that enable Governments to recover for reinvestment part of the increase in land value generated by public investments in infrastructure and services.</w:t>
      </w:r>
    </w:p>
  </w:footnote>
  <w:footnote w:id="5">
    <w:p w14:paraId="348B876F" w14:textId="785F16B6" w:rsidR="00A62CCC" w:rsidRPr="00E76E99" w:rsidRDefault="00A62CCC" w:rsidP="00A62CCC">
      <w:pPr>
        <w:pStyle w:val="FootnoteText"/>
        <w:rPr>
          <w:rFonts w:cstheme="minorHAnsi"/>
          <w:sz w:val="18"/>
          <w:szCs w:val="18"/>
        </w:rPr>
      </w:pPr>
      <w:r w:rsidRPr="00E76E99">
        <w:rPr>
          <w:rStyle w:val="FootnoteReference"/>
          <w:rFonts w:cstheme="minorHAnsi"/>
          <w:sz w:val="18"/>
          <w:szCs w:val="18"/>
        </w:rPr>
        <w:footnoteRef/>
      </w:r>
      <w:r w:rsidRPr="00E76E99">
        <w:rPr>
          <w:rFonts w:cstheme="minorHAnsi"/>
          <w:sz w:val="18"/>
          <w:szCs w:val="18"/>
        </w:rPr>
        <w:t xml:space="preserve"> </w:t>
      </w:r>
      <w:r w:rsidR="00AE7301">
        <w:rPr>
          <w:rFonts w:cstheme="minorHAnsi"/>
          <w:sz w:val="18"/>
          <w:szCs w:val="18"/>
        </w:rPr>
        <w:t>OECD</w:t>
      </w:r>
      <w:r w:rsidRPr="00E76E99">
        <w:rPr>
          <w:rFonts w:cstheme="minorHAnsi"/>
          <w:sz w:val="18"/>
          <w:szCs w:val="18"/>
        </w:rPr>
        <w:t xml:space="preserve">, </w:t>
      </w:r>
      <w:r w:rsidRPr="00E76E99">
        <w:rPr>
          <w:rFonts w:cstheme="minorHAnsi"/>
          <w:i/>
          <w:iCs/>
          <w:sz w:val="18"/>
          <w:szCs w:val="18"/>
        </w:rPr>
        <w:t>Corporate Bond Markets in Asia: Challenges and Opportunities for Growth Companies</w:t>
      </w:r>
      <w:r w:rsidRPr="00E76E99">
        <w:rPr>
          <w:rFonts w:cstheme="minorHAnsi"/>
          <w:sz w:val="18"/>
          <w:szCs w:val="18"/>
        </w:rPr>
        <w:t xml:space="preserve"> (Paris, OECD Publishing, 2024).</w:t>
      </w:r>
    </w:p>
  </w:footnote>
  <w:footnote w:id="6">
    <w:p w14:paraId="77A31284" w14:textId="3D348A29" w:rsidR="00456CDC" w:rsidRPr="00F53BD4" w:rsidRDefault="00456CDC" w:rsidP="00456CDC">
      <w:pPr>
        <w:pStyle w:val="FootnoteText"/>
        <w:rPr>
          <w:sz w:val="18"/>
          <w:szCs w:val="18"/>
        </w:rPr>
      </w:pPr>
      <w:r w:rsidRPr="00F53BD4">
        <w:rPr>
          <w:rStyle w:val="FootnoteReference"/>
          <w:sz w:val="18"/>
          <w:szCs w:val="18"/>
        </w:rPr>
        <w:footnoteRef/>
      </w:r>
      <w:r w:rsidRPr="00F53BD4">
        <w:rPr>
          <w:sz w:val="18"/>
          <w:szCs w:val="18"/>
        </w:rPr>
        <w:t xml:space="preserve"> Asian Development Bank</w:t>
      </w:r>
      <w:r w:rsidR="008E7E58" w:rsidRPr="00F53BD4">
        <w:rPr>
          <w:sz w:val="18"/>
          <w:szCs w:val="18"/>
        </w:rPr>
        <w:t xml:space="preserve"> (ADB)</w:t>
      </w:r>
      <w:r w:rsidRPr="00F53BD4">
        <w:rPr>
          <w:sz w:val="18"/>
          <w:szCs w:val="18"/>
        </w:rPr>
        <w:t xml:space="preserve">, </w:t>
      </w:r>
      <w:r w:rsidRPr="00F53BD4">
        <w:rPr>
          <w:i/>
          <w:iCs/>
          <w:sz w:val="18"/>
          <w:szCs w:val="18"/>
        </w:rPr>
        <w:t>Asia Small and Medium-</w:t>
      </w:r>
      <w:r w:rsidR="008E7E58" w:rsidRPr="00F53BD4">
        <w:rPr>
          <w:i/>
          <w:iCs/>
          <w:sz w:val="18"/>
          <w:szCs w:val="18"/>
        </w:rPr>
        <w:t>s</w:t>
      </w:r>
      <w:r w:rsidRPr="00F53BD4">
        <w:rPr>
          <w:i/>
          <w:iCs/>
          <w:sz w:val="18"/>
          <w:szCs w:val="18"/>
        </w:rPr>
        <w:t>ized Enterprise Monitor 2023: How Small Firms Can Contribute to Resilient Growth in the Pacific Post COVID-19 Pandemic</w:t>
      </w:r>
      <w:r w:rsidRPr="00F53BD4">
        <w:rPr>
          <w:sz w:val="18"/>
          <w:szCs w:val="18"/>
        </w:rPr>
        <w:t xml:space="preserve"> (Manila, 2023).</w:t>
      </w:r>
    </w:p>
  </w:footnote>
  <w:footnote w:id="7">
    <w:p w14:paraId="5F7B0F66" w14:textId="77777777" w:rsidR="00891DD9" w:rsidRDefault="00891DD9" w:rsidP="00891DD9">
      <w:pPr>
        <w:pStyle w:val="FootnoteText"/>
      </w:pPr>
      <w:r>
        <w:rPr>
          <w:rStyle w:val="FootnoteReference"/>
        </w:rPr>
        <w:footnoteRef/>
      </w:r>
      <w:r>
        <w:t xml:space="preserve"> </w:t>
      </w:r>
      <w:r w:rsidRPr="00A06E29">
        <w:rPr>
          <w:sz w:val="18"/>
          <w:szCs w:val="18"/>
        </w:rPr>
        <w:t>Such as the Republic of Korea.</w:t>
      </w:r>
    </w:p>
  </w:footnote>
  <w:footnote w:id="8">
    <w:p w14:paraId="75FCA390" w14:textId="58F3F9ED" w:rsidR="00A44F51" w:rsidRDefault="00A44F51">
      <w:pPr>
        <w:pStyle w:val="FootnoteText"/>
      </w:pPr>
      <w:r>
        <w:rPr>
          <w:rStyle w:val="FootnoteReference"/>
        </w:rPr>
        <w:footnoteRef/>
      </w:r>
      <w:r>
        <w:t xml:space="preserve"> </w:t>
      </w:r>
      <w:r w:rsidR="00A41E15" w:rsidRPr="00B11BCF">
        <w:rPr>
          <w:i/>
          <w:iCs/>
          <w:sz w:val="18"/>
          <w:szCs w:val="18"/>
        </w:rPr>
        <w:t>Economic and Social Survey of Asia and the Pacific 2023: Rethinking Public Debt for the Sustainable Development Goals</w:t>
      </w:r>
      <w:r w:rsidR="00A41E15" w:rsidRPr="00B11BCF">
        <w:rPr>
          <w:sz w:val="18"/>
          <w:szCs w:val="18"/>
        </w:rPr>
        <w:t xml:space="preserve"> (United Nations publication, 2023).</w:t>
      </w:r>
    </w:p>
  </w:footnote>
  <w:footnote w:id="9">
    <w:p w14:paraId="4F5392DE" w14:textId="77777777" w:rsidR="00B478DD" w:rsidRDefault="00B478DD" w:rsidP="00B478DD">
      <w:pPr>
        <w:pStyle w:val="FootnoteText"/>
      </w:pPr>
      <w:r>
        <w:rPr>
          <w:rStyle w:val="FootnoteReference"/>
        </w:rPr>
        <w:footnoteRef/>
      </w:r>
      <w:r>
        <w:t xml:space="preserve"> </w:t>
      </w:r>
      <w:r w:rsidRPr="00B11BCF">
        <w:rPr>
          <w:rFonts w:ascii="Calibri" w:hAnsi="Calibri" w:cs="Calibri"/>
          <w:i/>
          <w:iCs/>
          <w:sz w:val="18"/>
          <w:szCs w:val="18"/>
        </w:rPr>
        <w:t xml:space="preserve">Economic and Social Survey of Asia and the Pacific 2019: Ambitions Beyond Growth </w:t>
      </w:r>
      <w:r w:rsidRPr="00B11BCF">
        <w:rPr>
          <w:rFonts w:ascii="Calibri" w:hAnsi="Calibri" w:cs="Calibri"/>
          <w:sz w:val="18"/>
          <w:szCs w:val="18"/>
        </w:rPr>
        <w:t>(United Nations publication, 2019).</w:t>
      </w:r>
    </w:p>
  </w:footnote>
  <w:footnote w:id="10">
    <w:p w14:paraId="5362DF2C" w14:textId="72A27950" w:rsidR="0003479B" w:rsidRDefault="0003479B">
      <w:pPr>
        <w:pStyle w:val="FootnoteText"/>
      </w:pPr>
      <w:r>
        <w:rPr>
          <w:rStyle w:val="FootnoteReference"/>
        </w:rPr>
        <w:footnoteRef/>
      </w:r>
      <w:r>
        <w:t xml:space="preserve"> </w:t>
      </w:r>
      <w:r w:rsidR="009F25C7" w:rsidRPr="00B11BCF">
        <w:rPr>
          <w:sz w:val="18"/>
          <w:szCs w:val="18"/>
        </w:rPr>
        <w:t xml:space="preserve">BRICS, “XV BRICS Summit Johannesburg II Declaration”, Gauteng, South Africa, 23 August 2023. Available at </w:t>
      </w:r>
      <w:hyperlink r:id="rId1" w:history="1">
        <w:r w:rsidR="009F25C7" w:rsidRPr="00B11BCF">
          <w:rPr>
            <w:rStyle w:val="Hyperlink"/>
            <w:color w:val="auto"/>
            <w:sz w:val="18"/>
            <w:szCs w:val="18"/>
            <w:u w:val="none"/>
          </w:rPr>
          <w:t>http://brics2023.gov.za/wp-content/uploads/2023/08/Jhb-II-Declaration-24-August-2023-1.pdf</w:t>
        </w:r>
      </w:hyperlink>
      <w:r w:rsidR="009F25C7" w:rsidRPr="00B11BCF">
        <w:rPr>
          <w:sz w:val="18"/>
          <w:szCs w:val="18"/>
        </w:rPr>
        <w:t>.</w:t>
      </w:r>
    </w:p>
  </w:footnote>
  <w:footnote w:id="11">
    <w:p w14:paraId="704A1CA5" w14:textId="3DE8873B" w:rsidR="009F25C7" w:rsidRDefault="009F25C7">
      <w:pPr>
        <w:pStyle w:val="FootnoteText"/>
      </w:pPr>
      <w:r>
        <w:rPr>
          <w:rStyle w:val="FootnoteReference"/>
        </w:rPr>
        <w:footnoteRef/>
      </w:r>
      <w:r>
        <w:t xml:space="preserve"> </w:t>
      </w:r>
      <w:r w:rsidR="00E02CAD" w:rsidRPr="00B11BCF">
        <w:rPr>
          <w:sz w:val="18"/>
          <w:szCs w:val="18"/>
        </w:rPr>
        <w:t>Group of Twenty-Four, “Communiqué”, 16 April 2024. Available at https://g24.org/wp-content/uploads/2024/07/ENG-G-24-2024-Spring-Meetings-Final-Communique-1.pdf.</w:t>
      </w:r>
    </w:p>
  </w:footnote>
  <w:footnote w:id="12">
    <w:p w14:paraId="72C02E04" w14:textId="2911BCF4" w:rsidR="00C1193B" w:rsidRDefault="00711138">
      <w:pPr>
        <w:pStyle w:val="FootnoteText"/>
      </w:pPr>
      <w:r w:rsidRPr="00A76718">
        <w:rPr>
          <w:rStyle w:val="FootnoteReference"/>
          <w:sz w:val="18"/>
          <w:szCs w:val="18"/>
        </w:rPr>
        <w:footnoteRef/>
      </w:r>
      <w:r w:rsidRPr="00A76718">
        <w:rPr>
          <w:sz w:val="18"/>
          <w:szCs w:val="18"/>
        </w:rPr>
        <w:t xml:space="preserve"> </w:t>
      </w:r>
      <w:r w:rsidR="00013C79" w:rsidRPr="00A76718">
        <w:rPr>
          <w:sz w:val="18"/>
          <w:szCs w:val="18"/>
        </w:rPr>
        <w:t xml:space="preserve">United Nations, </w:t>
      </w:r>
      <w:r w:rsidR="00013C79" w:rsidRPr="00A76718">
        <w:rPr>
          <w:i/>
          <w:iCs/>
          <w:sz w:val="18"/>
          <w:szCs w:val="18"/>
        </w:rPr>
        <w:t>Summit of the Future Outcome Documents</w:t>
      </w:r>
      <w:r w:rsidR="00C81CC5" w:rsidRPr="00A76718">
        <w:rPr>
          <w:i/>
          <w:iCs/>
          <w:sz w:val="18"/>
          <w:szCs w:val="18"/>
        </w:rPr>
        <w:t>: Pact for the Future, Global Digital Compact, and Declaration on Future Generations</w:t>
      </w:r>
      <w:r w:rsidR="00285D74" w:rsidRPr="00A76718">
        <w:rPr>
          <w:i/>
          <w:iCs/>
          <w:sz w:val="18"/>
          <w:szCs w:val="18"/>
        </w:rPr>
        <w:t xml:space="preserve"> </w:t>
      </w:r>
      <w:r w:rsidR="00285D74" w:rsidRPr="00A76718">
        <w:rPr>
          <w:sz w:val="18"/>
          <w:szCs w:val="18"/>
        </w:rPr>
        <w:t>(</w:t>
      </w:r>
      <w:r w:rsidR="00B145D7" w:rsidRPr="00A76718">
        <w:rPr>
          <w:sz w:val="18"/>
          <w:szCs w:val="18"/>
        </w:rPr>
        <w:t xml:space="preserve">September </w:t>
      </w:r>
      <w:r w:rsidR="00285D74" w:rsidRPr="00A76718">
        <w:rPr>
          <w:sz w:val="18"/>
          <w:szCs w:val="18"/>
        </w:rPr>
        <w:t>2024)</w:t>
      </w:r>
      <w:r w:rsidR="00C81CC5" w:rsidRPr="00A76718">
        <w:rPr>
          <w:sz w:val="18"/>
          <w:szCs w:val="18"/>
        </w:rPr>
        <w:t xml:space="preserve">. </w:t>
      </w:r>
      <w:r w:rsidR="00285D74" w:rsidRPr="00A76718">
        <w:rPr>
          <w:sz w:val="18"/>
          <w:szCs w:val="18"/>
        </w:rPr>
        <w:t xml:space="preserve">Available at </w:t>
      </w:r>
      <w:hyperlink r:id="rId2" w:history="1">
        <w:r w:rsidR="00285D74" w:rsidRPr="00911160">
          <w:rPr>
            <w:rStyle w:val="Hyperlink"/>
            <w:color w:val="auto"/>
            <w:sz w:val="18"/>
            <w:szCs w:val="18"/>
            <w:u w:val="none"/>
          </w:rPr>
          <w:t>www.un.org/sites/un2.un.org/files/sotf-pact_for_the_future_adopted.pdf</w:t>
        </w:r>
      </w:hyperlink>
      <w:r w:rsidR="00285D74" w:rsidRPr="00A76718">
        <w:rPr>
          <w:sz w:val="18"/>
          <w:szCs w:val="18"/>
        </w:rPr>
        <w:t>.</w:t>
      </w:r>
    </w:p>
  </w:footnote>
  <w:footnote w:id="13">
    <w:p w14:paraId="7174ECCF" w14:textId="3280297C" w:rsidR="00E02CAD" w:rsidRDefault="00E02CAD">
      <w:pPr>
        <w:pStyle w:val="FootnoteText"/>
      </w:pPr>
      <w:r>
        <w:rPr>
          <w:rStyle w:val="FootnoteReference"/>
        </w:rPr>
        <w:footnoteRef/>
      </w:r>
      <w:r>
        <w:t xml:space="preserve"> </w:t>
      </w:r>
      <w:r w:rsidR="008A3AE1" w:rsidRPr="00B11BCF">
        <w:rPr>
          <w:sz w:val="18"/>
          <w:szCs w:val="18"/>
        </w:rPr>
        <w:t>Asian Infrastructure Investment Bank, “Members and prospective members of the Bank”, 24 September 2024. Available at www.aiib.org/en/about-aiib/governance/members-of-bank/.</w:t>
      </w:r>
    </w:p>
  </w:footnote>
  <w:footnote w:id="14">
    <w:p w14:paraId="2173BAB4" w14:textId="572EEF8E" w:rsidR="005A48AF" w:rsidRPr="00A76718" w:rsidRDefault="005A48AF">
      <w:pPr>
        <w:pStyle w:val="FootnoteText"/>
        <w:rPr>
          <w:sz w:val="18"/>
          <w:szCs w:val="18"/>
        </w:rPr>
      </w:pPr>
      <w:r w:rsidRPr="00A76718">
        <w:rPr>
          <w:rStyle w:val="FootnoteReference"/>
          <w:sz w:val="18"/>
          <w:szCs w:val="18"/>
        </w:rPr>
        <w:footnoteRef/>
      </w:r>
      <w:r w:rsidRPr="00A76718">
        <w:rPr>
          <w:sz w:val="18"/>
          <w:szCs w:val="18"/>
        </w:rPr>
        <w:t xml:space="preserve"> </w:t>
      </w:r>
      <w:r w:rsidR="00AA6BAA" w:rsidRPr="00A76718">
        <w:rPr>
          <w:sz w:val="18"/>
          <w:szCs w:val="18"/>
        </w:rPr>
        <w:t xml:space="preserve">ADB, </w:t>
      </w:r>
      <w:r w:rsidR="00AA6BAA" w:rsidRPr="00A76718">
        <w:rPr>
          <w:i/>
          <w:iCs/>
          <w:sz w:val="18"/>
          <w:szCs w:val="18"/>
        </w:rPr>
        <w:t>Information on Subscription for the Fifth General Capital Increase</w:t>
      </w:r>
      <w:r w:rsidR="00AA6BAA" w:rsidRPr="00A76718">
        <w:rPr>
          <w:sz w:val="18"/>
          <w:szCs w:val="18"/>
        </w:rPr>
        <w:t xml:space="preserve"> (Manila, 2009</w:t>
      </w:r>
      <w:r w:rsidR="00AA6BAA">
        <w:rPr>
          <w:sz w:val="18"/>
          <w:szCs w:val="18"/>
        </w:rPr>
        <w:t>)</w:t>
      </w:r>
      <w:r w:rsidR="00AA6BAA" w:rsidRPr="00A76718">
        <w:rPr>
          <w:sz w:val="18"/>
          <w:szCs w:val="18"/>
        </w:rPr>
        <w:t>; and ADB, “Agreement Establishing the Asian Development Bank”, December 1965.</w:t>
      </w:r>
    </w:p>
  </w:footnote>
  <w:footnote w:id="15">
    <w:p w14:paraId="1A4262A6" w14:textId="380CDDF7" w:rsidR="006E2A81" w:rsidRDefault="006E2A81">
      <w:pPr>
        <w:pStyle w:val="FootnoteText"/>
      </w:pPr>
      <w:r w:rsidRPr="00AC70D9">
        <w:rPr>
          <w:rStyle w:val="FootnoteReference"/>
          <w:sz w:val="18"/>
          <w:szCs w:val="18"/>
        </w:rPr>
        <w:footnoteRef/>
      </w:r>
      <w:r w:rsidRPr="00AC70D9">
        <w:rPr>
          <w:sz w:val="18"/>
          <w:szCs w:val="18"/>
        </w:rPr>
        <w:t xml:space="preserve"> </w:t>
      </w:r>
      <w:r w:rsidR="00D15B2D" w:rsidRPr="00AC70D9">
        <w:rPr>
          <w:sz w:val="18"/>
          <w:szCs w:val="18"/>
        </w:rPr>
        <w:t>I</w:t>
      </w:r>
      <w:r w:rsidR="00DE7670">
        <w:rPr>
          <w:sz w:val="18"/>
          <w:szCs w:val="18"/>
        </w:rPr>
        <w:t>MF</w:t>
      </w:r>
      <w:r w:rsidR="00D15B2D" w:rsidRPr="00AC70D9">
        <w:rPr>
          <w:sz w:val="18"/>
          <w:szCs w:val="18"/>
        </w:rPr>
        <w:t xml:space="preserve">, “Total IMF credit outstanding movement”. Available at </w:t>
      </w:r>
      <w:hyperlink r:id="rId3" w:history="1">
        <w:r w:rsidR="00D15B2D" w:rsidRPr="00AC70D9">
          <w:rPr>
            <w:rStyle w:val="Hyperlink"/>
            <w:color w:val="auto"/>
            <w:sz w:val="18"/>
            <w:szCs w:val="18"/>
            <w:u w:val="none"/>
          </w:rPr>
          <w:t>www.imf.org/en/About/Factsheets/Sheets/2022/IMF-Quotas</w:t>
        </w:r>
      </w:hyperlink>
      <w:r w:rsidR="00D15B2D" w:rsidRPr="00AC70D9">
        <w:rPr>
          <w:sz w:val="18"/>
          <w:szCs w:val="18"/>
        </w:rPr>
        <w:t xml:space="preserve"> (accessed on 28 May 2024).</w:t>
      </w:r>
    </w:p>
  </w:footnote>
  <w:footnote w:id="16">
    <w:p w14:paraId="09B4FA4A" w14:textId="247C0726" w:rsidR="00AE5660" w:rsidRPr="00AC70D9" w:rsidRDefault="00AE5660">
      <w:pPr>
        <w:pStyle w:val="FootnoteText"/>
        <w:rPr>
          <w:sz w:val="18"/>
          <w:szCs w:val="18"/>
        </w:rPr>
      </w:pPr>
      <w:r w:rsidRPr="00AC70D9">
        <w:rPr>
          <w:rStyle w:val="FootnoteReference"/>
          <w:sz w:val="18"/>
          <w:szCs w:val="18"/>
        </w:rPr>
        <w:footnoteRef/>
      </w:r>
      <w:r w:rsidRPr="00AC70D9">
        <w:rPr>
          <w:sz w:val="18"/>
          <w:szCs w:val="18"/>
        </w:rPr>
        <w:t xml:space="preserve"> </w:t>
      </w:r>
      <w:r w:rsidR="00DE7670" w:rsidRPr="00AC70D9">
        <w:rPr>
          <w:sz w:val="18"/>
          <w:szCs w:val="18"/>
        </w:rPr>
        <w:t xml:space="preserve">IMF, “IMF quotas”, December 2023. Available </w:t>
      </w:r>
      <w:proofErr w:type="gramStart"/>
      <w:r w:rsidR="00DE7670" w:rsidRPr="00AC70D9">
        <w:rPr>
          <w:sz w:val="18"/>
          <w:szCs w:val="18"/>
        </w:rPr>
        <w:t>at  www.imf.org/en/About/Factsheets/Sheets/2022/IMF-Quotas</w:t>
      </w:r>
      <w:proofErr w:type="gramEnd"/>
      <w:r w:rsidR="00DE7670" w:rsidRPr="00AC70D9">
        <w:rPr>
          <w:sz w:val="18"/>
          <w:szCs w:val="18"/>
        </w:rPr>
        <w:t>.</w:t>
      </w:r>
    </w:p>
  </w:footnote>
  <w:footnote w:id="17">
    <w:p w14:paraId="392D195B" w14:textId="77777777" w:rsidR="00C43305" w:rsidRPr="00AC70D9" w:rsidRDefault="00C43305" w:rsidP="00C43305">
      <w:pPr>
        <w:pStyle w:val="FootnoteText"/>
        <w:rPr>
          <w:rFonts w:ascii="Calibri" w:hAnsi="Calibri" w:cs="Calibri"/>
          <w:sz w:val="18"/>
          <w:szCs w:val="18"/>
        </w:rPr>
      </w:pPr>
      <w:r w:rsidRPr="00AC70D9">
        <w:rPr>
          <w:rStyle w:val="FootnoteReference"/>
          <w:rFonts w:ascii="Calibri" w:hAnsi="Calibri" w:cs="Calibri"/>
          <w:sz w:val="18"/>
          <w:szCs w:val="18"/>
        </w:rPr>
        <w:footnoteRef/>
      </w:r>
      <w:r w:rsidRPr="00AC70D9">
        <w:rPr>
          <w:rFonts w:ascii="Calibri" w:hAnsi="Calibri" w:cs="Calibri"/>
          <w:sz w:val="18"/>
          <w:szCs w:val="18"/>
        </w:rPr>
        <w:t xml:space="preserve"> </w:t>
      </w:r>
      <w:r w:rsidRPr="00AC70D9">
        <w:rPr>
          <w:rFonts w:ascii="Calibri" w:hAnsi="Calibri" w:cs="Calibri"/>
          <w:i/>
          <w:iCs/>
          <w:sz w:val="18"/>
          <w:szCs w:val="18"/>
        </w:rPr>
        <w:t>Synergy Solutions for Climate and SDG Action: Bridging the Ambition Gap for the Future We Want</w:t>
      </w:r>
      <w:r w:rsidRPr="00AC70D9">
        <w:rPr>
          <w:rFonts w:ascii="Calibri" w:hAnsi="Calibri" w:cs="Calibri"/>
          <w:sz w:val="18"/>
          <w:szCs w:val="18"/>
        </w:rPr>
        <w:t>, second edition (United Nations publication, 2024).</w:t>
      </w:r>
    </w:p>
  </w:footnote>
  <w:footnote w:id="18">
    <w:p w14:paraId="0FCED41C" w14:textId="77777777" w:rsidR="00B46654" w:rsidRPr="00AC70D9" w:rsidRDefault="00B46654" w:rsidP="00B46654">
      <w:pPr>
        <w:pStyle w:val="FootnoteText"/>
        <w:rPr>
          <w:rFonts w:ascii="Calibri" w:hAnsi="Calibri" w:cs="Calibri"/>
          <w:sz w:val="18"/>
          <w:szCs w:val="18"/>
        </w:rPr>
      </w:pPr>
      <w:r w:rsidRPr="00AC70D9">
        <w:rPr>
          <w:rStyle w:val="FootnoteReference"/>
          <w:rFonts w:ascii="Calibri" w:hAnsi="Calibri" w:cs="Calibri"/>
          <w:sz w:val="18"/>
          <w:szCs w:val="18"/>
        </w:rPr>
        <w:footnoteRef/>
      </w:r>
      <w:r w:rsidRPr="00AC70D9">
        <w:rPr>
          <w:rFonts w:ascii="Calibri" w:hAnsi="Calibri" w:cs="Calibri"/>
          <w:sz w:val="18"/>
          <w:szCs w:val="18"/>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4B5"/>
    <w:multiLevelType w:val="hybridMultilevel"/>
    <w:tmpl w:val="65BC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824CC"/>
    <w:multiLevelType w:val="multilevel"/>
    <w:tmpl w:val="44EEF49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144F3"/>
    <w:multiLevelType w:val="hybridMultilevel"/>
    <w:tmpl w:val="1D2EE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61812"/>
    <w:multiLevelType w:val="hybridMultilevel"/>
    <w:tmpl w:val="8E1898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AD16621"/>
    <w:multiLevelType w:val="hybridMultilevel"/>
    <w:tmpl w:val="F83A6506"/>
    <w:lvl w:ilvl="0" w:tplc="A69E75A6">
      <w:start w:val="1"/>
      <w:numFmt w:val="decimal"/>
      <w:lvlText w:val="(%1)"/>
      <w:lvlJc w:val="left"/>
      <w:pPr>
        <w:ind w:left="360" w:hanging="36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D7B1A71"/>
    <w:multiLevelType w:val="multilevel"/>
    <w:tmpl w:val="0AB0458E"/>
    <w:lvl w:ilvl="0">
      <w:start w:val="5"/>
      <w:numFmt w:val="decimal"/>
      <w:lvlText w:val="%1"/>
      <w:lvlJc w:val="left"/>
      <w:pPr>
        <w:ind w:left="450" w:hanging="450"/>
      </w:pPr>
      <w:rPr>
        <w:rFonts w:hint="default"/>
      </w:rPr>
    </w:lvl>
    <w:lvl w:ilvl="1">
      <w:start w:val="1"/>
      <w:numFmt w:val="decimal"/>
      <w:lvlText w:val="%1.%2"/>
      <w:lvlJc w:val="left"/>
      <w:pPr>
        <w:ind w:left="7830" w:hanging="720"/>
      </w:pPr>
      <w:rPr>
        <w:rFonts w:hint="default"/>
      </w:rPr>
    </w:lvl>
    <w:lvl w:ilvl="2">
      <w:start w:val="1"/>
      <w:numFmt w:val="decimal"/>
      <w:lvlText w:val="%1.%2.%3"/>
      <w:lvlJc w:val="left"/>
      <w:pPr>
        <w:ind w:left="1116" w:hanging="108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512" w:hanging="1440"/>
      </w:pPr>
      <w:rPr>
        <w:rFonts w:hint="default"/>
      </w:rPr>
    </w:lvl>
    <w:lvl w:ilvl="5">
      <w:start w:val="1"/>
      <w:numFmt w:val="decimal"/>
      <w:lvlText w:val="%1.%2.%3.%4.%5.%6"/>
      <w:lvlJc w:val="left"/>
      <w:pPr>
        <w:ind w:left="1890" w:hanging="1800"/>
      </w:pPr>
      <w:rPr>
        <w:rFonts w:hint="default"/>
      </w:rPr>
    </w:lvl>
    <w:lvl w:ilvl="6">
      <w:start w:val="1"/>
      <w:numFmt w:val="decimal"/>
      <w:lvlText w:val="%1.%2.%3.%4.%5.%6.%7"/>
      <w:lvlJc w:val="left"/>
      <w:pPr>
        <w:ind w:left="2268" w:hanging="2160"/>
      </w:pPr>
      <w:rPr>
        <w:rFonts w:hint="default"/>
      </w:rPr>
    </w:lvl>
    <w:lvl w:ilvl="7">
      <w:start w:val="1"/>
      <w:numFmt w:val="decimal"/>
      <w:lvlText w:val="%1.%2.%3.%4.%5.%6.%7.%8"/>
      <w:lvlJc w:val="left"/>
      <w:pPr>
        <w:ind w:left="2646" w:hanging="2520"/>
      </w:pPr>
      <w:rPr>
        <w:rFonts w:hint="default"/>
      </w:rPr>
    </w:lvl>
    <w:lvl w:ilvl="8">
      <w:start w:val="1"/>
      <w:numFmt w:val="decimal"/>
      <w:lvlText w:val="%1.%2.%3.%4.%5.%6.%7.%8.%9"/>
      <w:lvlJc w:val="left"/>
      <w:pPr>
        <w:ind w:left="2664" w:hanging="2520"/>
      </w:pPr>
      <w:rPr>
        <w:rFonts w:hint="default"/>
      </w:rPr>
    </w:lvl>
  </w:abstractNum>
  <w:abstractNum w:abstractNumId="13" w15:restartNumberingAfterBreak="0">
    <w:nsid w:val="658B4148"/>
    <w:multiLevelType w:val="hybridMultilevel"/>
    <w:tmpl w:val="32949F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9014310">
    <w:abstractNumId w:val="0"/>
  </w:num>
  <w:num w:numId="2" w16cid:durableId="705714083">
    <w:abstractNumId w:val="10"/>
  </w:num>
  <w:num w:numId="3" w16cid:durableId="1224489899">
    <w:abstractNumId w:val="7"/>
  </w:num>
  <w:num w:numId="4" w16cid:durableId="839007420">
    <w:abstractNumId w:val="8"/>
  </w:num>
  <w:num w:numId="5" w16cid:durableId="1795057800">
    <w:abstractNumId w:val="9"/>
  </w:num>
  <w:num w:numId="6" w16cid:durableId="1539704886">
    <w:abstractNumId w:val="5"/>
  </w:num>
  <w:num w:numId="7" w16cid:durableId="1965765382">
    <w:abstractNumId w:val="3"/>
  </w:num>
  <w:num w:numId="8" w16cid:durableId="1084455095">
    <w:abstractNumId w:val="11"/>
  </w:num>
  <w:num w:numId="9" w16cid:durableId="431826836">
    <w:abstractNumId w:val="1"/>
  </w:num>
  <w:num w:numId="10" w16cid:durableId="1460297173">
    <w:abstractNumId w:val="4"/>
  </w:num>
  <w:num w:numId="11" w16cid:durableId="113015318">
    <w:abstractNumId w:val="13"/>
  </w:num>
  <w:num w:numId="12" w16cid:durableId="1907229351">
    <w:abstractNumId w:val="12"/>
  </w:num>
  <w:num w:numId="13" w16cid:durableId="1654287217">
    <w:abstractNumId w:val="2"/>
  </w:num>
  <w:num w:numId="14" w16cid:durableId="46604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6B23"/>
    <w:rsid w:val="0000760F"/>
    <w:rsid w:val="00010D14"/>
    <w:rsid w:val="000130C4"/>
    <w:rsid w:val="00013AD8"/>
    <w:rsid w:val="00013C79"/>
    <w:rsid w:val="00013E9E"/>
    <w:rsid w:val="0001527A"/>
    <w:rsid w:val="00016D11"/>
    <w:rsid w:val="000235AB"/>
    <w:rsid w:val="00023A1B"/>
    <w:rsid w:val="00025BE4"/>
    <w:rsid w:val="0002636D"/>
    <w:rsid w:val="00030E3E"/>
    <w:rsid w:val="00034224"/>
    <w:rsid w:val="0003479B"/>
    <w:rsid w:val="00035AFD"/>
    <w:rsid w:val="0004009E"/>
    <w:rsid w:val="00040F10"/>
    <w:rsid w:val="00041011"/>
    <w:rsid w:val="00041999"/>
    <w:rsid w:val="000428C4"/>
    <w:rsid w:val="000428E3"/>
    <w:rsid w:val="0004570C"/>
    <w:rsid w:val="00051C9B"/>
    <w:rsid w:val="0005200D"/>
    <w:rsid w:val="00054FD7"/>
    <w:rsid w:val="0005679E"/>
    <w:rsid w:val="00056EF4"/>
    <w:rsid w:val="0005722A"/>
    <w:rsid w:val="00065446"/>
    <w:rsid w:val="00066C13"/>
    <w:rsid w:val="000678D9"/>
    <w:rsid w:val="00067CB0"/>
    <w:rsid w:val="00071553"/>
    <w:rsid w:val="0007203E"/>
    <w:rsid w:val="0007397D"/>
    <w:rsid w:val="000767CA"/>
    <w:rsid w:val="000768C0"/>
    <w:rsid w:val="00076A79"/>
    <w:rsid w:val="0008004F"/>
    <w:rsid w:val="000860B6"/>
    <w:rsid w:val="00086C5E"/>
    <w:rsid w:val="00087661"/>
    <w:rsid w:val="00087806"/>
    <w:rsid w:val="00091E9E"/>
    <w:rsid w:val="00092662"/>
    <w:rsid w:val="0009615F"/>
    <w:rsid w:val="000A0261"/>
    <w:rsid w:val="000A6DB6"/>
    <w:rsid w:val="000A78DB"/>
    <w:rsid w:val="000B0A1F"/>
    <w:rsid w:val="000B6B17"/>
    <w:rsid w:val="000C22A3"/>
    <w:rsid w:val="000C2824"/>
    <w:rsid w:val="000C7684"/>
    <w:rsid w:val="000C7E94"/>
    <w:rsid w:val="000D04A0"/>
    <w:rsid w:val="000D1DB7"/>
    <w:rsid w:val="000D5D8D"/>
    <w:rsid w:val="000D64A8"/>
    <w:rsid w:val="000D6611"/>
    <w:rsid w:val="000E1FF5"/>
    <w:rsid w:val="000E2419"/>
    <w:rsid w:val="000E2A8E"/>
    <w:rsid w:val="000E4083"/>
    <w:rsid w:val="000E4F9D"/>
    <w:rsid w:val="000E5C7A"/>
    <w:rsid w:val="000F1941"/>
    <w:rsid w:val="000F37EF"/>
    <w:rsid w:val="000F6156"/>
    <w:rsid w:val="000F7EAB"/>
    <w:rsid w:val="00100B3C"/>
    <w:rsid w:val="00107700"/>
    <w:rsid w:val="001077DA"/>
    <w:rsid w:val="0010789D"/>
    <w:rsid w:val="00107CB9"/>
    <w:rsid w:val="00111938"/>
    <w:rsid w:val="00121AB2"/>
    <w:rsid w:val="0012214B"/>
    <w:rsid w:val="001248CB"/>
    <w:rsid w:val="001265ED"/>
    <w:rsid w:val="00130507"/>
    <w:rsid w:val="00131FBD"/>
    <w:rsid w:val="00132C87"/>
    <w:rsid w:val="00134425"/>
    <w:rsid w:val="0013784D"/>
    <w:rsid w:val="001402C7"/>
    <w:rsid w:val="00141411"/>
    <w:rsid w:val="00144537"/>
    <w:rsid w:val="001513C2"/>
    <w:rsid w:val="001525AE"/>
    <w:rsid w:val="0015445F"/>
    <w:rsid w:val="00161E09"/>
    <w:rsid w:val="00164295"/>
    <w:rsid w:val="00171173"/>
    <w:rsid w:val="0017189C"/>
    <w:rsid w:val="00171BA0"/>
    <w:rsid w:val="00172FB1"/>
    <w:rsid w:val="00173E3D"/>
    <w:rsid w:val="00174569"/>
    <w:rsid w:val="00175BFB"/>
    <w:rsid w:val="0018255E"/>
    <w:rsid w:val="0018353E"/>
    <w:rsid w:val="00183586"/>
    <w:rsid w:val="001867A5"/>
    <w:rsid w:val="00187D4E"/>
    <w:rsid w:val="00187F68"/>
    <w:rsid w:val="00190984"/>
    <w:rsid w:val="00190D24"/>
    <w:rsid w:val="001917C3"/>
    <w:rsid w:val="00195D65"/>
    <w:rsid w:val="001A32C9"/>
    <w:rsid w:val="001A3E84"/>
    <w:rsid w:val="001A486C"/>
    <w:rsid w:val="001A53F2"/>
    <w:rsid w:val="001A71B9"/>
    <w:rsid w:val="001B08E8"/>
    <w:rsid w:val="001B1B88"/>
    <w:rsid w:val="001B2CAD"/>
    <w:rsid w:val="001B2FA1"/>
    <w:rsid w:val="001B5E4B"/>
    <w:rsid w:val="001C0D4B"/>
    <w:rsid w:val="001C11BE"/>
    <w:rsid w:val="001C14EC"/>
    <w:rsid w:val="001C1662"/>
    <w:rsid w:val="001C2F0B"/>
    <w:rsid w:val="001C5FC0"/>
    <w:rsid w:val="001D0502"/>
    <w:rsid w:val="001D172B"/>
    <w:rsid w:val="001D1FF9"/>
    <w:rsid w:val="001D49A5"/>
    <w:rsid w:val="001E087F"/>
    <w:rsid w:val="001E14CA"/>
    <w:rsid w:val="001E4CD0"/>
    <w:rsid w:val="001F159E"/>
    <w:rsid w:val="001F7758"/>
    <w:rsid w:val="0020006B"/>
    <w:rsid w:val="002025B9"/>
    <w:rsid w:val="00205EBA"/>
    <w:rsid w:val="00206C94"/>
    <w:rsid w:val="00206FD3"/>
    <w:rsid w:val="00211937"/>
    <w:rsid w:val="00211970"/>
    <w:rsid w:val="00212429"/>
    <w:rsid w:val="00221785"/>
    <w:rsid w:val="00222B6F"/>
    <w:rsid w:val="00226DDE"/>
    <w:rsid w:val="002308B1"/>
    <w:rsid w:val="00230CC0"/>
    <w:rsid w:val="0023203F"/>
    <w:rsid w:val="0023376F"/>
    <w:rsid w:val="00234E3B"/>
    <w:rsid w:val="002364AE"/>
    <w:rsid w:val="002372F6"/>
    <w:rsid w:val="00237553"/>
    <w:rsid w:val="00241D0E"/>
    <w:rsid w:val="00242FED"/>
    <w:rsid w:val="002433BD"/>
    <w:rsid w:val="00243787"/>
    <w:rsid w:val="00251A33"/>
    <w:rsid w:val="0025202F"/>
    <w:rsid w:val="00252BE0"/>
    <w:rsid w:val="00253574"/>
    <w:rsid w:val="00254CAF"/>
    <w:rsid w:val="00256658"/>
    <w:rsid w:val="00264832"/>
    <w:rsid w:val="00264FC8"/>
    <w:rsid w:val="002700CB"/>
    <w:rsid w:val="00271D1C"/>
    <w:rsid w:val="002723FF"/>
    <w:rsid w:val="00274027"/>
    <w:rsid w:val="0027482B"/>
    <w:rsid w:val="00275650"/>
    <w:rsid w:val="00275C26"/>
    <w:rsid w:val="00276745"/>
    <w:rsid w:val="00280A5A"/>
    <w:rsid w:val="00281781"/>
    <w:rsid w:val="0028211B"/>
    <w:rsid w:val="002832A7"/>
    <w:rsid w:val="002839F1"/>
    <w:rsid w:val="00285D74"/>
    <w:rsid w:val="00291432"/>
    <w:rsid w:val="002942E8"/>
    <w:rsid w:val="002A32D3"/>
    <w:rsid w:val="002A7F8D"/>
    <w:rsid w:val="002B185A"/>
    <w:rsid w:val="002B27D2"/>
    <w:rsid w:val="002B4A6B"/>
    <w:rsid w:val="002B6F98"/>
    <w:rsid w:val="002C1455"/>
    <w:rsid w:val="002C4131"/>
    <w:rsid w:val="002C6D77"/>
    <w:rsid w:val="002D1FA1"/>
    <w:rsid w:val="002D4EA7"/>
    <w:rsid w:val="002D5B23"/>
    <w:rsid w:val="002E31D3"/>
    <w:rsid w:val="002E43A1"/>
    <w:rsid w:val="002F4A33"/>
    <w:rsid w:val="002F571C"/>
    <w:rsid w:val="002F6B6C"/>
    <w:rsid w:val="00301008"/>
    <w:rsid w:val="00306481"/>
    <w:rsid w:val="0030755C"/>
    <w:rsid w:val="00310363"/>
    <w:rsid w:val="003113BD"/>
    <w:rsid w:val="00313005"/>
    <w:rsid w:val="003151D7"/>
    <w:rsid w:val="00316586"/>
    <w:rsid w:val="00317113"/>
    <w:rsid w:val="00320ADB"/>
    <w:rsid w:val="00322C8B"/>
    <w:rsid w:val="00324148"/>
    <w:rsid w:val="0032460A"/>
    <w:rsid w:val="003269AC"/>
    <w:rsid w:val="00330C7B"/>
    <w:rsid w:val="003332C1"/>
    <w:rsid w:val="003336A2"/>
    <w:rsid w:val="00335DC0"/>
    <w:rsid w:val="00337C74"/>
    <w:rsid w:val="003404AB"/>
    <w:rsid w:val="0034207B"/>
    <w:rsid w:val="00342563"/>
    <w:rsid w:val="0034282A"/>
    <w:rsid w:val="003455EF"/>
    <w:rsid w:val="003468F0"/>
    <w:rsid w:val="0035358C"/>
    <w:rsid w:val="00360DB2"/>
    <w:rsid w:val="00373441"/>
    <w:rsid w:val="00373667"/>
    <w:rsid w:val="00376418"/>
    <w:rsid w:val="0037795D"/>
    <w:rsid w:val="0038152F"/>
    <w:rsid w:val="00384173"/>
    <w:rsid w:val="00386CAF"/>
    <w:rsid w:val="00391AF8"/>
    <w:rsid w:val="003949B0"/>
    <w:rsid w:val="00395698"/>
    <w:rsid w:val="00395A0A"/>
    <w:rsid w:val="003963B8"/>
    <w:rsid w:val="003A03B5"/>
    <w:rsid w:val="003A1EF7"/>
    <w:rsid w:val="003B6FEA"/>
    <w:rsid w:val="003C2064"/>
    <w:rsid w:val="003C35B8"/>
    <w:rsid w:val="003C4D89"/>
    <w:rsid w:val="003C57D0"/>
    <w:rsid w:val="003C65DD"/>
    <w:rsid w:val="003D1090"/>
    <w:rsid w:val="003D1582"/>
    <w:rsid w:val="003D5753"/>
    <w:rsid w:val="003E0AD6"/>
    <w:rsid w:val="003E475A"/>
    <w:rsid w:val="003E7094"/>
    <w:rsid w:val="003F10C2"/>
    <w:rsid w:val="003F1331"/>
    <w:rsid w:val="003F72CE"/>
    <w:rsid w:val="00405927"/>
    <w:rsid w:val="004112D8"/>
    <w:rsid w:val="004126AF"/>
    <w:rsid w:val="00413B23"/>
    <w:rsid w:val="0041622D"/>
    <w:rsid w:val="0042016D"/>
    <w:rsid w:val="00420526"/>
    <w:rsid w:val="0042259E"/>
    <w:rsid w:val="00425164"/>
    <w:rsid w:val="004278CD"/>
    <w:rsid w:val="00435362"/>
    <w:rsid w:val="0043611F"/>
    <w:rsid w:val="004377D1"/>
    <w:rsid w:val="00451631"/>
    <w:rsid w:val="00453512"/>
    <w:rsid w:val="00456B81"/>
    <w:rsid w:val="00456CDC"/>
    <w:rsid w:val="004667C1"/>
    <w:rsid w:val="00470ECD"/>
    <w:rsid w:val="00475CA1"/>
    <w:rsid w:val="00477287"/>
    <w:rsid w:val="004778FC"/>
    <w:rsid w:val="00481FBA"/>
    <w:rsid w:val="004844F3"/>
    <w:rsid w:val="004910BF"/>
    <w:rsid w:val="0049163C"/>
    <w:rsid w:val="00497D98"/>
    <w:rsid w:val="004A01BB"/>
    <w:rsid w:val="004A053B"/>
    <w:rsid w:val="004A0923"/>
    <w:rsid w:val="004A7780"/>
    <w:rsid w:val="004C1885"/>
    <w:rsid w:val="004C5A9A"/>
    <w:rsid w:val="004D3301"/>
    <w:rsid w:val="004D5618"/>
    <w:rsid w:val="004D71FF"/>
    <w:rsid w:val="004D7A35"/>
    <w:rsid w:val="004D7CFC"/>
    <w:rsid w:val="004E404B"/>
    <w:rsid w:val="004E5DA1"/>
    <w:rsid w:val="004F0D8C"/>
    <w:rsid w:val="004F2FBB"/>
    <w:rsid w:val="004F4DF5"/>
    <w:rsid w:val="004F67C0"/>
    <w:rsid w:val="004F77CF"/>
    <w:rsid w:val="004F7C8B"/>
    <w:rsid w:val="00500DEC"/>
    <w:rsid w:val="005037D8"/>
    <w:rsid w:val="00504D7D"/>
    <w:rsid w:val="00505403"/>
    <w:rsid w:val="00505573"/>
    <w:rsid w:val="005110F5"/>
    <w:rsid w:val="00511C39"/>
    <w:rsid w:val="00511E13"/>
    <w:rsid w:val="005211DB"/>
    <w:rsid w:val="0052146D"/>
    <w:rsid w:val="00525D44"/>
    <w:rsid w:val="00530E05"/>
    <w:rsid w:val="0053135E"/>
    <w:rsid w:val="00533367"/>
    <w:rsid w:val="00535305"/>
    <w:rsid w:val="00544FC4"/>
    <w:rsid w:val="00560EEC"/>
    <w:rsid w:val="00561276"/>
    <w:rsid w:val="00564833"/>
    <w:rsid w:val="005661B5"/>
    <w:rsid w:val="005668C2"/>
    <w:rsid w:val="00567112"/>
    <w:rsid w:val="00567BFD"/>
    <w:rsid w:val="00571C69"/>
    <w:rsid w:val="00574234"/>
    <w:rsid w:val="00574CC8"/>
    <w:rsid w:val="00577EF5"/>
    <w:rsid w:val="00581F0F"/>
    <w:rsid w:val="0058563F"/>
    <w:rsid w:val="005910B8"/>
    <w:rsid w:val="00596C59"/>
    <w:rsid w:val="005A0A5C"/>
    <w:rsid w:val="005A253A"/>
    <w:rsid w:val="005A2D62"/>
    <w:rsid w:val="005A3F30"/>
    <w:rsid w:val="005A4175"/>
    <w:rsid w:val="005A48AF"/>
    <w:rsid w:val="005A5020"/>
    <w:rsid w:val="005A6EF9"/>
    <w:rsid w:val="005B3A0B"/>
    <w:rsid w:val="005B6CDE"/>
    <w:rsid w:val="005B7B33"/>
    <w:rsid w:val="005C296C"/>
    <w:rsid w:val="005C35E4"/>
    <w:rsid w:val="005C48E4"/>
    <w:rsid w:val="005C66D9"/>
    <w:rsid w:val="005D097D"/>
    <w:rsid w:val="005D3291"/>
    <w:rsid w:val="005D329D"/>
    <w:rsid w:val="005D485C"/>
    <w:rsid w:val="005D7027"/>
    <w:rsid w:val="005D71E4"/>
    <w:rsid w:val="005E001C"/>
    <w:rsid w:val="005E2DB1"/>
    <w:rsid w:val="005E33B3"/>
    <w:rsid w:val="005E3EA3"/>
    <w:rsid w:val="005F2DB2"/>
    <w:rsid w:val="00605106"/>
    <w:rsid w:val="00605F21"/>
    <w:rsid w:val="00606822"/>
    <w:rsid w:val="006100CC"/>
    <w:rsid w:val="0061121C"/>
    <w:rsid w:val="006139AA"/>
    <w:rsid w:val="00615887"/>
    <w:rsid w:val="0061612E"/>
    <w:rsid w:val="006162B3"/>
    <w:rsid w:val="0062077D"/>
    <w:rsid w:val="00623EC0"/>
    <w:rsid w:val="00624045"/>
    <w:rsid w:val="0062488F"/>
    <w:rsid w:val="00632F97"/>
    <w:rsid w:val="006339A5"/>
    <w:rsid w:val="00634245"/>
    <w:rsid w:val="0063460B"/>
    <w:rsid w:val="00635F96"/>
    <w:rsid w:val="0063668A"/>
    <w:rsid w:val="0064068C"/>
    <w:rsid w:val="006417D8"/>
    <w:rsid w:val="006475F5"/>
    <w:rsid w:val="006513A2"/>
    <w:rsid w:val="00653CA1"/>
    <w:rsid w:val="006662A1"/>
    <w:rsid w:val="00672A43"/>
    <w:rsid w:val="00673E21"/>
    <w:rsid w:val="006805D1"/>
    <w:rsid w:val="00684EC4"/>
    <w:rsid w:val="006851F9"/>
    <w:rsid w:val="006852D2"/>
    <w:rsid w:val="006928A0"/>
    <w:rsid w:val="00697596"/>
    <w:rsid w:val="006A17C3"/>
    <w:rsid w:val="006A343D"/>
    <w:rsid w:val="006B2A31"/>
    <w:rsid w:val="006C1C93"/>
    <w:rsid w:val="006C3E98"/>
    <w:rsid w:val="006C68E3"/>
    <w:rsid w:val="006C710A"/>
    <w:rsid w:val="006D2250"/>
    <w:rsid w:val="006D2780"/>
    <w:rsid w:val="006D4D4C"/>
    <w:rsid w:val="006D6344"/>
    <w:rsid w:val="006E23A8"/>
    <w:rsid w:val="006E2A81"/>
    <w:rsid w:val="006E2FD2"/>
    <w:rsid w:val="006E4781"/>
    <w:rsid w:val="006F0749"/>
    <w:rsid w:val="006F2CBF"/>
    <w:rsid w:val="006F561E"/>
    <w:rsid w:val="00700FCC"/>
    <w:rsid w:val="00701717"/>
    <w:rsid w:val="00701913"/>
    <w:rsid w:val="007022D3"/>
    <w:rsid w:val="00703477"/>
    <w:rsid w:val="00704F32"/>
    <w:rsid w:val="00707BCF"/>
    <w:rsid w:val="00707C89"/>
    <w:rsid w:val="00711138"/>
    <w:rsid w:val="00711B07"/>
    <w:rsid w:val="0072536B"/>
    <w:rsid w:val="00727F63"/>
    <w:rsid w:val="00732850"/>
    <w:rsid w:val="00737241"/>
    <w:rsid w:val="00741DE9"/>
    <w:rsid w:val="00750FBA"/>
    <w:rsid w:val="007531BB"/>
    <w:rsid w:val="007541D2"/>
    <w:rsid w:val="00757837"/>
    <w:rsid w:val="00760E8A"/>
    <w:rsid w:val="007621E9"/>
    <w:rsid w:val="00763420"/>
    <w:rsid w:val="00766198"/>
    <w:rsid w:val="00767E4D"/>
    <w:rsid w:val="00767E88"/>
    <w:rsid w:val="00770784"/>
    <w:rsid w:val="0077138E"/>
    <w:rsid w:val="0078041E"/>
    <w:rsid w:val="007814DE"/>
    <w:rsid w:val="007845CE"/>
    <w:rsid w:val="00785D8C"/>
    <w:rsid w:val="00785F0A"/>
    <w:rsid w:val="00787201"/>
    <w:rsid w:val="00787EE3"/>
    <w:rsid w:val="00792997"/>
    <w:rsid w:val="0079520E"/>
    <w:rsid w:val="00795C97"/>
    <w:rsid w:val="007A003C"/>
    <w:rsid w:val="007A4635"/>
    <w:rsid w:val="007A4F60"/>
    <w:rsid w:val="007A791F"/>
    <w:rsid w:val="007B6356"/>
    <w:rsid w:val="007C07CC"/>
    <w:rsid w:val="007D1216"/>
    <w:rsid w:val="007D4B4A"/>
    <w:rsid w:val="007D4EE1"/>
    <w:rsid w:val="007D6474"/>
    <w:rsid w:val="007D7219"/>
    <w:rsid w:val="007E048A"/>
    <w:rsid w:val="007E0E28"/>
    <w:rsid w:val="007E11AA"/>
    <w:rsid w:val="007E2059"/>
    <w:rsid w:val="007E7B97"/>
    <w:rsid w:val="007F075C"/>
    <w:rsid w:val="007F3F72"/>
    <w:rsid w:val="007F53C0"/>
    <w:rsid w:val="00800552"/>
    <w:rsid w:val="00800CF0"/>
    <w:rsid w:val="00801621"/>
    <w:rsid w:val="008030D4"/>
    <w:rsid w:val="00803D9A"/>
    <w:rsid w:val="00806420"/>
    <w:rsid w:val="008067AE"/>
    <w:rsid w:val="00811464"/>
    <w:rsid w:val="008125B3"/>
    <w:rsid w:val="00812915"/>
    <w:rsid w:val="00812F0E"/>
    <w:rsid w:val="008141BB"/>
    <w:rsid w:val="008170B0"/>
    <w:rsid w:val="00817506"/>
    <w:rsid w:val="00817599"/>
    <w:rsid w:val="00823335"/>
    <w:rsid w:val="00830B7D"/>
    <w:rsid w:val="008353DE"/>
    <w:rsid w:val="00835522"/>
    <w:rsid w:val="008422FD"/>
    <w:rsid w:val="00852791"/>
    <w:rsid w:val="00853CC0"/>
    <w:rsid w:val="008547DF"/>
    <w:rsid w:val="008570BE"/>
    <w:rsid w:val="00857D61"/>
    <w:rsid w:val="00864011"/>
    <w:rsid w:val="008754C1"/>
    <w:rsid w:val="00875F93"/>
    <w:rsid w:val="00876B25"/>
    <w:rsid w:val="008771F4"/>
    <w:rsid w:val="00877DDA"/>
    <w:rsid w:val="00881958"/>
    <w:rsid w:val="00891DD9"/>
    <w:rsid w:val="008A0B5F"/>
    <w:rsid w:val="008A1AE9"/>
    <w:rsid w:val="008A347F"/>
    <w:rsid w:val="008A3AE1"/>
    <w:rsid w:val="008A4D21"/>
    <w:rsid w:val="008A58D3"/>
    <w:rsid w:val="008B3FDE"/>
    <w:rsid w:val="008B64DE"/>
    <w:rsid w:val="008C23EF"/>
    <w:rsid w:val="008C42ED"/>
    <w:rsid w:val="008C4382"/>
    <w:rsid w:val="008C43BC"/>
    <w:rsid w:val="008D2D19"/>
    <w:rsid w:val="008D4AB4"/>
    <w:rsid w:val="008E0D0B"/>
    <w:rsid w:val="008E21F2"/>
    <w:rsid w:val="008E23A6"/>
    <w:rsid w:val="008E3E69"/>
    <w:rsid w:val="008E4B85"/>
    <w:rsid w:val="008E7BD0"/>
    <w:rsid w:val="008E7E58"/>
    <w:rsid w:val="008F09C6"/>
    <w:rsid w:val="008F1850"/>
    <w:rsid w:val="008F2C3D"/>
    <w:rsid w:val="008F5F5D"/>
    <w:rsid w:val="008F673D"/>
    <w:rsid w:val="008F6796"/>
    <w:rsid w:val="00911160"/>
    <w:rsid w:val="00911C1C"/>
    <w:rsid w:val="00912660"/>
    <w:rsid w:val="00917A18"/>
    <w:rsid w:val="0092161D"/>
    <w:rsid w:val="009244B5"/>
    <w:rsid w:val="009261A5"/>
    <w:rsid w:val="009304FD"/>
    <w:rsid w:val="00936BD6"/>
    <w:rsid w:val="00937A9B"/>
    <w:rsid w:val="00944340"/>
    <w:rsid w:val="0094705B"/>
    <w:rsid w:val="009478BD"/>
    <w:rsid w:val="00947E9A"/>
    <w:rsid w:val="0095027E"/>
    <w:rsid w:val="00954238"/>
    <w:rsid w:val="0095498A"/>
    <w:rsid w:val="00957455"/>
    <w:rsid w:val="00957A06"/>
    <w:rsid w:val="0096210B"/>
    <w:rsid w:val="009647B6"/>
    <w:rsid w:val="0096732A"/>
    <w:rsid w:val="00972B07"/>
    <w:rsid w:val="009750A2"/>
    <w:rsid w:val="009820BC"/>
    <w:rsid w:val="00984FE7"/>
    <w:rsid w:val="0098774E"/>
    <w:rsid w:val="00993851"/>
    <w:rsid w:val="00994B7A"/>
    <w:rsid w:val="009A07FB"/>
    <w:rsid w:val="009A5B7A"/>
    <w:rsid w:val="009A7CB4"/>
    <w:rsid w:val="009B09A2"/>
    <w:rsid w:val="009B09C9"/>
    <w:rsid w:val="009B2B9E"/>
    <w:rsid w:val="009B3F98"/>
    <w:rsid w:val="009B46A1"/>
    <w:rsid w:val="009B61BE"/>
    <w:rsid w:val="009B7547"/>
    <w:rsid w:val="009B7575"/>
    <w:rsid w:val="009C126D"/>
    <w:rsid w:val="009C281D"/>
    <w:rsid w:val="009C3D29"/>
    <w:rsid w:val="009C6D71"/>
    <w:rsid w:val="009D0546"/>
    <w:rsid w:val="009D0F7E"/>
    <w:rsid w:val="009D23FD"/>
    <w:rsid w:val="009D2900"/>
    <w:rsid w:val="009D4117"/>
    <w:rsid w:val="009D4459"/>
    <w:rsid w:val="009D6678"/>
    <w:rsid w:val="009E1DA6"/>
    <w:rsid w:val="009E456B"/>
    <w:rsid w:val="009E4CCB"/>
    <w:rsid w:val="009F1B23"/>
    <w:rsid w:val="009F25C7"/>
    <w:rsid w:val="00A016DA"/>
    <w:rsid w:val="00A0607F"/>
    <w:rsid w:val="00A12C07"/>
    <w:rsid w:val="00A168D5"/>
    <w:rsid w:val="00A17424"/>
    <w:rsid w:val="00A24F8E"/>
    <w:rsid w:val="00A252C5"/>
    <w:rsid w:val="00A316AD"/>
    <w:rsid w:val="00A32A61"/>
    <w:rsid w:val="00A33D8B"/>
    <w:rsid w:val="00A3642F"/>
    <w:rsid w:val="00A36EE3"/>
    <w:rsid w:val="00A406BF"/>
    <w:rsid w:val="00A40951"/>
    <w:rsid w:val="00A41E15"/>
    <w:rsid w:val="00A42B54"/>
    <w:rsid w:val="00A44F51"/>
    <w:rsid w:val="00A50AE3"/>
    <w:rsid w:val="00A54519"/>
    <w:rsid w:val="00A54E25"/>
    <w:rsid w:val="00A57463"/>
    <w:rsid w:val="00A62CCC"/>
    <w:rsid w:val="00A64FA2"/>
    <w:rsid w:val="00A65213"/>
    <w:rsid w:val="00A7211D"/>
    <w:rsid w:val="00A7226E"/>
    <w:rsid w:val="00A72C1E"/>
    <w:rsid w:val="00A74A56"/>
    <w:rsid w:val="00A76718"/>
    <w:rsid w:val="00A775BD"/>
    <w:rsid w:val="00A80256"/>
    <w:rsid w:val="00A81349"/>
    <w:rsid w:val="00A8178A"/>
    <w:rsid w:val="00A839C0"/>
    <w:rsid w:val="00A86CA7"/>
    <w:rsid w:val="00A86DAE"/>
    <w:rsid w:val="00A9055B"/>
    <w:rsid w:val="00A90779"/>
    <w:rsid w:val="00A90A73"/>
    <w:rsid w:val="00A90D5E"/>
    <w:rsid w:val="00A914D2"/>
    <w:rsid w:val="00A95BEE"/>
    <w:rsid w:val="00AA2669"/>
    <w:rsid w:val="00AA2ADE"/>
    <w:rsid w:val="00AA3E60"/>
    <w:rsid w:val="00AA6BAA"/>
    <w:rsid w:val="00AB11D1"/>
    <w:rsid w:val="00AB14E5"/>
    <w:rsid w:val="00AB33B5"/>
    <w:rsid w:val="00AB6DAC"/>
    <w:rsid w:val="00AB73C8"/>
    <w:rsid w:val="00AC2277"/>
    <w:rsid w:val="00AC5120"/>
    <w:rsid w:val="00AC635D"/>
    <w:rsid w:val="00AC70D9"/>
    <w:rsid w:val="00AD1EA1"/>
    <w:rsid w:val="00AD586D"/>
    <w:rsid w:val="00AE03AC"/>
    <w:rsid w:val="00AE0BEE"/>
    <w:rsid w:val="00AE183B"/>
    <w:rsid w:val="00AE1F25"/>
    <w:rsid w:val="00AE2B30"/>
    <w:rsid w:val="00AE5660"/>
    <w:rsid w:val="00AE64F8"/>
    <w:rsid w:val="00AE6A14"/>
    <w:rsid w:val="00AE7301"/>
    <w:rsid w:val="00AF63E0"/>
    <w:rsid w:val="00AF7678"/>
    <w:rsid w:val="00B02E02"/>
    <w:rsid w:val="00B053C4"/>
    <w:rsid w:val="00B06ED9"/>
    <w:rsid w:val="00B0726F"/>
    <w:rsid w:val="00B11039"/>
    <w:rsid w:val="00B117C7"/>
    <w:rsid w:val="00B145D7"/>
    <w:rsid w:val="00B16F5C"/>
    <w:rsid w:val="00B211F1"/>
    <w:rsid w:val="00B26BAB"/>
    <w:rsid w:val="00B303BA"/>
    <w:rsid w:val="00B322E0"/>
    <w:rsid w:val="00B37572"/>
    <w:rsid w:val="00B405AB"/>
    <w:rsid w:val="00B41BB5"/>
    <w:rsid w:val="00B449CA"/>
    <w:rsid w:val="00B45CF3"/>
    <w:rsid w:val="00B45D6E"/>
    <w:rsid w:val="00B46654"/>
    <w:rsid w:val="00B470DC"/>
    <w:rsid w:val="00B478DD"/>
    <w:rsid w:val="00B50C50"/>
    <w:rsid w:val="00B523B0"/>
    <w:rsid w:val="00B52B41"/>
    <w:rsid w:val="00B52F12"/>
    <w:rsid w:val="00B56AD1"/>
    <w:rsid w:val="00B57E13"/>
    <w:rsid w:val="00B6021E"/>
    <w:rsid w:val="00B61B70"/>
    <w:rsid w:val="00B6373F"/>
    <w:rsid w:val="00B63E4F"/>
    <w:rsid w:val="00B63F3F"/>
    <w:rsid w:val="00B649B0"/>
    <w:rsid w:val="00B65B67"/>
    <w:rsid w:val="00B65F02"/>
    <w:rsid w:val="00B67DEB"/>
    <w:rsid w:val="00B7272F"/>
    <w:rsid w:val="00B8176B"/>
    <w:rsid w:val="00B8183D"/>
    <w:rsid w:val="00B826A5"/>
    <w:rsid w:val="00B87DA5"/>
    <w:rsid w:val="00BA1B7F"/>
    <w:rsid w:val="00BA2DA5"/>
    <w:rsid w:val="00BA3673"/>
    <w:rsid w:val="00BA634F"/>
    <w:rsid w:val="00BA7646"/>
    <w:rsid w:val="00BB0F59"/>
    <w:rsid w:val="00BB2A2B"/>
    <w:rsid w:val="00BB4669"/>
    <w:rsid w:val="00BB4B90"/>
    <w:rsid w:val="00BC5A8F"/>
    <w:rsid w:val="00BC6E88"/>
    <w:rsid w:val="00BD1E2F"/>
    <w:rsid w:val="00BD1E4E"/>
    <w:rsid w:val="00BD3FE7"/>
    <w:rsid w:val="00BD5831"/>
    <w:rsid w:val="00BD75B1"/>
    <w:rsid w:val="00BE0560"/>
    <w:rsid w:val="00BE4D99"/>
    <w:rsid w:val="00BE7196"/>
    <w:rsid w:val="00BE7501"/>
    <w:rsid w:val="00BF1C06"/>
    <w:rsid w:val="00C02B63"/>
    <w:rsid w:val="00C06DD2"/>
    <w:rsid w:val="00C07584"/>
    <w:rsid w:val="00C07B33"/>
    <w:rsid w:val="00C113E3"/>
    <w:rsid w:val="00C1193B"/>
    <w:rsid w:val="00C14707"/>
    <w:rsid w:val="00C25FE8"/>
    <w:rsid w:val="00C26136"/>
    <w:rsid w:val="00C26BB4"/>
    <w:rsid w:val="00C338B1"/>
    <w:rsid w:val="00C34379"/>
    <w:rsid w:val="00C37187"/>
    <w:rsid w:val="00C401B3"/>
    <w:rsid w:val="00C40B97"/>
    <w:rsid w:val="00C41B49"/>
    <w:rsid w:val="00C43305"/>
    <w:rsid w:val="00C443A9"/>
    <w:rsid w:val="00C50D06"/>
    <w:rsid w:val="00C515E5"/>
    <w:rsid w:val="00C67DDF"/>
    <w:rsid w:val="00C70F61"/>
    <w:rsid w:val="00C733C1"/>
    <w:rsid w:val="00C7477E"/>
    <w:rsid w:val="00C755C2"/>
    <w:rsid w:val="00C775C3"/>
    <w:rsid w:val="00C778D2"/>
    <w:rsid w:val="00C8104D"/>
    <w:rsid w:val="00C81CC5"/>
    <w:rsid w:val="00C90F30"/>
    <w:rsid w:val="00C9157B"/>
    <w:rsid w:val="00C92144"/>
    <w:rsid w:val="00C94A5D"/>
    <w:rsid w:val="00CA0BCA"/>
    <w:rsid w:val="00CA1351"/>
    <w:rsid w:val="00CA6367"/>
    <w:rsid w:val="00CA67DE"/>
    <w:rsid w:val="00CB0C3C"/>
    <w:rsid w:val="00CB3798"/>
    <w:rsid w:val="00CB43A0"/>
    <w:rsid w:val="00CB4DE7"/>
    <w:rsid w:val="00CC23EE"/>
    <w:rsid w:val="00CC3014"/>
    <w:rsid w:val="00CC4BE8"/>
    <w:rsid w:val="00CC520D"/>
    <w:rsid w:val="00CC6A67"/>
    <w:rsid w:val="00CD20C4"/>
    <w:rsid w:val="00CD7111"/>
    <w:rsid w:val="00CE2ED9"/>
    <w:rsid w:val="00CE76D9"/>
    <w:rsid w:val="00CF1C2F"/>
    <w:rsid w:val="00CF477F"/>
    <w:rsid w:val="00CF62AA"/>
    <w:rsid w:val="00CF739C"/>
    <w:rsid w:val="00D03B63"/>
    <w:rsid w:val="00D14383"/>
    <w:rsid w:val="00D152DE"/>
    <w:rsid w:val="00D1562A"/>
    <w:rsid w:val="00D15B2D"/>
    <w:rsid w:val="00D341B5"/>
    <w:rsid w:val="00D35A44"/>
    <w:rsid w:val="00D36B53"/>
    <w:rsid w:val="00D375E0"/>
    <w:rsid w:val="00D3789E"/>
    <w:rsid w:val="00D4153B"/>
    <w:rsid w:val="00D51527"/>
    <w:rsid w:val="00D5534A"/>
    <w:rsid w:val="00D571E2"/>
    <w:rsid w:val="00D57DFB"/>
    <w:rsid w:val="00D6191F"/>
    <w:rsid w:val="00D62BEB"/>
    <w:rsid w:val="00D63084"/>
    <w:rsid w:val="00D630BA"/>
    <w:rsid w:val="00D6347F"/>
    <w:rsid w:val="00D66A18"/>
    <w:rsid w:val="00D736AF"/>
    <w:rsid w:val="00D743CC"/>
    <w:rsid w:val="00D75374"/>
    <w:rsid w:val="00D75A37"/>
    <w:rsid w:val="00D77DC0"/>
    <w:rsid w:val="00D81072"/>
    <w:rsid w:val="00D82F57"/>
    <w:rsid w:val="00D904CC"/>
    <w:rsid w:val="00D91863"/>
    <w:rsid w:val="00DA1E2A"/>
    <w:rsid w:val="00DA26BE"/>
    <w:rsid w:val="00DA2C6E"/>
    <w:rsid w:val="00DA3516"/>
    <w:rsid w:val="00DA77F9"/>
    <w:rsid w:val="00DB4D2B"/>
    <w:rsid w:val="00DB7698"/>
    <w:rsid w:val="00DC2A9F"/>
    <w:rsid w:val="00DC46A0"/>
    <w:rsid w:val="00DD0F32"/>
    <w:rsid w:val="00DD5A27"/>
    <w:rsid w:val="00DE287C"/>
    <w:rsid w:val="00DE57FA"/>
    <w:rsid w:val="00DE7670"/>
    <w:rsid w:val="00E00652"/>
    <w:rsid w:val="00E02CAD"/>
    <w:rsid w:val="00E11656"/>
    <w:rsid w:val="00E13028"/>
    <w:rsid w:val="00E15F17"/>
    <w:rsid w:val="00E17DF8"/>
    <w:rsid w:val="00E20980"/>
    <w:rsid w:val="00E2289C"/>
    <w:rsid w:val="00E23260"/>
    <w:rsid w:val="00E23AD7"/>
    <w:rsid w:val="00E2562B"/>
    <w:rsid w:val="00E300CB"/>
    <w:rsid w:val="00E30707"/>
    <w:rsid w:val="00E31CAC"/>
    <w:rsid w:val="00E36A11"/>
    <w:rsid w:val="00E41ED2"/>
    <w:rsid w:val="00E4352A"/>
    <w:rsid w:val="00E506D2"/>
    <w:rsid w:val="00E52E8B"/>
    <w:rsid w:val="00E551D6"/>
    <w:rsid w:val="00E55B47"/>
    <w:rsid w:val="00E56874"/>
    <w:rsid w:val="00E56AB9"/>
    <w:rsid w:val="00E57BF5"/>
    <w:rsid w:val="00E6022C"/>
    <w:rsid w:val="00E63272"/>
    <w:rsid w:val="00E664AC"/>
    <w:rsid w:val="00E67C2D"/>
    <w:rsid w:val="00E72B38"/>
    <w:rsid w:val="00E76BCA"/>
    <w:rsid w:val="00E76E99"/>
    <w:rsid w:val="00E82758"/>
    <w:rsid w:val="00E82C1E"/>
    <w:rsid w:val="00E82FFE"/>
    <w:rsid w:val="00E837FF"/>
    <w:rsid w:val="00E87149"/>
    <w:rsid w:val="00E90E0A"/>
    <w:rsid w:val="00E93D40"/>
    <w:rsid w:val="00E95DCE"/>
    <w:rsid w:val="00E97C36"/>
    <w:rsid w:val="00EA6627"/>
    <w:rsid w:val="00EA728B"/>
    <w:rsid w:val="00EB2A36"/>
    <w:rsid w:val="00EB44E9"/>
    <w:rsid w:val="00EB754D"/>
    <w:rsid w:val="00EC70AE"/>
    <w:rsid w:val="00ED0AEC"/>
    <w:rsid w:val="00ED77BA"/>
    <w:rsid w:val="00EE297C"/>
    <w:rsid w:val="00EE68F6"/>
    <w:rsid w:val="00EE7CDF"/>
    <w:rsid w:val="00EF46EF"/>
    <w:rsid w:val="00EF5454"/>
    <w:rsid w:val="00EF7E66"/>
    <w:rsid w:val="00F0085E"/>
    <w:rsid w:val="00F00F78"/>
    <w:rsid w:val="00F02BC7"/>
    <w:rsid w:val="00F04610"/>
    <w:rsid w:val="00F07081"/>
    <w:rsid w:val="00F21E00"/>
    <w:rsid w:val="00F23053"/>
    <w:rsid w:val="00F235C4"/>
    <w:rsid w:val="00F252B1"/>
    <w:rsid w:val="00F30945"/>
    <w:rsid w:val="00F309CB"/>
    <w:rsid w:val="00F315FE"/>
    <w:rsid w:val="00F31841"/>
    <w:rsid w:val="00F31DF6"/>
    <w:rsid w:val="00F3331D"/>
    <w:rsid w:val="00F442AC"/>
    <w:rsid w:val="00F50A3B"/>
    <w:rsid w:val="00F52224"/>
    <w:rsid w:val="00F53BD4"/>
    <w:rsid w:val="00F540F3"/>
    <w:rsid w:val="00F5782D"/>
    <w:rsid w:val="00F60481"/>
    <w:rsid w:val="00F62F9F"/>
    <w:rsid w:val="00F63348"/>
    <w:rsid w:val="00F72DFF"/>
    <w:rsid w:val="00F733A8"/>
    <w:rsid w:val="00F73996"/>
    <w:rsid w:val="00F76F81"/>
    <w:rsid w:val="00F77AB0"/>
    <w:rsid w:val="00F811B5"/>
    <w:rsid w:val="00F812ED"/>
    <w:rsid w:val="00F814C4"/>
    <w:rsid w:val="00F81959"/>
    <w:rsid w:val="00F835A3"/>
    <w:rsid w:val="00F86198"/>
    <w:rsid w:val="00F8730C"/>
    <w:rsid w:val="00F906B8"/>
    <w:rsid w:val="00F93D01"/>
    <w:rsid w:val="00F94196"/>
    <w:rsid w:val="00F947A0"/>
    <w:rsid w:val="00F9599A"/>
    <w:rsid w:val="00F95AB6"/>
    <w:rsid w:val="00F95D17"/>
    <w:rsid w:val="00FA07A2"/>
    <w:rsid w:val="00FA0DCE"/>
    <w:rsid w:val="00FA3C13"/>
    <w:rsid w:val="00FB1AEA"/>
    <w:rsid w:val="00FB505B"/>
    <w:rsid w:val="00FB50DF"/>
    <w:rsid w:val="00FC0C8C"/>
    <w:rsid w:val="00FC24A8"/>
    <w:rsid w:val="00FC55A9"/>
    <w:rsid w:val="00FC6F9A"/>
    <w:rsid w:val="00FD1806"/>
    <w:rsid w:val="00FD1A25"/>
    <w:rsid w:val="00FD3426"/>
    <w:rsid w:val="00FD3BDF"/>
    <w:rsid w:val="00FD5BB1"/>
    <w:rsid w:val="00FD7E6C"/>
    <w:rsid w:val="00FE0054"/>
    <w:rsid w:val="00FE031C"/>
    <w:rsid w:val="00FE1C96"/>
    <w:rsid w:val="00FE3082"/>
    <w:rsid w:val="00FE7386"/>
    <w:rsid w:val="00FE7ED8"/>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qFormat/>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uiPriority w:val="22"/>
    <w:qFormat/>
    <w:rsid w:val="00A95BEE"/>
    <w:rPr>
      <w:rFonts w:ascii="Roboto Condensed" w:hAnsi="Roboto Condensed"/>
      <w:b w:val="0"/>
      <w:bCs/>
      <w:i w:val="0"/>
      <w:color w:val="ED7D31" w:themeColor="accent2"/>
      <w:sz w:val="20"/>
    </w:r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A95BEE"/>
  </w:style>
  <w:style w:type="character" w:styleId="FollowedHyperlink">
    <w:name w:val="FollowedHyperlink"/>
    <w:basedOn w:val="DefaultParagraphFont"/>
    <w:uiPriority w:val="99"/>
    <w:semiHidden/>
    <w:unhideWhenUsed/>
    <w:rsid w:val="00087806"/>
    <w:rPr>
      <w:color w:val="954F72" w:themeColor="followedHyperlink"/>
      <w:u w:val="single"/>
    </w:rPr>
  </w:style>
  <w:style w:type="character" w:styleId="UnresolvedMention">
    <w:name w:val="Unresolved Mention"/>
    <w:basedOn w:val="DefaultParagraphFont"/>
    <w:uiPriority w:val="99"/>
    <w:semiHidden/>
    <w:unhideWhenUsed/>
    <w:rsid w:val="00C1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mf.org/en/About/Factsheets/Sheets/2022/IMF-Quotas" TargetMode="External"/><Relationship Id="rId2" Type="http://schemas.openxmlformats.org/officeDocument/2006/relationships/hyperlink" Target="https://www.un.org/sites/un2.un.org/files/sotf-pact_for_the_future_adopted.pdf" TargetMode="External"/><Relationship Id="rId1" Type="http://schemas.openxmlformats.org/officeDocument/2006/relationships/hyperlink" Target="http://brics2023.gov.za/wp-content/uploads/2023/08/Jhb-II-Declaration-24-August-2023-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itednations.sharepoint.com/sites/ESCAP-OD-MPFD2/MPFD%20Files/6_SEC/MPAS/Publication%20work/SURVEY/Survey_2024/Chapter_2_Zheng/Figures_(only%20used_in_chapter)_CH2/S24_Fig_2.8-16_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unitednations.sharepoint.com/sites/ESCAP-OD-MPFD2/MPFD%20Files/6_SEC/MPAS/Publication%20work/SURVEY/Survey_2024/Chapter_2_Zheng/Figures_(only%20used_in_chapter)_CH2/S24_Fig_2.8-16_MP.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unitednations-my.sharepoint.com/personal/zhuo_un_org/Documents/Microsoft%20Teams%20Chat%20Files/Chapter%203_IV.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'[S24_Fig_2.8-16_MP.xlsx]Fig_2.10_tax_rev_by_source'!$D$1</c:f>
              <c:strCache>
                <c:ptCount val="1"/>
                <c:pt idx="0">
                  <c:v>Personal income taxes</c:v>
                </c:pt>
              </c:strCache>
            </c:strRef>
          </c:tx>
          <c:spPr>
            <a:solidFill>
              <a:schemeClr val="accent1">
                <a:lumMod val="75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'[S24_Fig_2.8-16_MP.xlsx]Fig_2.10_tax_rev_by_source'!$D$2:$D$46</c:f>
              <c:numCache>
                <c:formatCode>General</c:formatCode>
                <c:ptCount val="45"/>
                <c:pt idx="3" formatCode="0.00">
                  <c:v>0.95602358640407847</c:v>
                </c:pt>
                <c:pt idx="4" formatCode="0.00">
                  <c:v>1.7500310960113716</c:v>
                </c:pt>
                <c:pt idx="5" formatCode="0.00">
                  <c:v>2.6376509004557351</c:v>
                </c:pt>
                <c:pt idx="6" formatCode="0.00">
                  <c:v>1.819864759024646</c:v>
                </c:pt>
                <c:pt idx="7" formatCode="0.00">
                  <c:v>1.2269596389038779</c:v>
                </c:pt>
                <c:pt idx="8" formatCode="0.00">
                  <c:v>1.4366099834442139</c:v>
                </c:pt>
                <c:pt idx="9" formatCode="0.00">
                  <c:v>0.96795457601547241</c:v>
                </c:pt>
                <c:pt idx="10" formatCode="0.00">
                  <c:v>2.2805329949113711</c:v>
                </c:pt>
                <c:pt idx="11" formatCode="0.00">
                  <c:v>0</c:v>
                </c:pt>
                <c:pt idx="12" formatCode="0.00">
                  <c:v>1.3166382312774658</c:v>
                </c:pt>
                <c:pt idx="13" formatCode="0.00">
                  <c:v>2.3530226945877075</c:v>
                </c:pt>
                <c:pt idx="14" formatCode="0.00">
                  <c:v>2.5145220756530762</c:v>
                </c:pt>
                <c:pt idx="15" formatCode="0.00">
                  <c:v>2.5642740726470947</c:v>
                </c:pt>
                <c:pt idx="16" formatCode="0.00">
                  <c:v>0.89391831652882481</c:v>
                </c:pt>
                <c:pt idx="17" formatCode="0.00">
                  <c:v>6.2745873771381708</c:v>
                </c:pt>
                <c:pt idx="18" formatCode="0.00">
                  <c:v>6.0809016227722168</c:v>
                </c:pt>
                <c:pt idx="19" formatCode="0.00">
                  <c:v>3.5914813376042529</c:v>
                </c:pt>
                <c:pt idx="20" formatCode="0.00">
                  <c:v>1.2604982555609858</c:v>
                </c:pt>
                <c:pt idx="21" formatCode="0.00">
                  <c:v>4.2920170303946019</c:v>
                </c:pt>
                <c:pt idx="24" formatCode="0.00">
                  <c:v>1.3138879537582397</c:v>
                </c:pt>
                <c:pt idx="25" formatCode="0.00">
                  <c:v>7.3919147253036499</c:v>
                </c:pt>
                <c:pt idx="26" formatCode="0.00">
                  <c:v>4.921802818775177</c:v>
                </c:pt>
                <c:pt idx="27" formatCode="0.00">
                  <c:v>3.1878161430358887</c:v>
                </c:pt>
                <c:pt idx="28" formatCode="0.00">
                  <c:v>1.771622896194458</c:v>
                </c:pt>
                <c:pt idx="29" formatCode="0.00">
                  <c:v>3.3876667871479107</c:v>
                </c:pt>
                <c:pt idx="30" formatCode="0.00">
                  <c:v>4.9707584381103516</c:v>
                </c:pt>
                <c:pt idx="32" formatCode="0.00">
                  <c:v>0.12531967401609759</c:v>
                </c:pt>
                <c:pt idx="33" formatCode="0.00">
                  <c:v>0.95091605186462402</c:v>
                </c:pt>
                <c:pt idx="36" formatCode="0.00">
                  <c:v>1.284241795539856</c:v>
                </c:pt>
                <c:pt idx="37" formatCode="0.00">
                  <c:v>3.2282680096403502</c:v>
                </c:pt>
                <c:pt idx="38" formatCode="0.00">
                  <c:v>2.7426331043243408</c:v>
                </c:pt>
                <c:pt idx="39" formatCode="0.00">
                  <c:v>2.0988691786111602</c:v>
                </c:pt>
                <c:pt idx="40" formatCode="0.00">
                  <c:v>0</c:v>
                </c:pt>
                <c:pt idx="42" formatCode="0.00">
                  <c:v>2.6123924255371094</c:v>
                </c:pt>
                <c:pt idx="43" formatCode="0.00">
                  <c:v>2.9196679592132568</c:v>
                </c:pt>
                <c:pt idx="44" formatCode="0.00">
                  <c:v>8.5916461944580078</c:v>
                </c:pt>
              </c:numCache>
            </c:numRef>
          </c:val>
          <c:extLst>
            <c:ext xmlns:c16="http://schemas.microsoft.com/office/drawing/2014/chart" uri="{C3380CC4-5D6E-409C-BE32-E72D297353CC}">
              <c16:uniqueId val="{00000000-B62C-4E00-9529-0BB04B2F1660}"/>
            </c:ext>
          </c:extLst>
        </c:ser>
        <c:ser>
          <c:idx val="2"/>
          <c:order val="2"/>
          <c:tx>
            <c:strRef>
              <c:f>'[S24_Fig_2.8-16_MP.xlsx]Fig_2.10_tax_rev_by_source'!$E$1</c:f>
              <c:strCache>
                <c:ptCount val="1"/>
                <c:pt idx="0">
                  <c:v>Corporate income taxes</c:v>
                </c:pt>
              </c:strCache>
            </c:strRef>
          </c:tx>
          <c:spPr>
            <a:solidFill>
              <a:schemeClr val="accent1">
                <a:lumMod val="60000"/>
                <a:lumOff val="4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'[S24_Fig_2.8-16_MP.xlsx]Fig_2.10_tax_rev_by_source'!$E$2:$E$46</c:f>
              <c:numCache>
                <c:formatCode>General</c:formatCode>
                <c:ptCount val="45"/>
                <c:pt idx="3" formatCode="0.00">
                  <c:v>3.1491595642838224</c:v>
                </c:pt>
                <c:pt idx="4" formatCode="0.00">
                  <c:v>5.9126630658689283</c:v>
                </c:pt>
                <c:pt idx="5" formatCode="0.00">
                  <c:v>2.4285046838601256</c:v>
                </c:pt>
                <c:pt idx="6" formatCode="0.00">
                  <c:v>3.8735245386171155</c:v>
                </c:pt>
                <c:pt idx="7" formatCode="0.00">
                  <c:v>3.6709167957305908</c:v>
                </c:pt>
                <c:pt idx="8" formatCode="0.00">
                  <c:v>3.655630350112915</c:v>
                </c:pt>
                <c:pt idx="9" formatCode="0.00">
                  <c:v>4.4634599685668945</c:v>
                </c:pt>
                <c:pt idx="10" formatCode="0.00">
                  <c:v>4.2305094998038282</c:v>
                </c:pt>
                <c:pt idx="12" formatCode="0.00">
                  <c:v>3.1899347305297852</c:v>
                </c:pt>
                <c:pt idx="13" formatCode="0.00">
                  <c:v>4.5704913139343262</c:v>
                </c:pt>
                <c:pt idx="14" formatCode="0.00">
                  <c:v>2.7608025074005127</c:v>
                </c:pt>
                <c:pt idx="15" formatCode="0.00">
                  <c:v>5.4173750877380371</c:v>
                </c:pt>
                <c:pt idx="16" formatCode="0.00">
                  <c:v>2.8171572852688973</c:v>
                </c:pt>
                <c:pt idx="17" formatCode="0.00">
                  <c:v>1.6872602502352825</c:v>
                </c:pt>
                <c:pt idx="18" formatCode="0.00">
                  <c:v>2.2594490051269531</c:v>
                </c:pt>
                <c:pt idx="19" formatCode="0.00">
                  <c:v>4.5982442034435858</c:v>
                </c:pt>
                <c:pt idx="20" formatCode="0.00">
                  <c:v>2.4138646991575268</c:v>
                </c:pt>
                <c:pt idx="21" formatCode="0.00">
                  <c:v>2.4797815798052811</c:v>
                </c:pt>
                <c:pt idx="24" formatCode="0.00">
                  <c:v>2.1900384426116943</c:v>
                </c:pt>
                <c:pt idx="27" formatCode="0.00">
                  <c:v>4.0908718109130859</c:v>
                </c:pt>
                <c:pt idx="28" formatCode="0.00">
                  <c:v>2.9143996238708496</c:v>
                </c:pt>
                <c:pt idx="29" formatCode="0.00">
                  <c:v>2.9827426955853045</c:v>
                </c:pt>
                <c:pt idx="30" formatCode="0.00">
                  <c:v>4.6023926734924316</c:v>
                </c:pt>
                <c:pt idx="32" formatCode="0.00">
                  <c:v>1.5114172336519609</c:v>
                </c:pt>
                <c:pt idx="33" formatCode="0.00">
                  <c:v>1.9330888986587524</c:v>
                </c:pt>
                <c:pt idx="36" formatCode="0.00">
                  <c:v>4.8497991561889648</c:v>
                </c:pt>
                <c:pt idx="37" formatCode="0.00">
                  <c:v>2.8319966553605092</c:v>
                </c:pt>
                <c:pt idx="38" formatCode="0.00">
                  <c:v>3.2879829406738281</c:v>
                </c:pt>
                <c:pt idx="39" formatCode="0.00">
                  <c:v>2.4303103343830275</c:v>
                </c:pt>
                <c:pt idx="40" formatCode="0.00">
                  <c:v>3.4156811237335205</c:v>
                </c:pt>
                <c:pt idx="42" formatCode="0.00">
                  <c:v>3.2415590286254883</c:v>
                </c:pt>
                <c:pt idx="43" formatCode="0.00">
                  <c:v>3.1417272090911865</c:v>
                </c:pt>
                <c:pt idx="44" formatCode="0.00">
                  <c:v>3.0766594409942627</c:v>
                </c:pt>
              </c:numCache>
            </c:numRef>
          </c:val>
          <c:extLst>
            <c:ext xmlns:c16="http://schemas.microsoft.com/office/drawing/2014/chart" uri="{C3380CC4-5D6E-409C-BE32-E72D297353CC}">
              <c16:uniqueId val="{00000001-B62C-4E00-9529-0BB04B2F1660}"/>
            </c:ext>
          </c:extLst>
        </c:ser>
        <c:ser>
          <c:idx val="3"/>
          <c:order val="3"/>
          <c:tx>
            <c:strRef>
              <c:f>'[S24_Fig_2.8-16_MP.xlsx]Fig_2.10_tax_rev_by_source'!$F$1</c:f>
              <c:strCache>
                <c:ptCount val="1"/>
                <c:pt idx="0">
                  <c:v>Property and wealth taxes</c:v>
                </c:pt>
              </c:strCache>
            </c:strRef>
          </c:tx>
          <c:spPr>
            <a:solidFill>
              <a:schemeClr val="accent1">
                <a:lumMod val="20000"/>
                <a:lumOff val="8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'[S24_Fig_2.8-16_MP.xlsx]Fig_2.10_tax_rev_by_source'!$F$2:$F$46</c:f>
              <c:numCache>
                <c:formatCode>General</c:formatCode>
                <c:ptCount val="45"/>
                <c:pt idx="2" formatCode="0.00">
                  <c:v>9.3547165393829346E-2</c:v>
                </c:pt>
                <c:pt idx="3" formatCode="0.00">
                  <c:v>0.38489170379562665</c:v>
                </c:pt>
                <c:pt idx="6" formatCode="0.00">
                  <c:v>3.5315843942508217E-2</c:v>
                </c:pt>
                <c:pt idx="7" formatCode="0.00">
                  <c:v>1.2561012506484985</c:v>
                </c:pt>
                <c:pt idx="8" formatCode="0.00">
                  <c:v>2.0457832813262939</c:v>
                </c:pt>
                <c:pt idx="12" formatCode="0.00">
                  <c:v>0.29701358438369518</c:v>
                </c:pt>
                <c:pt idx="13" formatCode="0.00">
                  <c:v>0.41416725516319275</c:v>
                </c:pt>
                <c:pt idx="14" formatCode="0.00">
                  <c:v>0.48147884011268616</c:v>
                </c:pt>
                <c:pt idx="15" formatCode="0.00">
                  <c:v>0.88567894697189331</c:v>
                </c:pt>
                <c:pt idx="16" formatCode="0.00">
                  <c:v>0.4260195791721344</c:v>
                </c:pt>
                <c:pt idx="17" formatCode="0.00">
                  <c:v>0.84869873067995738</c:v>
                </c:pt>
                <c:pt idx="18" formatCode="0.00">
                  <c:v>0.43278855320916426</c:v>
                </c:pt>
                <c:pt idx="19" formatCode="0.00">
                  <c:v>0.9312583029228293</c:v>
                </c:pt>
                <c:pt idx="22" formatCode="0.00">
                  <c:v>0.48715394735336304</c:v>
                </c:pt>
                <c:pt idx="24" formatCode="0.00">
                  <c:v>0</c:v>
                </c:pt>
                <c:pt idx="25" formatCode="0.00">
                  <c:v>0.17983219027519226</c:v>
                </c:pt>
                <c:pt idx="27" formatCode="0.00">
                  <c:v>0.33330830931663513</c:v>
                </c:pt>
                <c:pt idx="28" formatCode="0.00">
                  <c:v>3.3061526715755463E-2</c:v>
                </c:pt>
                <c:pt idx="29" formatCode="0.00">
                  <c:v>0</c:v>
                </c:pt>
                <c:pt idx="30" formatCode="0.00">
                  <c:v>0</c:v>
                </c:pt>
                <c:pt idx="33" formatCode="0.00">
                  <c:v>3.027956560254097E-2</c:v>
                </c:pt>
                <c:pt idx="36" formatCode="0.00">
                  <c:v>2.7560689486563206E-3</c:v>
                </c:pt>
                <c:pt idx="37" formatCode="0.00">
                  <c:v>0.90739881975400216</c:v>
                </c:pt>
                <c:pt idx="38" formatCode="0.00">
                  <c:v>4.7651927161496133E-5</c:v>
                </c:pt>
                <c:pt idx="42" formatCode="0.00">
                  <c:v>0.37095227837562561</c:v>
                </c:pt>
                <c:pt idx="43" formatCode="0.00">
                  <c:v>0.49106025695800781</c:v>
                </c:pt>
                <c:pt idx="44" formatCode="0.00">
                  <c:v>1.8497036695480347</c:v>
                </c:pt>
              </c:numCache>
            </c:numRef>
          </c:val>
          <c:extLst>
            <c:ext xmlns:c16="http://schemas.microsoft.com/office/drawing/2014/chart" uri="{C3380CC4-5D6E-409C-BE32-E72D297353CC}">
              <c16:uniqueId val="{00000002-B62C-4E00-9529-0BB04B2F1660}"/>
            </c:ext>
          </c:extLst>
        </c:ser>
        <c:ser>
          <c:idx val="4"/>
          <c:order val="4"/>
          <c:tx>
            <c:strRef>
              <c:f>'[S24_Fig_2.8-16_MP.xlsx]Fig_2.10_tax_rev_by_source'!$G$1</c:f>
              <c:strCache>
                <c:ptCount val="1"/>
                <c:pt idx="0">
                  <c:v>Goods and services taxes</c:v>
                </c:pt>
              </c:strCache>
            </c:strRef>
          </c:tx>
          <c:spPr>
            <a:solidFill>
              <a:schemeClr val="accent2"/>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'[S24_Fig_2.8-16_MP.xlsx]Fig_2.10_tax_rev_by_source'!$G$2:$G$46</c:f>
              <c:numCache>
                <c:formatCode>General</c:formatCode>
                <c:ptCount val="45"/>
                <c:pt idx="2" formatCode="0.00">
                  <c:v>7.3920526504516602</c:v>
                </c:pt>
                <c:pt idx="3" formatCode="0.00">
                  <c:v>5.7645446178291877</c:v>
                </c:pt>
                <c:pt idx="4" formatCode="0.00">
                  <c:v>2.9256446959704951</c:v>
                </c:pt>
                <c:pt idx="5" formatCode="0.00">
                  <c:v>4.391165377832543</c:v>
                </c:pt>
                <c:pt idx="6" formatCode="0.00">
                  <c:v>9.1036411297983211</c:v>
                </c:pt>
                <c:pt idx="7" formatCode="0.00">
                  <c:v>9.6425380706787109</c:v>
                </c:pt>
                <c:pt idx="8" formatCode="0.00">
                  <c:v>7.9077887535095215</c:v>
                </c:pt>
                <c:pt idx="9" formatCode="0.00">
                  <c:v>9.1631399357508077</c:v>
                </c:pt>
                <c:pt idx="10" formatCode="0.00">
                  <c:v>10.311366817912923</c:v>
                </c:pt>
                <c:pt idx="12" formatCode="0.00">
                  <c:v>7.3503866195678711</c:v>
                </c:pt>
                <c:pt idx="13" formatCode="0.00">
                  <c:v>4.1938457489013672</c:v>
                </c:pt>
                <c:pt idx="14" formatCode="0.00">
                  <c:v>9.6471052169799805</c:v>
                </c:pt>
                <c:pt idx="15" formatCode="0.00">
                  <c:v>9.2382564544677734</c:v>
                </c:pt>
                <c:pt idx="16" formatCode="0.00">
                  <c:v>10.696016708799331</c:v>
                </c:pt>
                <c:pt idx="17" formatCode="0.00">
                  <c:v>13.364139757378931</c:v>
                </c:pt>
                <c:pt idx="18" formatCode="0.00">
                  <c:v>12.497016906738281</c:v>
                </c:pt>
                <c:pt idx="19" formatCode="0.00">
                  <c:v>9.3770961410675095</c:v>
                </c:pt>
                <c:pt idx="20" formatCode="0.00">
                  <c:v>1.143096681303903</c:v>
                </c:pt>
                <c:pt idx="21" formatCode="0.00">
                  <c:v>3.7694389060627262</c:v>
                </c:pt>
                <c:pt idx="22" formatCode="0.00">
                  <c:v>10.910183906555176</c:v>
                </c:pt>
                <c:pt idx="24" formatCode="0.00">
                  <c:v>7.7462663650512695</c:v>
                </c:pt>
                <c:pt idx="25" formatCode="0.00">
                  <c:v>6.1356520652770996</c:v>
                </c:pt>
                <c:pt idx="26" formatCode="0.00">
                  <c:v>7.0413289070129395</c:v>
                </c:pt>
                <c:pt idx="27" formatCode="0.00">
                  <c:v>4.7982168197631836</c:v>
                </c:pt>
                <c:pt idx="28" formatCode="0.00">
                  <c:v>14.354223251342773</c:v>
                </c:pt>
                <c:pt idx="29" formatCode="0.00">
                  <c:v>17.060928583088049</c:v>
                </c:pt>
                <c:pt idx="30" formatCode="0.00">
                  <c:v>17.516706466674805</c:v>
                </c:pt>
                <c:pt idx="32" formatCode="0.00">
                  <c:v>3.8467513456227285</c:v>
                </c:pt>
                <c:pt idx="33" formatCode="0.00">
                  <c:v>4.838315486907959</c:v>
                </c:pt>
                <c:pt idx="36" formatCode="0.00">
                  <c:v>5.5142474174499512</c:v>
                </c:pt>
                <c:pt idx="37" formatCode="0.00">
                  <c:v>9.2356211604955689</c:v>
                </c:pt>
                <c:pt idx="38" formatCode="0.00">
                  <c:v>5.3992018699645996</c:v>
                </c:pt>
                <c:pt idx="39" formatCode="0.00">
                  <c:v>8.2151682447755476</c:v>
                </c:pt>
                <c:pt idx="40" formatCode="0.00">
                  <c:v>11.399352073669434</c:v>
                </c:pt>
                <c:pt idx="42" formatCode="0.00">
                  <c:v>7.6487631797790527</c:v>
                </c:pt>
                <c:pt idx="43" formatCode="0.00">
                  <c:v>8.6011724472045898</c:v>
                </c:pt>
                <c:pt idx="44" formatCode="0.00">
                  <c:v>10.760390281677246</c:v>
                </c:pt>
              </c:numCache>
            </c:numRef>
          </c:val>
          <c:extLst>
            <c:ext xmlns:c16="http://schemas.microsoft.com/office/drawing/2014/chart" uri="{C3380CC4-5D6E-409C-BE32-E72D297353CC}">
              <c16:uniqueId val="{00000003-B62C-4E00-9529-0BB04B2F1660}"/>
            </c:ext>
          </c:extLst>
        </c:ser>
        <c:ser>
          <c:idx val="5"/>
          <c:order val="5"/>
          <c:tx>
            <c:strRef>
              <c:f>'[S24_Fig_2.8-16_MP.xlsx]Fig_2.10_tax_rev_by_source'!$H$1</c:f>
              <c:strCache>
                <c:ptCount val="1"/>
                <c:pt idx="0">
                  <c:v>Trade taxes</c:v>
                </c:pt>
              </c:strCache>
            </c:strRef>
          </c:tx>
          <c:spPr>
            <a:solidFill>
              <a:schemeClr val="accent2">
                <a:lumMod val="40000"/>
                <a:lumOff val="6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'[S24_Fig_2.8-16_MP.xlsx]Fig_2.10_tax_rev_by_source'!$H$2:$H$46</c:f>
              <c:numCache>
                <c:formatCode>General</c:formatCode>
                <c:ptCount val="45"/>
                <c:pt idx="2" formatCode="0.00">
                  <c:v>0.66634529829025269</c:v>
                </c:pt>
                <c:pt idx="3" formatCode="0.00">
                  <c:v>0.43025426160055114</c:v>
                </c:pt>
                <c:pt idx="4" formatCode="0.00">
                  <c:v>0.30424354129115017</c:v>
                </c:pt>
                <c:pt idx="5" formatCode="0.00">
                  <c:v>3.3179302170845313</c:v>
                </c:pt>
                <c:pt idx="6" formatCode="0.00">
                  <c:v>0.57307199596405134</c:v>
                </c:pt>
                <c:pt idx="7" formatCode="0.00">
                  <c:v>0.24988269805908203</c:v>
                </c:pt>
                <c:pt idx="8" formatCode="0.00">
                  <c:v>1.2729582786560059</c:v>
                </c:pt>
                <c:pt idx="9" formatCode="0.00">
                  <c:v>1.949238677503919</c:v>
                </c:pt>
                <c:pt idx="10" formatCode="0.00">
                  <c:v>2.1983908908531236</c:v>
                </c:pt>
                <c:pt idx="12" formatCode="0.00">
                  <c:v>1.4752680186968095</c:v>
                </c:pt>
                <c:pt idx="13" formatCode="0.00">
                  <c:v>2.2465325063891877</c:v>
                </c:pt>
                <c:pt idx="14" formatCode="0.00">
                  <c:v>0.89782810211181641</c:v>
                </c:pt>
                <c:pt idx="15" formatCode="0.00">
                  <c:v>0.72729843854904175</c:v>
                </c:pt>
                <c:pt idx="16" formatCode="0.00">
                  <c:v>3.4460609027902951</c:v>
                </c:pt>
                <c:pt idx="17" formatCode="0.00">
                  <c:v>0.14358248420222403</c:v>
                </c:pt>
                <c:pt idx="18" formatCode="0.00">
                  <c:v>1.2149562835693359</c:v>
                </c:pt>
                <c:pt idx="19" formatCode="0.00">
                  <c:v>2.645299758257615</c:v>
                </c:pt>
                <c:pt idx="20" formatCode="0.00">
                  <c:v>1.5109011000195485</c:v>
                </c:pt>
                <c:pt idx="21" formatCode="0.00">
                  <c:v>0.82379333966482282</c:v>
                </c:pt>
                <c:pt idx="22" formatCode="0.00">
                  <c:v>3.0868156169446848</c:v>
                </c:pt>
                <c:pt idx="24" formatCode="0.00">
                  <c:v>3.1822218894958496</c:v>
                </c:pt>
                <c:pt idx="25" formatCode="0.00">
                  <c:v>3.9580168724060059</c:v>
                </c:pt>
                <c:pt idx="26" formatCode="0.00">
                  <c:v>6.1416401863098145</c:v>
                </c:pt>
                <c:pt idx="27" formatCode="0.00">
                  <c:v>8.6413202285766602</c:v>
                </c:pt>
                <c:pt idx="28" formatCode="0.00">
                  <c:v>2.2345836162567139</c:v>
                </c:pt>
                <c:pt idx="29" formatCode="0.00">
                  <c:v>2.9542987469328681</c:v>
                </c:pt>
                <c:pt idx="30" formatCode="0.00">
                  <c:v>3.418931245803833</c:v>
                </c:pt>
                <c:pt idx="32" formatCode="0.00">
                  <c:v>2.1104533400793315</c:v>
                </c:pt>
                <c:pt idx="33" formatCode="0.00">
                  <c:v>1.043192982673645</c:v>
                </c:pt>
                <c:pt idx="36" formatCode="0.00">
                  <c:v>0.88367444276809692</c:v>
                </c:pt>
                <c:pt idx="37" formatCode="0.00">
                  <c:v>0.48437929713633904</c:v>
                </c:pt>
                <c:pt idx="38" formatCode="0.00">
                  <c:v>0.59564906358718872</c:v>
                </c:pt>
                <c:pt idx="39" formatCode="0.00">
                  <c:v>4.1559714523317997</c:v>
                </c:pt>
                <c:pt idx="40" formatCode="0.00">
                  <c:v>4.7721123695373535</c:v>
                </c:pt>
                <c:pt idx="42" formatCode="0.00">
                  <c:v>1.784521222114563</c:v>
                </c:pt>
                <c:pt idx="43" formatCode="0.00">
                  <c:v>1.71343994140625</c:v>
                </c:pt>
                <c:pt idx="44" formatCode="0.00">
                  <c:v>0.27271172404289246</c:v>
                </c:pt>
              </c:numCache>
            </c:numRef>
          </c:val>
          <c:extLst>
            <c:ext xmlns:c16="http://schemas.microsoft.com/office/drawing/2014/chart" uri="{C3380CC4-5D6E-409C-BE32-E72D297353CC}">
              <c16:uniqueId val="{00000004-B62C-4E00-9529-0BB04B2F1660}"/>
            </c:ext>
          </c:extLst>
        </c:ser>
        <c:ser>
          <c:idx val="6"/>
          <c:order val="6"/>
          <c:tx>
            <c:strRef>
              <c:f>'[S24_Fig_2.8-16_MP.xlsx]Fig_2.10_tax_rev_by_source'!$I$1</c:f>
              <c:strCache>
                <c:ptCount val="1"/>
                <c:pt idx="0">
                  <c:v>Residual</c:v>
                </c:pt>
              </c:strCache>
            </c:strRef>
          </c:tx>
          <c:spPr>
            <a:solidFill>
              <a:schemeClr val="bg2">
                <a:lumMod val="90000"/>
              </a:schemeClr>
            </a:solidFill>
            <a:ln>
              <a:noFill/>
            </a:ln>
            <a:effectLst/>
          </c:spPr>
          <c:invertIfNegative val="0"/>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'[S24_Fig_2.8-16_MP.xlsx]Fig_2.10_tax_rev_by_source'!$I$2:$I$46</c:f>
              <c:numCache>
                <c:formatCode>0.00</c:formatCode>
                <c:ptCount val="45"/>
                <c:pt idx="0">
                  <c:v>6.5664219856262207</c:v>
                </c:pt>
                <c:pt idx="1">
                  <c:v>8.7350890610346354</c:v>
                </c:pt>
                <c:pt idx="2">
                  <c:v>2.3368330001831055</c:v>
                </c:pt>
                <c:pt idx="3">
                  <c:v>4.3767776096498512E-2</c:v>
                </c:pt>
                <c:pt idx="4">
                  <c:v>0.34453212501084751</c:v>
                </c:pt>
                <c:pt idx="5">
                  <c:v>2.5634915533413727</c:v>
                </c:pt>
                <c:pt idx="6">
                  <c:v>0.10739551192047259</c:v>
                </c:pt>
                <c:pt idx="7">
                  <c:v>0.24381799190209108</c:v>
                </c:pt>
                <c:pt idx="8">
                  <c:v>7.152557373046875E-7</c:v>
                </c:pt>
                <c:pt idx="9">
                  <c:v>-3.9408315046784992E-6</c:v>
                </c:pt>
                <c:pt idx="10">
                  <c:v>0.48441397594231805</c:v>
                </c:pt>
                <c:pt idx="11">
                  <c:v>8.0649557113647461</c:v>
                </c:pt>
                <c:pt idx="12">
                  <c:v>-1.947705678961853E-7</c:v>
                </c:pt>
                <c:pt idx="13">
                  <c:v>0.70741349875433368</c:v>
                </c:pt>
                <c:pt idx="14">
                  <c:v>0.24756631255149841</c:v>
                </c:pt>
                <c:pt idx="15">
                  <c:v>-1.0728836059570313E-6</c:v>
                </c:pt>
                <c:pt idx="16">
                  <c:v>2.293574265631614</c:v>
                </c:pt>
                <c:pt idx="17">
                  <c:v>0.1990745609402213</c:v>
                </c:pt>
                <c:pt idx="18">
                  <c:v>5.4901895551822122E-2</c:v>
                </c:pt>
                <c:pt idx="19">
                  <c:v>6.1222354587677099</c:v>
                </c:pt>
                <c:pt idx="20">
                  <c:v>6.5283648415415785E-2</c:v>
                </c:pt>
                <c:pt idx="21">
                  <c:v>0.65636567726962702</c:v>
                </c:pt>
                <c:pt idx="22">
                  <c:v>-5.3140653330428389E-2</c:v>
                </c:pt>
                <c:pt idx="23">
                  <c:v>15.297640800476074</c:v>
                </c:pt>
                <c:pt idx="24">
                  <c:v>1.4743446111679077</c:v>
                </c:pt>
                <c:pt idx="25">
                  <c:v>5.3822427988052368E-2</c:v>
                </c:pt>
                <c:pt idx="26">
                  <c:v>0.13359135389328003</c:v>
                </c:pt>
                <c:pt idx="27">
                  <c:v>-5.6624412536621094E-7</c:v>
                </c:pt>
                <c:pt idx="28">
                  <c:v>-2.0984715703157519E-2</c:v>
                </c:pt>
                <c:pt idx="29">
                  <c:v>-1.5417745497047441E-2</c:v>
                </c:pt>
                <c:pt idx="30">
                  <c:v>2.384185791015625E-7</c:v>
                </c:pt>
                <c:pt idx="31">
                  <c:v>48.378365865383728</c:v>
                </c:pt>
                <c:pt idx="32">
                  <c:v>0.17042448244346042</c:v>
                </c:pt>
                <c:pt idx="33">
                  <c:v>0.11278779432177544</c:v>
                </c:pt>
                <c:pt idx="34">
                  <c:v>8.9858825829732005</c:v>
                </c:pt>
                <c:pt idx="35">
                  <c:v>11.426189422607422</c:v>
                </c:pt>
                <c:pt idx="36">
                  <c:v>7.3200366459786892E-3</c:v>
                </c:pt>
                <c:pt idx="37">
                  <c:v>0.38860400142010237</c:v>
                </c:pt>
                <c:pt idx="38">
                  <c:v>5.388153048355889</c:v>
                </c:pt>
                <c:pt idx="39">
                  <c:v>0.77443179342805735</c:v>
                </c:pt>
                <c:pt idx="40">
                  <c:v>-7.152557373046875E-7</c:v>
                </c:pt>
                <c:pt idx="42">
                  <c:v>6.4294338226318359E-2</c:v>
                </c:pt>
                <c:pt idx="43">
                  <c:v>0.45806172490119934</c:v>
                </c:pt>
                <c:pt idx="44">
                  <c:v>0.10251462459564209</c:v>
                </c:pt>
              </c:numCache>
            </c:numRef>
          </c:val>
          <c:extLst>
            <c:ext xmlns:c16="http://schemas.microsoft.com/office/drawing/2014/chart" uri="{C3380CC4-5D6E-409C-BE32-E72D297353CC}">
              <c16:uniqueId val="{00000005-B62C-4E00-9529-0BB04B2F1660}"/>
            </c:ext>
          </c:extLst>
        </c:ser>
        <c:dLbls>
          <c:showLegendKey val="0"/>
          <c:showVal val="0"/>
          <c:showCatName val="0"/>
          <c:showSerName val="0"/>
          <c:showPercent val="0"/>
          <c:showBubbleSize val="0"/>
        </c:dLbls>
        <c:gapWidth val="195"/>
        <c:overlap val="100"/>
        <c:axId val="396248335"/>
        <c:axId val="500284255"/>
        <c:extLst>
          <c:ext xmlns:c15="http://schemas.microsoft.com/office/drawing/2012/chart" uri="{02D57815-91ED-43cb-92C2-25804820EDAC}">
            <c15:filteredBarSeries>
              <c15:ser>
                <c:idx val="0"/>
                <c:order val="0"/>
                <c:tx>
                  <c:strRef>
                    <c:extLst>
                      <c:ext uri="{02D57815-91ED-43cb-92C2-25804820EDAC}">
                        <c15:formulaRef>
                          <c15:sqref>'[S24_Fig_2.8-16_MP.xlsx]Fig_2.10_tax_rev_by_source'!$C$1</c15:sqref>
                        </c15:formulaRef>
                      </c:ext>
                    </c:extLst>
                    <c:strCache>
                      <c:ptCount val="1"/>
                      <c:pt idx="0">
                        <c:v>Total tax revenue</c:v>
                      </c:pt>
                    </c:strCache>
                  </c:strRef>
                </c:tx>
                <c:spPr>
                  <a:solidFill>
                    <a:schemeClr val="accent1"/>
                  </a:solidFill>
                  <a:ln>
                    <a:noFill/>
                  </a:ln>
                  <a:effectLst/>
                </c:spPr>
                <c:invertIfNegative val="0"/>
                <c:cat>
                  <c:multiLvlStrRef>
                    <c:extLst>
                      <c:ext uri="{02D57815-91ED-43cb-92C2-25804820EDAC}">
                        <c15:formulaRef>
                          <c15:sqref>'[S24_Fig_2.8-16_MP.xlsx]Fig_2.10_tax_rev_by_source'!$A$2:$B$46</c15:sqref>
                        </c15:formulaRef>
                      </c:ext>
                    </c:extLst>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extLst>
                      <c:ext uri="{02D57815-91ED-43cb-92C2-25804820EDAC}">
                        <c15:formulaRef>
                          <c15:sqref>'[S24_Fig_2.8-16_MP.xlsx]Fig_2.10_tax_rev_by_source'!$C$2:$C$46</c15:sqref>
                        </c15:formulaRef>
                      </c:ext>
                    </c:extLst>
                    <c:numCache>
                      <c:formatCode>0.00</c:formatCode>
                      <c:ptCount val="45"/>
                      <c:pt idx="0">
                        <c:v>6.5664219856262207</c:v>
                      </c:pt>
                      <c:pt idx="1">
                        <c:v>8.7350890610346354</c:v>
                      </c:pt>
                      <c:pt idx="2">
                        <c:v>10.488778114318848</c:v>
                      </c:pt>
                      <c:pt idx="3">
                        <c:v>10.728641510009766</c:v>
                      </c:pt>
                      <c:pt idx="4">
                        <c:v>11.237114524152792</c:v>
                      </c:pt>
                      <c:pt idx="5">
                        <c:v>15.338742732574309</c:v>
                      </c:pt>
                      <c:pt idx="6">
                        <c:v>15.512813779267114</c:v>
                      </c:pt>
                      <c:pt idx="7">
                        <c:v>16.290216445922852</c:v>
                      </c:pt>
                      <c:pt idx="8">
                        <c:v>16.318771362304688</c:v>
                      </c:pt>
                      <c:pt idx="9">
                        <c:v>16.543789217005589</c:v>
                      </c:pt>
                      <c:pt idx="10">
                        <c:v>19.505214179423565</c:v>
                      </c:pt>
                      <c:pt idx="11">
                        <c:v>8.0649557113647461</c:v>
                      </c:pt>
                      <c:pt idx="12">
                        <c:v>13.629240989685059</c:v>
                      </c:pt>
                      <c:pt idx="13">
                        <c:v>14.485473017730115</c:v>
                      </c:pt>
                      <c:pt idx="14">
                        <c:v>16.54930305480957</c:v>
                      </c:pt>
                      <c:pt idx="15">
                        <c:v>18.832881927490234</c:v>
                      </c:pt>
                      <c:pt idx="16">
                        <c:v>20.572747058191098</c:v>
                      </c:pt>
                      <c:pt idx="17">
                        <c:v>22.517343160574789</c:v>
                      </c:pt>
                      <c:pt idx="18">
                        <c:v>22.540014266967773</c:v>
                      </c:pt>
                      <c:pt idx="19">
                        <c:v>27.265615202063501</c:v>
                      </c:pt>
                      <c:pt idx="20">
                        <c:v>6.3936443844573798</c:v>
                      </c:pt>
                      <c:pt idx="21">
                        <c:v>12.021396533197059</c:v>
                      </c:pt>
                      <c:pt idx="22">
                        <c:v>14.431012817522795</c:v>
                      </c:pt>
                      <c:pt idx="23">
                        <c:v>15.297640800476074</c:v>
                      </c:pt>
                      <c:pt idx="24">
                        <c:v>15.906759262084961</c:v>
                      </c:pt>
                      <c:pt idx="25">
                        <c:v>17.71923828125</c:v>
                      </c:pt>
                      <c:pt idx="26">
                        <c:v>18.238363265991211</c:v>
                      </c:pt>
                      <c:pt idx="27">
                        <c:v>21.051532745361328</c:v>
                      </c:pt>
                      <c:pt idx="28">
                        <c:v>21.286906198677393</c:v>
                      </c:pt>
                      <c:pt idx="29">
                        <c:v>26.370219067257086</c:v>
                      </c:pt>
                      <c:pt idx="30">
                        <c:v>30.5087890625</c:v>
                      </c:pt>
                      <c:pt idx="31">
                        <c:v>48.378365865383728</c:v>
                      </c:pt>
                      <c:pt idx="32">
                        <c:v>7.7643660758135784</c:v>
                      </c:pt>
                      <c:pt idx="33">
                        <c:v>8.9085807800292969</c:v>
                      </c:pt>
                      <c:pt idx="34">
                        <c:v>8.9858825829732005</c:v>
                      </c:pt>
                      <c:pt idx="35">
                        <c:v>11.426189422607422</c:v>
                      </c:pt>
                      <c:pt idx="36">
                        <c:v>12.542038917541504</c:v>
                      </c:pt>
                      <c:pt idx="37">
                        <c:v>17.076267943806872</c:v>
                      </c:pt>
                      <c:pt idx="38">
                        <c:v>17.413667678833008</c:v>
                      </c:pt>
                      <c:pt idx="39">
                        <c:v>17.674751003529593</c:v>
                      </c:pt>
                      <c:pt idx="40">
                        <c:v>19.58714485168457</c:v>
                      </c:pt>
                    </c:numCache>
                  </c:numRef>
                </c:val>
                <c:extLst>
                  <c:ext xmlns:c16="http://schemas.microsoft.com/office/drawing/2014/chart" uri="{C3380CC4-5D6E-409C-BE32-E72D297353CC}">
                    <c16:uniqueId val="{00000007-B62C-4E00-9529-0BB04B2F1660}"/>
                  </c:ext>
                </c:extLst>
              </c15:ser>
            </c15:filteredBarSeries>
          </c:ext>
        </c:extLst>
      </c:barChart>
      <c:lineChart>
        <c:grouping val="standard"/>
        <c:varyColors val="0"/>
        <c:ser>
          <c:idx val="7"/>
          <c:order val="7"/>
          <c:tx>
            <c:strRef>
              <c:f>'[S24_Fig_2.8-16_MP.xlsx]Fig_2.10_tax_rev_by_source'!$J$1</c:f>
              <c:strCache>
                <c:ptCount val="1"/>
                <c:pt idx="0">
                  <c:v>15% line</c:v>
                </c:pt>
              </c:strCache>
            </c:strRef>
          </c:tx>
          <c:spPr>
            <a:ln w="28575" cap="rnd">
              <a:solidFill>
                <a:schemeClr val="tx1"/>
              </a:solidFill>
              <a:prstDash val="dash"/>
              <a:round/>
            </a:ln>
            <a:effectLst/>
          </c:spPr>
          <c:marker>
            <c:symbol val="none"/>
          </c:marker>
          <c:cat>
            <c:multiLvlStrRef>
              <c:f>'[S24_Fig_2.8-16_MP.xlsx]Fig_2.10_tax_rev_by_source'!$A$2:$B$46</c:f>
              <c:multiLvlStrCache>
                <c:ptCount val="45"/>
                <c:lvl>
                  <c:pt idx="0">
                    <c:v>Myanmar*</c:v>
                  </c:pt>
                  <c:pt idx="1">
                    <c:v>Timor-Leste</c:v>
                  </c:pt>
                  <c:pt idx="2">
                    <c:v>Lao People's Democratic Republic</c:v>
                  </c:pt>
                  <c:pt idx="3">
                    <c:v>Indonesia</c:v>
                  </c:pt>
                  <c:pt idx="4">
                    <c:v>Malaysia</c:v>
                  </c:pt>
                  <c:pt idx="5">
                    <c:v>Philippines</c:v>
                  </c:pt>
                  <c:pt idx="6">
                    <c:v>Thailand</c:v>
                  </c:pt>
                  <c:pt idx="7">
                    <c:v>China</c:v>
                  </c:pt>
                  <c:pt idx="8">
                    <c:v>Viet Nam</c:v>
                  </c:pt>
                  <c:pt idx="9">
                    <c:v>Cambodia</c:v>
                  </c:pt>
                  <c:pt idx="10">
                    <c:v>Mongolia</c:v>
                  </c:pt>
                  <c:pt idx="11">
                    <c:v>Turkmenistan</c:v>
                  </c:pt>
                  <c:pt idx="12">
                    <c:v>Azerbaijan</c:v>
                  </c:pt>
                  <c:pt idx="13">
                    <c:v>Kazakhstan</c:v>
                  </c:pt>
                  <c:pt idx="14">
                    <c:v>Tajikistan</c:v>
                  </c:pt>
                  <c:pt idx="15">
                    <c:v>Uzbekistan</c:v>
                  </c:pt>
                  <c:pt idx="16">
                    <c:v>Kyrgyzstan</c:v>
                  </c:pt>
                  <c:pt idx="17">
                    <c:v>Georgia</c:v>
                  </c:pt>
                  <c:pt idx="18">
                    <c:v>Armenia</c:v>
                  </c:pt>
                  <c:pt idx="19">
                    <c:v>Russian Federation</c:v>
                  </c:pt>
                  <c:pt idx="20">
                    <c:v>Micronesia (Federated States of)</c:v>
                  </c:pt>
                  <c:pt idx="21">
                    <c:v>Papua New Guinea*</c:v>
                  </c:pt>
                  <c:pt idx="22">
                    <c:v>Vanuatu</c:v>
                  </c:pt>
                  <c:pt idx="23">
                    <c:v>Tuvalu</c:v>
                  </c:pt>
                  <c:pt idx="24">
                    <c:v>Fiji</c:v>
                  </c:pt>
                  <c:pt idx="25">
                    <c:v>Marshall Islands*</c:v>
                  </c:pt>
                  <c:pt idx="26">
                    <c:v>Palau</c:v>
                  </c:pt>
                  <c:pt idx="27">
                    <c:v>Solomon Islands*</c:v>
                  </c:pt>
                  <c:pt idx="28">
                    <c:v>Tonga</c:v>
                  </c:pt>
                  <c:pt idx="29">
                    <c:v>Samoa</c:v>
                  </c:pt>
                  <c:pt idx="30">
                    <c:v>Kiribati</c:v>
                  </c:pt>
                  <c:pt idx="31">
                    <c:v>Nauru</c:v>
                  </c:pt>
                  <c:pt idx="32">
                    <c:v>Sri Lanka</c:v>
                  </c:pt>
                  <c:pt idx="33">
                    <c:v>Bangladesh</c:v>
                  </c:pt>
                  <c:pt idx="34">
                    <c:v>Afghanistan</c:v>
                  </c:pt>
                  <c:pt idx="35">
                    <c:v>Pakistan</c:v>
                  </c:pt>
                  <c:pt idx="36">
                    <c:v>Bhutan</c:v>
                  </c:pt>
                  <c:pt idx="37">
                    <c:v>Türkiye</c:v>
                  </c:pt>
                  <c:pt idx="38">
                    <c:v>India</c:v>
                  </c:pt>
                  <c:pt idx="39">
                    <c:v>Nepal</c:v>
                  </c:pt>
                  <c:pt idx="40">
                    <c:v>Maldives</c:v>
                  </c:pt>
                  <c:pt idx="42">
                    <c:v>Developing Asia-Pacific countries</c:v>
                  </c:pt>
                  <c:pt idx="43">
                    <c:v>Other developing countries</c:v>
                  </c:pt>
                  <c:pt idx="44">
                    <c:v>OECD countries</c:v>
                  </c:pt>
                </c:lvl>
                <c:lvl>
                  <c:pt idx="0">
                    <c:v>East and South-East Asia</c:v>
                  </c:pt>
                  <c:pt idx="11">
                    <c:v>North and Central Asia</c:v>
                  </c:pt>
                  <c:pt idx="20">
                    <c:v>Pacific</c:v>
                  </c:pt>
                  <c:pt idx="32">
                    <c:v>South and South-West Asia</c:v>
                  </c:pt>
                </c:lvl>
              </c:multiLvlStrCache>
            </c:multiLvlStrRef>
          </c:cat>
          <c:val>
            <c:numRef>
              <c:f>'[S24_Fig_2.8-16_MP.xlsx]Fig_2.10_tax_rev_by_source'!$J$2:$J$46</c:f>
              <c:numCache>
                <c:formatCode>0.00</c:formatCode>
                <c:ptCount val="45"/>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numCache>
            </c:numRef>
          </c:val>
          <c:smooth val="0"/>
          <c:extLst>
            <c:ext xmlns:c16="http://schemas.microsoft.com/office/drawing/2014/chart" uri="{C3380CC4-5D6E-409C-BE32-E72D297353CC}">
              <c16:uniqueId val="{00000006-B62C-4E00-9529-0BB04B2F1660}"/>
            </c:ext>
          </c:extLst>
        </c:ser>
        <c:dLbls>
          <c:showLegendKey val="0"/>
          <c:showVal val="0"/>
          <c:showCatName val="0"/>
          <c:showSerName val="0"/>
          <c:showPercent val="0"/>
          <c:showBubbleSize val="0"/>
        </c:dLbls>
        <c:marker val="1"/>
        <c:smooth val="0"/>
        <c:axId val="396248335"/>
        <c:axId val="500284255"/>
      </c:lineChart>
      <c:catAx>
        <c:axId val="39624833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00284255"/>
        <c:crosses val="autoZero"/>
        <c:auto val="1"/>
        <c:lblAlgn val="ctr"/>
        <c:lblOffset val="100"/>
        <c:noMultiLvlLbl val="0"/>
      </c:catAx>
      <c:valAx>
        <c:axId val="500284255"/>
        <c:scaling>
          <c:orientation val="minMax"/>
          <c:max val="5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6248335"/>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lumMod val="65000"/>
              <a:lumOff val="35000"/>
            </a:schemeClr>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816629474606167E-2"/>
          <c:y val="3.779289493575208E-2"/>
          <c:w val="0.9268093399470646"/>
          <c:h val="0.23882937251891131"/>
        </c:manualLayout>
      </c:layout>
      <c:barChart>
        <c:barDir val="col"/>
        <c:grouping val="clustered"/>
        <c:varyColors val="0"/>
        <c:ser>
          <c:idx val="0"/>
          <c:order val="0"/>
          <c:tx>
            <c:strRef>
              <c:f>'F2.16_select_ind'!$C$1</c:f>
              <c:strCache>
                <c:ptCount val="1"/>
                <c:pt idx="0">
                  <c:v>Estimated revenue potential from real estate, 2023 (percentage of GDP)</c:v>
                </c:pt>
              </c:strCache>
            </c:strRef>
          </c:tx>
          <c:spPr>
            <a:solidFill>
              <a:schemeClr val="tx2">
                <a:lumMod val="25000"/>
                <a:lumOff val="75000"/>
              </a:schemeClr>
            </a:solidFill>
            <a:ln>
              <a:noFill/>
            </a:ln>
            <a:effectLst/>
          </c:spPr>
          <c:invertIfNegative val="0"/>
          <c:cat>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cat>
          <c:val>
            <c:numRef>
              <c:f>'F2.16_select_ind'!$C$2:$C$29</c:f>
              <c:numCache>
                <c:formatCode>0.0</c:formatCode>
                <c:ptCount val="28"/>
                <c:pt idx="0">
                  <c:v>3.4713613986968994</c:v>
                </c:pt>
                <c:pt idx="1">
                  <c:v>0.96022790670394897</c:v>
                </c:pt>
                <c:pt idx="2">
                  <c:v>3.706026554107666</c:v>
                </c:pt>
                <c:pt idx="3">
                  <c:v>1.7162117958068848</c:v>
                </c:pt>
                <c:pt idx="4">
                  <c:v>2.3302514553070068</c:v>
                </c:pt>
                <c:pt idx="5">
                  <c:v>2.6345632076263428</c:v>
                </c:pt>
                <c:pt idx="6">
                  <c:v>2.637223482131958</c:v>
                </c:pt>
                <c:pt idx="7">
                  <c:v>2.9893748760223389</c:v>
                </c:pt>
                <c:pt idx="8">
                  <c:v>3.2151589393615723</c:v>
                </c:pt>
                <c:pt idx="9">
                  <c:v>4.4751992225646973</c:v>
                </c:pt>
                <c:pt idx="10">
                  <c:v>4.4970793724060059</c:v>
                </c:pt>
                <c:pt idx="11">
                  <c:v>1.1229963302612305</c:v>
                </c:pt>
                <c:pt idx="12">
                  <c:v>1.314643383026123</c:v>
                </c:pt>
                <c:pt idx="13">
                  <c:v>0.93990415334701538</c:v>
                </c:pt>
                <c:pt idx="14">
                  <c:v>2.4112005233764648</c:v>
                </c:pt>
                <c:pt idx="15">
                  <c:v>3.1722128391265869</c:v>
                </c:pt>
                <c:pt idx="16">
                  <c:v>3.2736296653747559</c:v>
                </c:pt>
                <c:pt idx="17">
                  <c:v>4.3260173797607422</c:v>
                </c:pt>
                <c:pt idx="18">
                  <c:v>4.9950566291809082</c:v>
                </c:pt>
                <c:pt idx="19">
                  <c:v>4.9958925247192383</c:v>
                </c:pt>
                <c:pt idx="20">
                  <c:v>6.839961051940918</c:v>
                </c:pt>
                <c:pt idx="21">
                  <c:v>9.5498170852661133</c:v>
                </c:pt>
                <c:pt idx="22">
                  <c:v>2.7177960872650146</c:v>
                </c:pt>
                <c:pt idx="23">
                  <c:v>2.7780952453613281</c:v>
                </c:pt>
                <c:pt idx="24">
                  <c:v>2.862293004989624</c:v>
                </c:pt>
                <c:pt idx="25">
                  <c:v>3.1006410121917725</c:v>
                </c:pt>
                <c:pt idx="26">
                  <c:v>4.9190835952758789</c:v>
                </c:pt>
                <c:pt idx="27">
                  <c:v>5.2462015151977539</c:v>
                </c:pt>
              </c:numCache>
            </c:numRef>
          </c:val>
          <c:extLst>
            <c:ext xmlns:c16="http://schemas.microsoft.com/office/drawing/2014/chart" uri="{C3380CC4-5D6E-409C-BE32-E72D297353CC}">
              <c16:uniqueId val="{00000000-8BA8-450E-8BF1-57E324A6FB20}"/>
            </c:ext>
          </c:extLst>
        </c:ser>
        <c:dLbls>
          <c:showLegendKey val="0"/>
          <c:showVal val="0"/>
          <c:showCatName val="0"/>
          <c:showSerName val="0"/>
          <c:showPercent val="0"/>
          <c:showBubbleSize val="0"/>
        </c:dLbls>
        <c:gapWidth val="296"/>
        <c:axId val="1618186143"/>
        <c:axId val="1618258159"/>
      </c:barChart>
      <c:scatterChart>
        <c:scatterStyle val="lineMarker"/>
        <c:varyColors val="0"/>
        <c:ser>
          <c:idx val="1"/>
          <c:order val="1"/>
          <c:tx>
            <c:strRef>
              <c:f>'F2.16_select_ind'!$D$1</c:f>
              <c:strCache>
                <c:ptCount val="1"/>
                <c:pt idx="0">
                  <c:v>Annual real estate market growth rate, 2023-2028 (percentage of GDP)</c:v>
                </c:pt>
              </c:strCache>
            </c:strRef>
          </c:tx>
          <c:spPr>
            <a:ln w="25400" cap="rnd">
              <a:noFill/>
              <a:round/>
            </a:ln>
            <a:effectLst/>
          </c:spPr>
          <c:marker>
            <c:symbol val="dash"/>
            <c:size val="10"/>
            <c:spPr>
              <a:solidFill>
                <a:schemeClr val="accent2"/>
              </a:solidFill>
              <a:ln w="9525">
                <a:noFill/>
              </a:ln>
              <a:effectLst/>
            </c:spPr>
          </c:marker>
          <c:xVal>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xVal>
          <c:yVal>
            <c:numRef>
              <c:f>'F2.16_select_ind'!$D$2:$D$29</c:f>
              <c:numCache>
                <c:formatCode>0.00</c:formatCode>
                <c:ptCount val="28"/>
                <c:pt idx="0">
                  <c:v>5.1355555555555554</c:v>
                </c:pt>
                <c:pt idx="1">
                  <c:v>10.38</c:v>
                </c:pt>
                <c:pt idx="2">
                  <c:v>3.14</c:v>
                </c:pt>
                <c:pt idx="3">
                  <c:v>7.37</c:v>
                </c:pt>
                <c:pt idx="4">
                  <c:v>5.15</c:v>
                </c:pt>
                <c:pt idx="5">
                  <c:v>5.46</c:v>
                </c:pt>
                <c:pt idx="6">
                  <c:v>9.1999999999999993</c:v>
                </c:pt>
                <c:pt idx="7">
                  <c:v>7.46</c:v>
                </c:pt>
                <c:pt idx="8">
                  <c:v>7.64</c:v>
                </c:pt>
                <c:pt idx="9">
                  <c:v>8.5299999999999994</c:v>
                </c:pt>
                <c:pt idx="10">
                  <c:v>11.78</c:v>
                </c:pt>
                <c:pt idx="11">
                  <c:v>5.31</c:v>
                </c:pt>
                <c:pt idx="12">
                  <c:v>2.98</c:v>
                </c:pt>
                <c:pt idx="13">
                  <c:v>0.73</c:v>
                </c:pt>
                <c:pt idx="14">
                  <c:v>1.26</c:v>
                </c:pt>
                <c:pt idx="15">
                  <c:v>2.15</c:v>
                </c:pt>
                <c:pt idx="16">
                  <c:v>2.36</c:v>
                </c:pt>
                <c:pt idx="17">
                  <c:v>2.3199999999999998</c:v>
                </c:pt>
                <c:pt idx="18">
                  <c:v>2.79</c:v>
                </c:pt>
                <c:pt idx="19">
                  <c:v>1.65</c:v>
                </c:pt>
                <c:pt idx="20">
                  <c:v>1.94</c:v>
                </c:pt>
                <c:pt idx="21">
                  <c:v>1.59</c:v>
                </c:pt>
                <c:pt idx="22">
                  <c:v>4.8600000000000003</c:v>
                </c:pt>
                <c:pt idx="23">
                  <c:v>7.3</c:v>
                </c:pt>
                <c:pt idx="24">
                  <c:v>7.27</c:v>
                </c:pt>
                <c:pt idx="25">
                  <c:v>7.52</c:v>
                </c:pt>
                <c:pt idx="26">
                  <c:v>6.26</c:v>
                </c:pt>
                <c:pt idx="27">
                  <c:v>4.26</c:v>
                </c:pt>
              </c:numCache>
            </c:numRef>
          </c:yVal>
          <c:smooth val="0"/>
          <c:extLst>
            <c:ext xmlns:c16="http://schemas.microsoft.com/office/drawing/2014/chart" uri="{C3380CC4-5D6E-409C-BE32-E72D297353CC}">
              <c16:uniqueId val="{00000001-8BA8-450E-8BF1-57E324A6FB20}"/>
            </c:ext>
          </c:extLst>
        </c:ser>
        <c:ser>
          <c:idx val="2"/>
          <c:order val="2"/>
          <c:tx>
            <c:strRef>
              <c:f>'F2.16_select_ind'!$E$1</c:f>
              <c:strCache>
                <c:ptCount val="1"/>
                <c:pt idx="0">
                  <c:v>Recurrent property taxes revenue, 2021 (percentage of GDP)</c:v>
                </c:pt>
              </c:strCache>
            </c:strRef>
          </c:tx>
          <c:spPr>
            <a:ln w="25400" cap="rnd">
              <a:noFill/>
              <a:round/>
            </a:ln>
            <a:effectLst/>
          </c:spPr>
          <c:marker>
            <c:symbol val="diamond"/>
            <c:size val="8"/>
            <c:spPr>
              <a:solidFill>
                <a:schemeClr val="accent6">
                  <a:lumMod val="75000"/>
                </a:schemeClr>
              </a:solidFill>
              <a:ln w="9525">
                <a:noFill/>
              </a:ln>
              <a:effectLst/>
            </c:spPr>
          </c:marker>
          <c:xVal>
            <c:multiLvlStrRef>
              <c:f>'F2.16_select_ind'!$A$2:$B$29</c:f>
              <c:multiLvlStrCache>
                <c:ptCount val="28"/>
                <c:lvl>
                  <c:pt idx="0">
                    <c:v>Developing Asia-Pacific countries</c:v>
                  </c:pt>
                  <c:pt idx="1">
                    <c:v>Mongolia</c:v>
                  </c:pt>
                  <c:pt idx="2">
                    <c:v>China</c:v>
                  </c:pt>
                  <c:pt idx="3">
                    <c:v>Kazakhstan</c:v>
                  </c:pt>
                  <c:pt idx="4">
                    <c:v>Russian Federation</c:v>
                  </c:pt>
                  <c:pt idx="5">
                    <c:v>Tajikistan</c:v>
                  </c:pt>
                  <c:pt idx="6">
                    <c:v>Azerbaijan</c:v>
                  </c:pt>
                  <c:pt idx="7">
                    <c:v>Georgia</c:v>
                  </c:pt>
                  <c:pt idx="8">
                    <c:v>Armenia</c:v>
                  </c:pt>
                  <c:pt idx="9">
                    <c:v>Kyrgyzstan</c:v>
                  </c:pt>
                  <c:pt idx="10">
                    <c:v>Uzbekistan</c:v>
                  </c:pt>
                  <c:pt idx="11">
                    <c:v>Papua New Guinea</c:v>
                  </c:pt>
                  <c:pt idx="12">
                    <c:v>Fiji</c:v>
                  </c:pt>
                  <c:pt idx="13">
                    <c:v>Malaysia</c:v>
                  </c:pt>
                  <c:pt idx="14">
                    <c:v>Thailand</c:v>
                  </c:pt>
                  <c:pt idx="15">
                    <c:v>Lao People's Dem. Rep.</c:v>
                  </c:pt>
                  <c:pt idx="16">
                    <c:v>Indonesia</c:v>
                  </c:pt>
                  <c:pt idx="17">
                    <c:v>Myanmar</c:v>
                  </c:pt>
                  <c:pt idx="18">
                    <c:v>Timor-Leste</c:v>
                  </c:pt>
                  <c:pt idx="19">
                    <c:v>Viet Nam</c:v>
                  </c:pt>
                  <c:pt idx="20">
                    <c:v>Philippines</c:v>
                  </c:pt>
                  <c:pt idx="21">
                    <c:v>Cambodia</c:v>
                  </c:pt>
                  <c:pt idx="22">
                    <c:v>Bhutan</c:v>
                  </c:pt>
                  <c:pt idx="23">
                    <c:v>Bangladesh</c:v>
                  </c:pt>
                  <c:pt idx="24">
                    <c:v>Pakistan</c:v>
                  </c:pt>
                  <c:pt idx="25">
                    <c:v>Türkiye</c:v>
                  </c:pt>
                  <c:pt idx="26">
                    <c:v>Nepal</c:v>
                  </c:pt>
                  <c:pt idx="27">
                    <c:v>India</c:v>
                  </c:pt>
                </c:lvl>
                <c:lvl>
                  <c:pt idx="1">
                    <c:v>East and North-East Asia</c:v>
                  </c:pt>
                  <c:pt idx="3">
                    <c:v>North and Central Asia</c:v>
                  </c:pt>
                  <c:pt idx="11">
                    <c:v>Pacific</c:v>
                  </c:pt>
                  <c:pt idx="13">
                    <c:v>South-East Asia</c:v>
                  </c:pt>
                  <c:pt idx="22">
                    <c:v>South and South-West Asia</c:v>
                  </c:pt>
                </c:lvl>
              </c:multiLvlStrCache>
            </c:multiLvlStrRef>
          </c:xVal>
          <c:yVal>
            <c:numRef>
              <c:f>'F2.16_select_ind'!$E$2:$E$29</c:f>
              <c:numCache>
                <c:formatCode>0.00</c:formatCode>
                <c:ptCount val="28"/>
                <c:pt idx="0">
                  <c:v>0.3239516019821167</c:v>
                </c:pt>
                <c:pt idx="1">
                  <c:v>0</c:v>
                </c:pt>
                <c:pt idx="2">
                  <c:v>0.58101850748062134</c:v>
                </c:pt>
                <c:pt idx="3">
                  <c:v>0.43882381916046143</c:v>
                </c:pt>
                <c:pt idx="4">
                  <c:v>0.83328866958618164</c:v>
                </c:pt>
                <c:pt idx="5">
                  <c:v>0.48147884011268616</c:v>
                </c:pt>
                <c:pt idx="6">
                  <c:v>0.32305741310119629</c:v>
                </c:pt>
                <c:pt idx="7">
                  <c:v>0.883872389793396</c:v>
                </c:pt>
                <c:pt idx="8">
                  <c:v>0.40942013263702393</c:v>
                </c:pt>
                <c:pt idx="9">
                  <c:v>0.39916208386421204</c:v>
                </c:pt>
                <c:pt idx="10">
                  <c:v>0.82772922515869141</c:v>
                </c:pt>
                <c:pt idx="11">
                  <c:v>0</c:v>
                </c:pt>
                <c:pt idx="12">
                  <c:v>0</c:v>
                </c:pt>
                <c:pt idx="13">
                  <c:v>0</c:v>
                </c:pt>
                <c:pt idx="14">
                  <c:v>9.7135558724403381E-2</c:v>
                </c:pt>
                <c:pt idx="15">
                  <c:v>0.109709233045578</c:v>
                </c:pt>
                <c:pt idx="16">
                  <c:v>0.39048084616661072</c:v>
                </c:pt>
                <c:pt idx="17">
                  <c:v>3.4864768385887146E-2</c:v>
                </c:pt>
                <c:pt idx="18">
                  <c:v>0</c:v>
                </c:pt>
                <c:pt idx="19">
                  <c:v>2.0457832813262939</c:v>
                </c:pt>
                <c:pt idx="20">
                  <c:v>0</c:v>
                </c:pt>
                <c:pt idx="21">
                  <c:v>0</c:v>
                </c:pt>
                <c:pt idx="22">
                  <c:v>3.4861261956393719E-3</c:v>
                </c:pt>
                <c:pt idx="23">
                  <c:v>2.6969339698553085E-2</c:v>
                </c:pt>
                <c:pt idx="25">
                  <c:v>0.21172662079334259</c:v>
                </c:pt>
                <c:pt idx="26">
                  <c:v>7.8282493632286787E-4</c:v>
                </c:pt>
              </c:numCache>
            </c:numRef>
          </c:yVal>
          <c:smooth val="0"/>
          <c:extLst>
            <c:ext xmlns:c16="http://schemas.microsoft.com/office/drawing/2014/chart" uri="{C3380CC4-5D6E-409C-BE32-E72D297353CC}">
              <c16:uniqueId val="{00000002-8BA8-450E-8BF1-57E324A6FB20}"/>
            </c:ext>
          </c:extLst>
        </c:ser>
        <c:dLbls>
          <c:showLegendKey val="0"/>
          <c:showVal val="0"/>
          <c:showCatName val="0"/>
          <c:showSerName val="0"/>
          <c:showPercent val="0"/>
          <c:showBubbleSize val="0"/>
        </c:dLbls>
        <c:axId val="1618186143"/>
        <c:axId val="1618258159"/>
      </c:scatterChart>
      <c:catAx>
        <c:axId val="1618186143"/>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a:lstStyle/>
          <a:p>
            <a:pPr>
              <a:defRPr/>
            </a:pPr>
            <a:endParaRPr lang="en-US"/>
          </a:p>
        </c:txPr>
        <c:crossAx val="1618258159"/>
        <c:crossesAt val="0"/>
        <c:auto val="1"/>
        <c:lblAlgn val="ctr"/>
        <c:lblOffset val="100"/>
        <c:noMultiLvlLbl val="0"/>
      </c:catAx>
      <c:valAx>
        <c:axId val="1618258159"/>
        <c:scaling>
          <c:orientation val="minMax"/>
          <c:max val="12"/>
        </c:scaling>
        <c:delete val="0"/>
        <c:axPos val="l"/>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1618186143"/>
        <c:crosses val="autoZero"/>
        <c:crossBetween val="between"/>
      </c:valAx>
    </c:plotArea>
    <c:legend>
      <c:legendPos val="b"/>
      <c:layout>
        <c:manualLayout>
          <c:xMode val="edge"/>
          <c:yMode val="edge"/>
          <c:x val="2.310490603697804E-2"/>
          <c:y val="0.85603040766072946"/>
          <c:w val="0.95822165537528503"/>
          <c:h val="0.12129398184531508"/>
        </c:manualLayout>
      </c:layout>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70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'[S24_Fig_2.8-16_MP.xlsx]F2.13_est_tax_gap'!$B$1</c:f>
              <c:strCache>
                <c:ptCount val="1"/>
                <c:pt idx="0">
                  <c:v>Current tax level</c:v>
                </c:pt>
              </c:strCache>
            </c:strRef>
          </c:tx>
          <c:spPr>
            <a:solidFill>
              <a:srgbClr val="002060"/>
            </a:solidFill>
            <a:ln>
              <a:noFill/>
            </a:ln>
            <a:effectLst/>
          </c:spPr>
          <c:invertIfNegative val="0"/>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'[S24_Fig_2.8-16_MP.xlsx]F2.13_est_tax_gap'!$B$2:$B$23</c:f>
              <c:numCache>
                <c:formatCode>0.0</c:formatCode>
                <c:ptCount val="22"/>
                <c:pt idx="0">
                  <c:v>8.6348209381103516</c:v>
                </c:pt>
                <c:pt idx="1">
                  <c:v>6.6084918975830078</c:v>
                </c:pt>
                <c:pt idx="2">
                  <c:v>11.745447158813477</c:v>
                </c:pt>
                <c:pt idx="3">
                  <c:v>10.960118293762207</c:v>
                </c:pt>
                <c:pt idx="4">
                  <c:v>11.981868743896484</c:v>
                </c:pt>
                <c:pt idx="5">
                  <c:v>13.244574546813965</c:v>
                </c:pt>
                <c:pt idx="6">
                  <c:v>14.738284111022949</c:v>
                </c:pt>
                <c:pt idx="7">
                  <c:v>15.411046028137207</c:v>
                </c:pt>
                <c:pt idx="8">
                  <c:v>11.93303394317627</c:v>
                </c:pt>
                <c:pt idx="9">
                  <c:v>16.097101211547852</c:v>
                </c:pt>
                <c:pt idx="10">
                  <c:v>15.948230743408203</c:v>
                </c:pt>
                <c:pt idx="11">
                  <c:v>17.645292282104492</c:v>
                </c:pt>
                <c:pt idx="12">
                  <c:v>18.517620086669922</c:v>
                </c:pt>
                <c:pt idx="13">
                  <c:v>18.945978164672852</c:v>
                </c:pt>
                <c:pt idx="14">
                  <c:v>19.7320556640625</c:v>
                </c:pt>
                <c:pt idx="15">
                  <c:v>15.727774620056152</c:v>
                </c:pt>
                <c:pt idx="16">
                  <c:v>20.231878280639648</c:v>
                </c:pt>
                <c:pt idx="17">
                  <c:v>20.005523681640625</c:v>
                </c:pt>
                <c:pt idx="18">
                  <c:v>22.093406677246094</c:v>
                </c:pt>
                <c:pt idx="19">
                  <c:v>24.080406188964844</c:v>
                </c:pt>
                <c:pt idx="20">
                  <c:v>27.673002243041992</c:v>
                </c:pt>
                <c:pt idx="21">
                  <c:v>31.455615997314453</c:v>
                </c:pt>
              </c:numCache>
            </c:numRef>
          </c:val>
          <c:extLst>
            <c:ext xmlns:c16="http://schemas.microsoft.com/office/drawing/2014/chart" uri="{C3380CC4-5D6E-409C-BE32-E72D297353CC}">
              <c16:uniqueId val="{00000000-273A-48C9-83E7-E12EE447DE43}"/>
            </c:ext>
          </c:extLst>
        </c:ser>
        <c:ser>
          <c:idx val="1"/>
          <c:order val="1"/>
          <c:tx>
            <c:strRef>
              <c:f>'[S24_Fig_2.8-16_MP.xlsx]F2.13_est_tax_gap'!$C$1</c:f>
              <c:strCache>
                <c:ptCount val="1"/>
                <c:pt idx="0">
                  <c:v>Additional tax potential</c:v>
                </c:pt>
              </c:strCache>
            </c:strRef>
          </c:tx>
          <c:spPr>
            <a:solidFill>
              <a:srgbClr val="C00000"/>
            </a:solidFill>
            <a:ln>
              <a:noFill/>
            </a:ln>
            <a:effectLst/>
          </c:spPr>
          <c:invertIfNegative val="0"/>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'[S24_Fig_2.8-16_MP.xlsx]F2.13_est_tax_gap'!$C$2:$C$23</c:f>
              <c:numCache>
                <c:formatCode>0.0</c:formatCode>
                <c:ptCount val="22"/>
                <c:pt idx="0">
                  <c:v>1.3031978607177734</c:v>
                </c:pt>
                <c:pt idx="1">
                  <c:v>6.1361541748046875</c:v>
                </c:pt>
                <c:pt idx="2">
                  <c:v>1.3699045181274414</c:v>
                </c:pt>
                <c:pt idx="3">
                  <c:v>2.4068832397460938</c:v>
                </c:pt>
                <c:pt idx="4">
                  <c:v>1.4399957656860352</c:v>
                </c:pt>
                <c:pt idx="5">
                  <c:v>3.265742301940918</c:v>
                </c:pt>
                <c:pt idx="6">
                  <c:v>2.5024576187133789</c:v>
                </c:pt>
                <c:pt idx="7">
                  <c:v>2.0211820602416992</c:v>
                </c:pt>
                <c:pt idx="8">
                  <c:v>5.8970499038696289</c:v>
                </c:pt>
                <c:pt idx="9">
                  <c:v>1.7809181213378906</c:v>
                </c:pt>
                <c:pt idx="10">
                  <c:v>2.0257053375244141</c:v>
                </c:pt>
                <c:pt idx="11">
                  <c:v>1.9420585632324219</c:v>
                </c:pt>
                <c:pt idx="12">
                  <c:v>1.8899250030517578</c:v>
                </c:pt>
                <c:pt idx="13">
                  <c:v>1.533935546875</c:v>
                </c:pt>
                <c:pt idx="14">
                  <c:v>1.1480140686035156</c:v>
                </c:pt>
                <c:pt idx="15">
                  <c:v>5.2646493911743164</c:v>
                </c:pt>
                <c:pt idx="16">
                  <c:v>2.6746768951416016</c:v>
                </c:pt>
                <c:pt idx="17">
                  <c:v>3.2697067260742188</c:v>
                </c:pt>
                <c:pt idx="18">
                  <c:v>1.5039882659912109</c:v>
                </c:pt>
                <c:pt idx="19">
                  <c:v>2.1161041259765625</c:v>
                </c:pt>
                <c:pt idx="20">
                  <c:v>2.3324756622314453</c:v>
                </c:pt>
                <c:pt idx="21">
                  <c:v>2.4374580383300781</c:v>
                </c:pt>
              </c:numCache>
            </c:numRef>
          </c:val>
          <c:extLst>
            <c:ext xmlns:c16="http://schemas.microsoft.com/office/drawing/2014/chart" uri="{C3380CC4-5D6E-409C-BE32-E72D297353CC}">
              <c16:uniqueId val="{00000001-273A-48C9-83E7-E12EE447DE43}"/>
            </c:ext>
          </c:extLst>
        </c:ser>
        <c:dLbls>
          <c:showLegendKey val="0"/>
          <c:showVal val="0"/>
          <c:showCatName val="0"/>
          <c:showSerName val="0"/>
          <c:showPercent val="0"/>
          <c:showBubbleSize val="0"/>
        </c:dLbls>
        <c:gapWidth val="150"/>
        <c:overlap val="100"/>
        <c:axId val="428922047"/>
        <c:axId val="1808496383"/>
      </c:barChart>
      <c:lineChart>
        <c:grouping val="standard"/>
        <c:varyColors val="0"/>
        <c:ser>
          <c:idx val="2"/>
          <c:order val="2"/>
          <c:tx>
            <c:strRef>
              <c:f>'[S24_Fig_2.8-16_MP.xlsx]F2.13_est_tax_gap'!$D$1</c:f>
              <c:strCache>
                <c:ptCount val="1"/>
                <c:pt idx="0">
                  <c:v>15 per cent of GDP tax benchmark</c:v>
                </c:pt>
              </c:strCache>
            </c:strRef>
          </c:tx>
          <c:spPr>
            <a:ln w="28575" cap="rnd" cmpd="dbl">
              <a:solidFill>
                <a:schemeClr val="tx1">
                  <a:lumMod val="85000"/>
                  <a:lumOff val="15000"/>
                </a:schemeClr>
              </a:solidFill>
              <a:round/>
            </a:ln>
            <a:effectLst/>
          </c:spPr>
          <c:marker>
            <c:symbol val="none"/>
          </c:marker>
          <c:cat>
            <c:strRef>
              <c:f>'[S24_Fig_2.8-16_MP.xlsx]F2.13_est_tax_gap'!$A$2:$A$23</c:f>
              <c:strCache>
                <c:ptCount val="22"/>
                <c:pt idx="0">
                  <c:v>Bangladesh</c:v>
                </c:pt>
                <c:pt idx="1">
                  <c:v>Iran (Islamic Republic of)</c:v>
                </c:pt>
                <c:pt idx="2">
                  <c:v>Pakistan</c:v>
                </c:pt>
                <c:pt idx="3">
                  <c:v>Indonesia</c:v>
                </c:pt>
                <c:pt idx="4">
                  <c:v>Sri Lanka</c:v>
                </c:pt>
                <c:pt idx="5">
                  <c:v>Singapore</c:v>
                </c:pt>
                <c:pt idx="6">
                  <c:v>Viet Nam</c:v>
                </c:pt>
                <c:pt idx="7">
                  <c:v>Philippines</c:v>
                </c:pt>
                <c:pt idx="8">
                  <c:v>Malaysia</c:v>
                </c:pt>
                <c:pt idx="9">
                  <c:v>Thailand</c:v>
                </c:pt>
                <c:pt idx="10">
                  <c:v>China</c:v>
                </c:pt>
                <c:pt idx="11">
                  <c:v>India</c:v>
                </c:pt>
                <c:pt idx="12">
                  <c:v>Japan</c:v>
                </c:pt>
                <c:pt idx="13">
                  <c:v>Nepal</c:v>
                </c:pt>
                <c:pt idx="14">
                  <c:v>Cambodia</c:v>
                </c:pt>
                <c:pt idx="15">
                  <c:v>Bhutan</c:v>
                </c:pt>
                <c:pt idx="16">
                  <c:v>Kyrgyzstan</c:v>
                </c:pt>
                <c:pt idx="17">
                  <c:v>Republic of Korea</c:v>
                </c:pt>
                <c:pt idx="18">
                  <c:v>Armenia</c:v>
                </c:pt>
                <c:pt idx="19">
                  <c:v>Georgia</c:v>
                </c:pt>
                <c:pt idx="20">
                  <c:v>Australia</c:v>
                </c:pt>
                <c:pt idx="21">
                  <c:v>New Zealand</c:v>
                </c:pt>
              </c:strCache>
            </c:strRef>
          </c:cat>
          <c:val>
            <c:numRef>
              <c:f>'[S24_Fig_2.8-16_MP.xlsx]F2.13_est_tax_gap'!$D$2:$D$23</c:f>
              <c:numCache>
                <c:formatCode>General</c:formatCode>
                <c:ptCount val="22"/>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numCache>
            </c:numRef>
          </c:val>
          <c:smooth val="0"/>
          <c:extLst>
            <c:ext xmlns:c16="http://schemas.microsoft.com/office/drawing/2014/chart" uri="{C3380CC4-5D6E-409C-BE32-E72D297353CC}">
              <c16:uniqueId val="{00000002-273A-48C9-83E7-E12EE447DE43}"/>
            </c:ext>
          </c:extLst>
        </c:ser>
        <c:dLbls>
          <c:showLegendKey val="0"/>
          <c:showVal val="0"/>
          <c:showCatName val="0"/>
          <c:showSerName val="0"/>
          <c:showPercent val="0"/>
          <c:showBubbleSize val="0"/>
        </c:dLbls>
        <c:marker val="1"/>
        <c:smooth val="0"/>
        <c:axId val="428922047"/>
        <c:axId val="1808496383"/>
      </c:lineChart>
      <c:catAx>
        <c:axId val="428922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08496383"/>
        <c:crosses val="autoZero"/>
        <c:auto val="1"/>
        <c:lblAlgn val="ctr"/>
        <c:lblOffset val="100"/>
        <c:noMultiLvlLbl val="0"/>
      </c:catAx>
      <c:valAx>
        <c:axId val="1808496383"/>
        <c:scaling>
          <c:orientation val="minMax"/>
          <c:max val="35"/>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8922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lumMod val="65000"/>
              <a:lumOff val="35000"/>
            </a:schemeClr>
          </a:solidFill>
          <a:latin typeface="+mn-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6"/>
          <c:tx>
            <c:strRef>
              <c:f>'[Chapter 3_IV.xlsx]S23_F3.2b_U shaped Subregion'!$H$1</c:f>
              <c:strCache>
                <c:ptCount val="1"/>
                <c:pt idx="0">
                  <c:v>Forecast Year</c:v>
                </c:pt>
              </c:strCache>
            </c:strRef>
          </c:tx>
          <c:spPr>
            <a:solidFill>
              <a:srgbClr val="2D7D7B">
                <a:alpha val="10000"/>
              </a:srgbClr>
            </a:solidFill>
            <a:ln>
              <a:noFill/>
            </a:ln>
            <a:effectLst/>
          </c:spPr>
          <c:invertIfNegative val="0"/>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Subregion'!$H$2:$H$29</c:f>
              <c:numCache>
                <c:formatCode>General</c:formatCode>
                <c:ptCount val="28"/>
                <c:pt idx="22">
                  <c:v>80</c:v>
                </c:pt>
                <c:pt idx="23">
                  <c:v>80</c:v>
                </c:pt>
                <c:pt idx="24">
                  <c:v>80</c:v>
                </c:pt>
                <c:pt idx="25">
                  <c:v>80</c:v>
                </c:pt>
                <c:pt idx="26">
                  <c:v>80</c:v>
                </c:pt>
                <c:pt idx="27">
                  <c:v>80</c:v>
                </c:pt>
              </c:numCache>
            </c:numRef>
          </c:val>
          <c:extLst>
            <c:ext xmlns:c16="http://schemas.microsoft.com/office/drawing/2014/chart" uri="{C3380CC4-5D6E-409C-BE32-E72D297353CC}">
              <c16:uniqueId val="{00000000-D12F-4104-9881-EEB8A33FAC5B}"/>
            </c:ext>
          </c:extLst>
        </c:ser>
        <c:dLbls>
          <c:showLegendKey val="0"/>
          <c:showVal val="0"/>
          <c:showCatName val="0"/>
          <c:showSerName val="0"/>
          <c:showPercent val="0"/>
          <c:showBubbleSize val="0"/>
        </c:dLbls>
        <c:gapWidth val="0"/>
        <c:axId val="322610015"/>
        <c:axId val="322613343"/>
      </c:barChart>
      <c:lineChart>
        <c:grouping val="standard"/>
        <c:varyColors val="0"/>
        <c:ser>
          <c:idx val="1"/>
          <c:order val="0"/>
          <c:tx>
            <c:strRef>
              <c:f>'[Chapter 3_IV.xlsx]S23_F3.2b_U shaped Subregion'!$B$1</c:f>
              <c:strCache>
                <c:ptCount val="1"/>
                <c:pt idx="0">
                  <c:v>Developed ESCAP countries</c:v>
                </c:pt>
              </c:strCache>
            </c:strRef>
          </c:tx>
          <c:spPr>
            <a:ln w="50800" cap="rnd" cmpd="tri">
              <a:solidFill>
                <a:srgbClr val="48BDBC"/>
              </a:solidFill>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Subregion'!$B$2:$B$29</c:f>
              <c:numCache>
                <c:formatCode>General</c:formatCode>
                <c:ptCount val="28"/>
                <c:pt idx="0">
                  <c:v>30.027999999999999</c:v>
                </c:pt>
                <c:pt idx="1">
                  <c:v>28.158999999999999</c:v>
                </c:pt>
                <c:pt idx="2">
                  <c:v>26.396000000000001</c:v>
                </c:pt>
                <c:pt idx="3">
                  <c:v>24.716999999999999</c:v>
                </c:pt>
                <c:pt idx="4">
                  <c:v>22.504999999999999</c:v>
                </c:pt>
                <c:pt idx="5">
                  <c:v>20.780999999999999</c:v>
                </c:pt>
                <c:pt idx="6">
                  <c:v>18.399999999999999</c:v>
                </c:pt>
                <c:pt idx="7">
                  <c:v>16.306999999999999</c:v>
                </c:pt>
                <c:pt idx="8">
                  <c:v>19.003</c:v>
                </c:pt>
                <c:pt idx="9">
                  <c:v>24.335999999999999</c:v>
                </c:pt>
                <c:pt idx="10">
                  <c:v>29.677</c:v>
                </c:pt>
                <c:pt idx="11">
                  <c:v>34.723999999999997</c:v>
                </c:pt>
                <c:pt idx="12">
                  <c:v>35.728999999999999</c:v>
                </c:pt>
                <c:pt idx="13">
                  <c:v>34.573999999999998</c:v>
                </c:pt>
                <c:pt idx="14">
                  <c:v>34.177999999999997</c:v>
                </c:pt>
                <c:pt idx="15">
                  <c:v>37.750999999999998</c:v>
                </c:pt>
                <c:pt idx="16">
                  <c:v>40.582999999999998</c:v>
                </c:pt>
                <c:pt idx="17">
                  <c:v>41.17</c:v>
                </c:pt>
                <c:pt idx="18">
                  <c:v>41.768999999999998</c:v>
                </c:pt>
                <c:pt idx="19">
                  <c:v>46.695999999999998</c:v>
                </c:pt>
                <c:pt idx="20">
                  <c:v>57.243000000000002</c:v>
                </c:pt>
                <c:pt idx="21">
                  <c:v>58.378</c:v>
                </c:pt>
                <c:pt idx="22">
                  <c:v>56.732999999999997</c:v>
                </c:pt>
                <c:pt idx="23">
                  <c:v>58.634999999999998</c:v>
                </c:pt>
                <c:pt idx="24">
                  <c:v>60.497999999999998</c:v>
                </c:pt>
                <c:pt idx="25">
                  <c:v>60.44</c:v>
                </c:pt>
                <c:pt idx="26">
                  <c:v>59.6</c:v>
                </c:pt>
                <c:pt idx="27">
                  <c:v>58.472999999999999</c:v>
                </c:pt>
              </c:numCache>
            </c:numRef>
          </c:val>
          <c:smooth val="0"/>
          <c:extLst>
            <c:ext xmlns:c16="http://schemas.microsoft.com/office/drawing/2014/chart" uri="{C3380CC4-5D6E-409C-BE32-E72D297353CC}">
              <c16:uniqueId val="{00000001-D12F-4104-9881-EEB8A33FAC5B}"/>
            </c:ext>
          </c:extLst>
        </c:ser>
        <c:ser>
          <c:idx val="2"/>
          <c:order val="1"/>
          <c:tx>
            <c:strRef>
              <c:f>'[Chapter 3_IV.xlsx]S23_F3.2b_U shaped Subregion'!$C$1</c:f>
              <c:strCache>
                <c:ptCount val="1"/>
                <c:pt idx="0">
                  <c:v>East and North-East Asia</c:v>
                </c:pt>
              </c:strCache>
            </c:strRef>
          </c:tx>
          <c:spPr>
            <a:ln w="47625" cap="rnd">
              <a:solidFill>
                <a:srgbClr val="4BBCBC"/>
              </a:solidFill>
              <a:prstDash val="sysDot"/>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Subregion'!$C$2:$C$29</c:f>
              <c:numCache>
                <c:formatCode>General</c:formatCode>
                <c:ptCount val="28"/>
                <c:pt idx="0">
                  <c:v>19.834499999999998</c:v>
                </c:pt>
                <c:pt idx="1">
                  <c:v>17.228999999999999</c:v>
                </c:pt>
                <c:pt idx="2">
                  <c:v>17.041</c:v>
                </c:pt>
                <c:pt idx="3">
                  <c:v>19.803000000000001</c:v>
                </c:pt>
                <c:pt idx="4">
                  <c:v>12.173500000000001</c:v>
                </c:pt>
                <c:pt idx="5">
                  <c:v>13.804</c:v>
                </c:pt>
                <c:pt idx="6">
                  <c:v>25.568000000000001</c:v>
                </c:pt>
                <c:pt idx="7">
                  <c:v>27.431000000000001</c:v>
                </c:pt>
                <c:pt idx="8">
                  <c:v>26.949000000000002</c:v>
                </c:pt>
                <c:pt idx="9">
                  <c:v>29.984000000000002</c:v>
                </c:pt>
                <c:pt idx="10">
                  <c:v>29.49</c:v>
                </c:pt>
                <c:pt idx="11">
                  <c:v>32.652999999999999</c:v>
                </c:pt>
                <c:pt idx="12">
                  <c:v>34.393000000000001</c:v>
                </c:pt>
                <c:pt idx="13">
                  <c:v>37.034999999999997</c:v>
                </c:pt>
                <c:pt idx="14">
                  <c:v>39.707000000000001</c:v>
                </c:pt>
                <c:pt idx="15">
                  <c:v>40.783999999999999</c:v>
                </c:pt>
                <c:pt idx="16">
                  <c:v>41.216999999999999</c:v>
                </c:pt>
                <c:pt idx="17">
                  <c:v>40.049999999999997</c:v>
                </c:pt>
                <c:pt idx="18">
                  <c:v>40.021999999999998</c:v>
                </c:pt>
                <c:pt idx="19">
                  <c:v>42.125</c:v>
                </c:pt>
                <c:pt idx="20">
                  <c:v>48.698</c:v>
                </c:pt>
                <c:pt idx="21">
                  <c:v>51.331000000000003</c:v>
                </c:pt>
                <c:pt idx="22">
                  <c:v>54.075000000000003</c:v>
                </c:pt>
                <c:pt idx="23">
                  <c:v>54.438000000000002</c:v>
                </c:pt>
                <c:pt idx="24">
                  <c:v>55.158000000000001</c:v>
                </c:pt>
                <c:pt idx="25">
                  <c:v>56.118000000000002</c:v>
                </c:pt>
                <c:pt idx="26">
                  <c:v>56.877000000000002</c:v>
                </c:pt>
                <c:pt idx="27">
                  <c:v>57.723999999999997</c:v>
                </c:pt>
              </c:numCache>
            </c:numRef>
          </c:val>
          <c:smooth val="0"/>
          <c:extLst>
            <c:ext xmlns:c16="http://schemas.microsoft.com/office/drawing/2014/chart" uri="{C3380CC4-5D6E-409C-BE32-E72D297353CC}">
              <c16:uniqueId val="{00000002-D12F-4104-9881-EEB8A33FAC5B}"/>
            </c:ext>
          </c:extLst>
        </c:ser>
        <c:ser>
          <c:idx val="3"/>
          <c:order val="2"/>
          <c:tx>
            <c:strRef>
              <c:f>'[Chapter 3_IV.xlsx]S23_F3.2b_U shaped Subregion'!$D$1</c:f>
              <c:strCache>
                <c:ptCount val="1"/>
                <c:pt idx="0">
                  <c:v>North and Central Asia</c:v>
                </c:pt>
              </c:strCache>
            </c:strRef>
          </c:tx>
          <c:spPr>
            <a:ln w="12700" cap="rnd">
              <a:solidFill>
                <a:srgbClr val="3BBCBC"/>
              </a:solidFill>
              <a:prstDash val="sysDash"/>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Subregion'!$D$2:$D$29</c:f>
              <c:numCache>
                <c:formatCode>General</c:formatCode>
                <c:ptCount val="28"/>
                <c:pt idx="0">
                  <c:v>57.191500000000005</c:v>
                </c:pt>
                <c:pt idx="1">
                  <c:v>45.216499999999897</c:v>
                </c:pt>
                <c:pt idx="2">
                  <c:v>38.247999999999998</c:v>
                </c:pt>
                <c:pt idx="3">
                  <c:v>31.411999999999999</c:v>
                </c:pt>
                <c:pt idx="4">
                  <c:v>26.446000000000002</c:v>
                </c:pt>
                <c:pt idx="5">
                  <c:v>20.466999999999999</c:v>
                </c:pt>
                <c:pt idx="6">
                  <c:v>13.539</c:v>
                </c:pt>
                <c:pt idx="7">
                  <c:v>9.5549999999999997</c:v>
                </c:pt>
                <c:pt idx="8">
                  <c:v>8.3330000000000002</c:v>
                </c:pt>
                <c:pt idx="9">
                  <c:v>10.227</c:v>
                </c:pt>
                <c:pt idx="10">
                  <c:v>10.683</c:v>
                </c:pt>
                <c:pt idx="11">
                  <c:v>10.34</c:v>
                </c:pt>
                <c:pt idx="12">
                  <c:v>13.87</c:v>
                </c:pt>
                <c:pt idx="13">
                  <c:v>15.877000000000001</c:v>
                </c:pt>
                <c:pt idx="14">
                  <c:v>15.135999999999999</c:v>
                </c:pt>
                <c:pt idx="15">
                  <c:v>21.882000000000001</c:v>
                </c:pt>
                <c:pt idx="16">
                  <c:v>20.608000000000001</c:v>
                </c:pt>
                <c:pt idx="17">
                  <c:v>22.509</c:v>
                </c:pt>
                <c:pt idx="18">
                  <c:v>20.259</c:v>
                </c:pt>
                <c:pt idx="19">
                  <c:v>28.36</c:v>
                </c:pt>
                <c:pt idx="20">
                  <c:v>37.621000000000002</c:v>
                </c:pt>
                <c:pt idx="21">
                  <c:v>35.753999999999998</c:v>
                </c:pt>
                <c:pt idx="22">
                  <c:v>34.094999999999999</c:v>
                </c:pt>
                <c:pt idx="23">
                  <c:v>33.1</c:v>
                </c:pt>
                <c:pt idx="24">
                  <c:v>30.824000000000002</c:v>
                </c:pt>
                <c:pt idx="25">
                  <c:v>29.803999999999998</c:v>
                </c:pt>
                <c:pt idx="26">
                  <c:v>28.86</c:v>
                </c:pt>
                <c:pt idx="27">
                  <c:v>30.26</c:v>
                </c:pt>
              </c:numCache>
            </c:numRef>
          </c:val>
          <c:smooth val="0"/>
          <c:extLst>
            <c:ext xmlns:c16="http://schemas.microsoft.com/office/drawing/2014/chart" uri="{C3380CC4-5D6E-409C-BE32-E72D297353CC}">
              <c16:uniqueId val="{00000003-D12F-4104-9881-EEB8A33FAC5B}"/>
            </c:ext>
          </c:extLst>
        </c:ser>
        <c:ser>
          <c:idx val="4"/>
          <c:order val="3"/>
          <c:tx>
            <c:strRef>
              <c:f>'[Chapter 3_IV.xlsx]S23_F3.2b_U shaped Subregion'!$E$1</c:f>
              <c:strCache>
                <c:ptCount val="1"/>
                <c:pt idx="0">
                  <c:v>Pacific island countries</c:v>
                </c:pt>
              </c:strCache>
            </c:strRef>
          </c:tx>
          <c:spPr>
            <a:ln w="19050" cap="rnd" cmpd="dbl">
              <a:solidFill>
                <a:srgbClr val="48BDBC"/>
              </a:solidFill>
              <a:prstDash val="dash"/>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Subregion'!$E$2:$E$29</c:f>
              <c:numCache>
                <c:formatCode>General</c:formatCode>
                <c:ptCount val="28"/>
                <c:pt idx="0">
                  <c:v>35.920999999999999</c:v>
                </c:pt>
                <c:pt idx="1">
                  <c:v>39.484999999999999</c:v>
                </c:pt>
                <c:pt idx="2">
                  <c:v>41.671999999999997</c:v>
                </c:pt>
                <c:pt idx="3">
                  <c:v>42.762999999999998</c:v>
                </c:pt>
                <c:pt idx="4">
                  <c:v>39.841999999999999</c:v>
                </c:pt>
                <c:pt idx="5">
                  <c:v>35.779499999999999</c:v>
                </c:pt>
                <c:pt idx="6">
                  <c:v>35.494999999999997</c:v>
                </c:pt>
                <c:pt idx="7">
                  <c:v>32.225000000000001</c:v>
                </c:pt>
                <c:pt idx="8">
                  <c:v>24.8675</c:v>
                </c:pt>
                <c:pt idx="9">
                  <c:v>30.748000000000001</c:v>
                </c:pt>
                <c:pt idx="10">
                  <c:v>28.84</c:v>
                </c:pt>
                <c:pt idx="11">
                  <c:v>28.33</c:v>
                </c:pt>
                <c:pt idx="12">
                  <c:v>27.009</c:v>
                </c:pt>
                <c:pt idx="13">
                  <c:v>27.638000000000002</c:v>
                </c:pt>
                <c:pt idx="14">
                  <c:v>28.100999999999999</c:v>
                </c:pt>
                <c:pt idx="15">
                  <c:v>33.851999999999997</c:v>
                </c:pt>
                <c:pt idx="16">
                  <c:v>33.74</c:v>
                </c:pt>
                <c:pt idx="17">
                  <c:v>32.484000000000002</c:v>
                </c:pt>
                <c:pt idx="18">
                  <c:v>36.676000000000002</c:v>
                </c:pt>
                <c:pt idx="19">
                  <c:v>40.165999999999997</c:v>
                </c:pt>
                <c:pt idx="20">
                  <c:v>43.186</c:v>
                </c:pt>
                <c:pt idx="21">
                  <c:v>27.064</c:v>
                </c:pt>
                <c:pt idx="22">
                  <c:v>27.334</c:v>
                </c:pt>
                <c:pt idx="23">
                  <c:v>32.779000000000003</c:v>
                </c:pt>
                <c:pt idx="24">
                  <c:v>39.039000000000001</c:v>
                </c:pt>
                <c:pt idx="25">
                  <c:v>45.838999999999999</c:v>
                </c:pt>
                <c:pt idx="26">
                  <c:v>47.792000000000002</c:v>
                </c:pt>
                <c:pt idx="27">
                  <c:v>44.606000000000002</c:v>
                </c:pt>
              </c:numCache>
            </c:numRef>
          </c:val>
          <c:smooth val="0"/>
          <c:extLst>
            <c:ext xmlns:c16="http://schemas.microsoft.com/office/drawing/2014/chart" uri="{C3380CC4-5D6E-409C-BE32-E72D297353CC}">
              <c16:uniqueId val="{00000004-D12F-4104-9881-EEB8A33FAC5B}"/>
            </c:ext>
          </c:extLst>
        </c:ser>
        <c:ser>
          <c:idx val="5"/>
          <c:order val="4"/>
          <c:tx>
            <c:strRef>
              <c:f>'[Chapter 3_IV.xlsx]S23_F3.2b_U shaped Subregion'!$F$1</c:f>
              <c:strCache>
                <c:ptCount val="1"/>
                <c:pt idx="0">
                  <c:v>South-East Asia</c:v>
                </c:pt>
              </c:strCache>
            </c:strRef>
          </c:tx>
          <c:spPr>
            <a:ln w="28575" cap="rnd">
              <a:solidFill>
                <a:srgbClr val="4BBCBC"/>
              </a:solidFill>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Subregion'!$F$2:$F$29</c:f>
              <c:numCache>
                <c:formatCode>General</c:formatCode>
                <c:ptCount val="28"/>
                <c:pt idx="0">
                  <c:v>57.826000000000001</c:v>
                </c:pt>
                <c:pt idx="1">
                  <c:v>57.469000000000001</c:v>
                </c:pt>
                <c:pt idx="2">
                  <c:v>54.902000000000001</c:v>
                </c:pt>
                <c:pt idx="3">
                  <c:v>47.500999999999998</c:v>
                </c:pt>
                <c:pt idx="4">
                  <c:v>46.265999999999998</c:v>
                </c:pt>
                <c:pt idx="5">
                  <c:v>42.612000000000002</c:v>
                </c:pt>
                <c:pt idx="6">
                  <c:v>39.177</c:v>
                </c:pt>
                <c:pt idx="7">
                  <c:v>38.121000000000002</c:v>
                </c:pt>
                <c:pt idx="8">
                  <c:v>34.947000000000003</c:v>
                </c:pt>
                <c:pt idx="9">
                  <c:v>42.363999999999997</c:v>
                </c:pt>
                <c:pt idx="10">
                  <c:v>39.831000000000003</c:v>
                </c:pt>
                <c:pt idx="11">
                  <c:v>39.116</c:v>
                </c:pt>
                <c:pt idx="12">
                  <c:v>38.33</c:v>
                </c:pt>
                <c:pt idx="13">
                  <c:v>41.412999999999997</c:v>
                </c:pt>
                <c:pt idx="14">
                  <c:v>40.24</c:v>
                </c:pt>
                <c:pt idx="15">
                  <c:v>39.64</c:v>
                </c:pt>
                <c:pt idx="16">
                  <c:v>38.334000000000003</c:v>
                </c:pt>
                <c:pt idx="17">
                  <c:v>38.47</c:v>
                </c:pt>
                <c:pt idx="18">
                  <c:v>40.414999999999999</c:v>
                </c:pt>
                <c:pt idx="19">
                  <c:v>38.753</c:v>
                </c:pt>
                <c:pt idx="20">
                  <c:v>41.667999999999999</c:v>
                </c:pt>
                <c:pt idx="21">
                  <c:v>56.951000000000001</c:v>
                </c:pt>
                <c:pt idx="22">
                  <c:v>59.268000000000001</c:v>
                </c:pt>
                <c:pt idx="23">
                  <c:v>60.951999999999998</c:v>
                </c:pt>
                <c:pt idx="24">
                  <c:v>61.170999999999999</c:v>
                </c:pt>
                <c:pt idx="25">
                  <c:v>60.424999999999997</c:v>
                </c:pt>
                <c:pt idx="26">
                  <c:v>59.084000000000003</c:v>
                </c:pt>
                <c:pt idx="27">
                  <c:v>57.493000000000002</c:v>
                </c:pt>
              </c:numCache>
            </c:numRef>
          </c:val>
          <c:smooth val="0"/>
          <c:extLst>
            <c:ext xmlns:c16="http://schemas.microsoft.com/office/drawing/2014/chart" uri="{C3380CC4-5D6E-409C-BE32-E72D297353CC}">
              <c16:uniqueId val="{00000005-D12F-4104-9881-EEB8A33FAC5B}"/>
            </c:ext>
          </c:extLst>
        </c:ser>
        <c:ser>
          <c:idx val="6"/>
          <c:order val="5"/>
          <c:tx>
            <c:strRef>
              <c:f>'[Chapter 3_IV.xlsx]S23_F3.2b_U shaped Subregion'!$G$1</c:f>
              <c:strCache>
                <c:ptCount val="1"/>
                <c:pt idx="0">
                  <c:v>South and Southwest Asia</c:v>
                </c:pt>
              </c:strCache>
            </c:strRef>
          </c:tx>
          <c:spPr>
            <a:ln w="28575" cap="rnd" cmpd="dbl">
              <a:solidFill>
                <a:srgbClr val="4BBCBC"/>
              </a:solidFill>
              <a:prstDash val="solid"/>
              <a:round/>
            </a:ln>
            <a:effectLst/>
          </c:spPr>
          <c:marker>
            <c:symbol val="none"/>
          </c:marker>
          <c:cat>
            <c:numRef>
              <c:f>'[Chapter 3_IV.xlsx]S23_F3.2b_U shaped Subregion'!$A$2:$A$29</c:f>
              <c:numCache>
                <c:formatCode>General</c:formatCode>
                <c:ptCount val="2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numCache>
            </c:numRef>
          </c:cat>
          <c:val>
            <c:numRef>
              <c:f>'[Chapter 3_IV.xlsx]S23_F3.2b_U shaped Subregion'!$G$2:$G$29</c:f>
              <c:numCache>
                <c:formatCode>General</c:formatCode>
                <c:ptCount val="28"/>
                <c:pt idx="0">
                  <c:v>51.0565</c:v>
                </c:pt>
                <c:pt idx="1">
                  <c:v>64.423500000000004</c:v>
                </c:pt>
                <c:pt idx="2">
                  <c:v>67.578000000000003</c:v>
                </c:pt>
                <c:pt idx="3">
                  <c:v>63.92</c:v>
                </c:pt>
                <c:pt idx="4">
                  <c:v>56.728499999999997</c:v>
                </c:pt>
                <c:pt idx="5">
                  <c:v>51.267499999999998</c:v>
                </c:pt>
                <c:pt idx="6">
                  <c:v>43.549500000000002</c:v>
                </c:pt>
                <c:pt idx="7">
                  <c:v>37.8245</c:v>
                </c:pt>
                <c:pt idx="8">
                  <c:v>38.352999999999902</c:v>
                </c:pt>
                <c:pt idx="9">
                  <c:v>45.911999999999999</c:v>
                </c:pt>
                <c:pt idx="10">
                  <c:v>46.227499999999999</c:v>
                </c:pt>
                <c:pt idx="11">
                  <c:v>43.986999999999902</c:v>
                </c:pt>
                <c:pt idx="12">
                  <c:v>45.620999999999903</c:v>
                </c:pt>
                <c:pt idx="13">
                  <c:v>43.923999999999999</c:v>
                </c:pt>
                <c:pt idx="14">
                  <c:v>42.255499999999998</c:v>
                </c:pt>
                <c:pt idx="15">
                  <c:v>45.972000000000001</c:v>
                </c:pt>
                <c:pt idx="16">
                  <c:v>54.356499999999997</c:v>
                </c:pt>
                <c:pt idx="17">
                  <c:v>52.95</c:v>
                </c:pt>
                <c:pt idx="18">
                  <c:v>52.6875</c:v>
                </c:pt>
                <c:pt idx="19">
                  <c:v>58.908999999999999</c:v>
                </c:pt>
                <c:pt idx="20">
                  <c:v>61.820999999999998</c:v>
                </c:pt>
                <c:pt idx="21">
                  <c:v>74.906000000000006</c:v>
                </c:pt>
                <c:pt idx="22">
                  <c:v>77.751000000000005</c:v>
                </c:pt>
                <c:pt idx="23">
                  <c:v>60.8035</c:v>
                </c:pt>
                <c:pt idx="24">
                  <c:v>58.400500000000001</c:v>
                </c:pt>
                <c:pt idx="25">
                  <c:v>57.213499999999897</c:v>
                </c:pt>
                <c:pt idx="26">
                  <c:v>55.612499999999997</c:v>
                </c:pt>
                <c:pt idx="27">
                  <c:v>54.408000000000001</c:v>
                </c:pt>
              </c:numCache>
            </c:numRef>
          </c:val>
          <c:smooth val="0"/>
          <c:extLst>
            <c:ext xmlns:c16="http://schemas.microsoft.com/office/drawing/2014/chart" uri="{C3380CC4-5D6E-409C-BE32-E72D297353CC}">
              <c16:uniqueId val="{00000006-D12F-4104-9881-EEB8A33FAC5B}"/>
            </c:ext>
          </c:extLst>
        </c:ser>
        <c:dLbls>
          <c:showLegendKey val="0"/>
          <c:showVal val="0"/>
          <c:showCatName val="0"/>
          <c:showSerName val="0"/>
          <c:showPercent val="0"/>
          <c:showBubbleSize val="0"/>
        </c:dLbls>
        <c:marker val="1"/>
        <c:smooth val="0"/>
        <c:axId val="322610015"/>
        <c:axId val="322613343"/>
      </c:lineChart>
      <c:catAx>
        <c:axId val="322610015"/>
        <c:scaling>
          <c:orientation val="minMax"/>
        </c:scaling>
        <c:delete val="0"/>
        <c:axPos val="b"/>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2613343"/>
        <c:crosses val="autoZero"/>
        <c:auto val="1"/>
        <c:lblAlgn val="ctr"/>
        <c:lblOffset val="100"/>
        <c:tickLblSkip val="3"/>
        <c:noMultiLvlLbl val="0"/>
      </c:catAx>
      <c:valAx>
        <c:axId val="322613343"/>
        <c:scaling>
          <c:orientation val="minMax"/>
          <c:max val="8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ltLang="zh-CN">
                    <a:solidFill>
                      <a:sysClr val="windowText" lastClr="000000"/>
                    </a:solidFill>
                  </a:rPr>
                  <a:t>P</a:t>
                </a:r>
                <a:r>
                  <a:rPr lang="en-US">
                    <a:solidFill>
                      <a:sysClr val="windowText" lastClr="000000"/>
                    </a:solidFill>
                  </a:rPr>
                  <a:t>er</a:t>
                </a:r>
                <a:r>
                  <a:rPr lang="en-US" baseline="0">
                    <a:solidFill>
                      <a:sysClr val="windowText" lastClr="000000"/>
                    </a:solidFill>
                  </a:rPr>
                  <a:t>centage of GDP</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2610015"/>
        <c:crosses val="autoZero"/>
        <c:crossBetween val="between"/>
        <c:majorUnit val="25"/>
      </c:valAx>
      <c:spPr>
        <a:noFill/>
        <a:ln>
          <a:noFill/>
        </a:ln>
        <a:effectLst/>
      </c:spPr>
    </c:plotArea>
    <c:legend>
      <c:legendPos val="t"/>
      <c:legendEntry>
        <c:idx val="0"/>
        <c:delete val="1"/>
      </c:legendEntry>
      <c:layout>
        <c:manualLayout>
          <c:xMode val="edge"/>
          <c:yMode val="edge"/>
          <c:x val="4.5198039850581566E-2"/>
          <c:y val="3.994671806137505E-2"/>
          <c:w val="0.90805101826005119"/>
          <c:h val="0.213933188171719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8657042869641"/>
          <c:y val="4.6709129511677279E-2"/>
          <c:w val="0.82334361329833772"/>
          <c:h val="0.53896049618001562"/>
        </c:manualLayout>
      </c:layout>
      <c:barChart>
        <c:barDir val="col"/>
        <c:grouping val="clustered"/>
        <c:varyColors val="0"/>
        <c:ser>
          <c:idx val="1"/>
          <c:order val="1"/>
          <c:tx>
            <c:strRef>
              <c:f>IMF_votes!$Q$5</c:f>
              <c:strCache>
                <c:ptCount val="1"/>
                <c:pt idx="0">
                  <c:v>Aggregates</c:v>
                </c:pt>
              </c:strCache>
            </c:strRef>
          </c:tx>
          <c:spPr>
            <a:solidFill>
              <a:schemeClr val="tx2">
                <a:lumMod val="25000"/>
                <a:lumOff val="75000"/>
              </a:schemeClr>
            </a:solidFill>
            <a:ln>
              <a:noFill/>
            </a:ln>
            <a:effectLst/>
          </c:spPr>
          <c:invertIfNegative val="0"/>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IMF_votes!$Q$6:$Q$18</c:f>
              <c:numCache>
                <c:formatCode>0.0</c:formatCode>
                <c:ptCount val="13"/>
                <c:pt idx="0">
                  <c:v>70.944933759000619</c:v>
                </c:pt>
                <c:pt idx="1">
                  <c:v>29.055066240999377</c:v>
                </c:pt>
              </c:numCache>
            </c:numRef>
          </c:val>
          <c:extLst>
            <c:ext xmlns:c16="http://schemas.microsoft.com/office/drawing/2014/chart" uri="{C3380CC4-5D6E-409C-BE32-E72D297353CC}">
              <c16:uniqueId val="{00000000-4207-4C0D-B14B-F5641EA67B81}"/>
            </c:ext>
          </c:extLst>
        </c:ser>
        <c:dLbls>
          <c:showLegendKey val="0"/>
          <c:showVal val="0"/>
          <c:showCatName val="0"/>
          <c:showSerName val="0"/>
          <c:showPercent val="0"/>
          <c:showBubbleSize val="0"/>
        </c:dLbls>
        <c:gapWidth val="219"/>
        <c:axId val="1506476399"/>
        <c:axId val="1506478799"/>
      </c:barChart>
      <c:barChart>
        <c:barDir val="col"/>
        <c:grouping val="clustered"/>
        <c:varyColors val="0"/>
        <c:ser>
          <c:idx val="0"/>
          <c:order val="0"/>
          <c:tx>
            <c:strRef>
              <c:f>IMF_votes!$P$5</c:f>
              <c:strCache>
                <c:ptCount val="1"/>
                <c:pt idx="0">
                  <c:v>Member States</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IMF_votes!$P$6:$P$18</c:f>
              <c:numCache>
                <c:formatCode>General</c:formatCode>
                <c:ptCount val="13"/>
                <c:pt idx="3" formatCode="0.0">
                  <c:v>16.5</c:v>
                </c:pt>
                <c:pt idx="4" formatCode="0.0">
                  <c:v>6.14</c:v>
                </c:pt>
                <c:pt idx="5" formatCode="0.0">
                  <c:v>6.08</c:v>
                </c:pt>
                <c:pt idx="6" formatCode="0.0">
                  <c:v>5.31</c:v>
                </c:pt>
                <c:pt idx="7" formatCode="0.0">
                  <c:v>4.03</c:v>
                </c:pt>
                <c:pt idx="8" formatCode="0.0">
                  <c:v>4.03</c:v>
                </c:pt>
                <c:pt idx="9" formatCode="0.0">
                  <c:v>3.02</c:v>
                </c:pt>
                <c:pt idx="10" formatCode="0.0">
                  <c:v>2.63</c:v>
                </c:pt>
                <c:pt idx="11" formatCode="0.0">
                  <c:v>2.59</c:v>
                </c:pt>
                <c:pt idx="12" formatCode="0.0">
                  <c:v>2.2200000000000002</c:v>
                </c:pt>
              </c:numCache>
            </c:numRef>
          </c:val>
          <c:extLst>
            <c:ext xmlns:c16="http://schemas.microsoft.com/office/drawing/2014/chart" uri="{C3380CC4-5D6E-409C-BE32-E72D297353CC}">
              <c16:uniqueId val="{00000001-4207-4C0D-B14B-F5641EA67B81}"/>
            </c:ext>
          </c:extLst>
        </c:ser>
        <c:dLbls>
          <c:showLegendKey val="0"/>
          <c:showVal val="0"/>
          <c:showCatName val="0"/>
          <c:showSerName val="0"/>
          <c:showPercent val="0"/>
          <c:showBubbleSize val="0"/>
        </c:dLbls>
        <c:gapWidth val="219"/>
        <c:axId val="563517983"/>
        <c:axId val="563521343"/>
      </c:barChart>
      <c:lineChart>
        <c:grouping val="standard"/>
        <c:varyColors val="0"/>
        <c:ser>
          <c:idx val="3"/>
          <c:order val="3"/>
          <c:tx>
            <c:strRef>
              <c:f>IMF_votes!$S$5</c:f>
              <c:strCache>
                <c:ptCount val="1"/>
              </c:strCache>
            </c:strRef>
          </c:tx>
          <c:spPr>
            <a:ln w="19050" cap="rnd">
              <a:solidFill>
                <a:srgbClr val="FF0000"/>
              </a:solidFill>
              <a:prstDash val="dash"/>
              <a:round/>
            </a:ln>
            <a:effectLst/>
          </c:spPr>
          <c:marker>
            <c:symbol val="none"/>
          </c:marker>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IMF_votes!$S$6:$S$18</c:f>
              <c:numCache>
                <c:formatCode>General</c:formatCode>
                <c:ptCount val="13"/>
                <c:pt idx="0">
                  <c:v>15</c:v>
                </c:pt>
                <c:pt idx="1">
                  <c:v>15</c:v>
                </c:pt>
                <c:pt idx="2">
                  <c:v>15</c:v>
                </c:pt>
              </c:numCache>
            </c:numRef>
          </c:val>
          <c:smooth val="0"/>
          <c:extLst>
            <c:ext xmlns:c16="http://schemas.microsoft.com/office/drawing/2014/chart" uri="{C3380CC4-5D6E-409C-BE32-E72D297353CC}">
              <c16:uniqueId val="{00000002-4207-4C0D-B14B-F5641EA67B81}"/>
            </c:ext>
          </c:extLst>
        </c:ser>
        <c:dLbls>
          <c:showLegendKey val="0"/>
          <c:showVal val="0"/>
          <c:showCatName val="0"/>
          <c:showSerName val="0"/>
          <c:showPercent val="0"/>
          <c:showBubbleSize val="0"/>
        </c:dLbls>
        <c:marker val="1"/>
        <c:smooth val="0"/>
        <c:axId val="1506476399"/>
        <c:axId val="1506478799"/>
      </c:lineChart>
      <c:lineChart>
        <c:grouping val="standard"/>
        <c:varyColors val="0"/>
        <c:ser>
          <c:idx val="2"/>
          <c:order val="2"/>
          <c:tx>
            <c:strRef>
              <c:f>IMF_votes!$R$5</c:f>
              <c:strCache>
                <c:ptCount val="1"/>
                <c:pt idx="0">
                  <c:v>Effective veto power*</c:v>
                </c:pt>
              </c:strCache>
            </c:strRef>
          </c:tx>
          <c:spPr>
            <a:ln w="19050" cap="rnd">
              <a:solidFill>
                <a:srgbClr val="FF0000"/>
              </a:solidFill>
              <a:prstDash val="dash"/>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3-4207-4C0D-B14B-F5641EA67B81}"/>
                </c:ext>
              </c:extLst>
            </c:dLbl>
            <c:dLbl>
              <c:idx val="2"/>
              <c:delete val="1"/>
              <c:extLst>
                <c:ext xmlns:c15="http://schemas.microsoft.com/office/drawing/2012/chart" uri="{CE6537A1-D6FC-4f65-9D91-7224C49458BB}"/>
                <c:ext xmlns:c16="http://schemas.microsoft.com/office/drawing/2014/chart" uri="{C3380CC4-5D6E-409C-BE32-E72D297353CC}">
                  <c16:uniqueId val="{00000004-4207-4C0D-B14B-F5641EA67B81}"/>
                </c:ext>
              </c:extLst>
            </c:dLbl>
            <c:dLbl>
              <c:idx val="3"/>
              <c:delete val="1"/>
              <c:extLst>
                <c:ext xmlns:c15="http://schemas.microsoft.com/office/drawing/2012/chart" uri="{CE6537A1-D6FC-4f65-9D91-7224C49458BB}"/>
                <c:ext xmlns:c16="http://schemas.microsoft.com/office/drawing/2014/chart" uri="{C3380CC4-5D6E-409C-BE32-E72D297353CC}">
                  <c16:uniqueId val="{00000005-4207-4C0D-B14B-F5641EA67B81}"/>
                </c:ext>
              </c:extLst>
            </c:dLbl>
            <c:dLbl>
              <c:idx val="4"/>
              <c:delete val="1"/>
              <c:extLst>
                <c:ext xmlns:c15="http://schemas.microsoft.com/office/drawing/2012/chart" uri="{CE6537A1-D6FC-4f65-9D91-7224C49458BB}"/>
                <c:ext xmlns:c16="http://schemas.microsoft.com/office/drawing/2014/chart" uri="{C3380CC4-5D6E-409C-BE32-E72D297353CC}">
                  <c16:uniqueId val="{00000006-4207-4C0D-B14B-F5641EA67B81}"/>
                </c:ext>
              </c:extLst>
            </c:dLbl>
            <c:dLbl>
              <c:idx val="5"/>
              <c:delete val="1"/>
              <c:extLst>
                <c:ext xmlns:c15="http://schemas.microsoft.com/office/drawing/2012/chart" uri="{CE6537A1-D6FC-4f65-9D91-7224C49458BB}"/>
                <c:ext xmlns:c16="http://schemas.microsoft.com/office/drawing/2014/chart" uri="{C3380CC4-5D6E-409C-BE32-E72D297353CC}">
                  <c16:uniqueId val="{00000007-4207-4C0D-B14B-F5641EA67B81}"/>
                </c:ext>
              </c:extLst>
            </c:dLbl>
            <c:dLbl>
              <c:idx val="6"/>
              <c:delete val="1"/>
              <c:extLst>
                <c:ext xmlns:c15="http://schemas.microsoft.com/office/drawing/2012/chart" uri="{CE6537A1-D6FC-4f65-9D91-7224C49458BB}"/>
                <c:ext xmlns:c16="http://schemas.microsoft.com/office/drawing/2014/chart" uri="{C3380CC4-5D6E-409C-BE32-E72D297353CC}">
                  <c16:uniqueId val="{00000008-4207-4C0D-B14B-F5641EA67B81}"/>
                </c:ext>
              </c:extLst>
            </c:dLbl>
            <c:dLbl>
              <c:idx val="7"/>
              <c:tx>
                <c:rich>
                  <a:bodyPr/>
                  <a:lstStyle/>
                  <a:p>
                    <a:fld id="{8802D191-508B-4D66-9C26-930D57F6D998}" type="SERIESNAME">
                      <a:rPr lang="en-US"/>
                      <a:pPr/>
                      <a:t>[SERIES NAME]</a:t>
                    </a:fld>
                    <a:r>
                      <a:rPr lang="en-US"/>
                      <a:t>*</a:t>
                    </a:r>
                  </a:p>
                </c:rich>
              </c:tx>
              <c:showLegendKey val="0"/>
              <c:showVal val="0"/>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038-4CB4-82F5-462DC1F22E8C}"/>
                </c:ext>
              </c:extLst>
            </c:dLbl>
            <c:dLbl>
              <c:idx val="8"/>
              <c:delete val="1"/>
              <c:extLst>
                <c:ext xmlns:c15="http://schemas.microsoft.com/office/drawing/2012/chart" uri="{CE6537A1-D6FC-4f65-9D91-7224C49458BB}"/>
                <c:ext xmlns:c16="http://schemas.microsoft.com/office/drawing/2014/chart" uri="{C3380CC4-5D6E-409C-BE32-E72D297353CC}">
                  <c16:uniqueId val="{00000009-4207-4C0D-B14B-F5641EA67B81}"/>
                </c:ext>
              </c:extLst>
            </c:dLbl>
            <c:dLbl>
              <c:idx val="9"/>
              <c:delete val="1"/>
              <c:extLst>
                <c:ext xmlns:c15="http://schemas.microsoft.com/office/drawing/2012/chart" uri="{CE6537A1-D6FC-4f65-9D91-7224C49458BB}"/>
                <c:ext xmlns:c16="http://schemas.microsoft.com/office/drawing/2014/chart" uri="{C3380CC4-5D6E-409C-BE32-E72D297353CC}">
                  <c16:uniqueId val="{0000000A-4207-4C0D-B14B-F5641EA67B81}"/>
                </c:ext>
              </c:extLst>
            </c:dLbl>
            <c:dLbl>
              <c:idx val="10"/>
              <c:delete val="1"/>
              <c:extLst>
                <c:ext xmlns:c15="http://schemas.microsoft.com/office/drawing/2012/chart" uri="{CE6537A1-D6FC-4f65-9D91-7224C49458BB}"/>
                <c:ext xmlns:c16="http://schemas.microsoft.com/office/drawing/2014/chart" uri="{C3380CC4-5D6E-409C-BE32-E72D297353CC}">
                  <c16:uniqueId val="{0000000B-4207-4C0D-B14B-F5641EA67B81}"/>
                </c:ext>
              </c:extLst>
            </c:dLbl>
            <c:dLbl>
              <c:idx val="11"/>
              <c:delete val="1"/>
              <c:extLst>
                <c:ext xmlns:c15="http://schemas.microsoft.com/office/drawing/2012/chart" uri="{CE6537A1-D6FC-4f65-9D91-7224C49458BB}"/>
                <c:ext xmlns:c16="http://schemas.microsoft.com/office/drawing/2014/chart" uri="{C3380CC4-5D6E-409C-BE32-E72D297353CC}">
                  <c16:uniqueId val="{0000000C-4207-4C0D-B14B-F5641EA67B81}"/>
                </c:ext>
              </c:extLst>
            </c:dLbl>
            <c:dLbl>
              <c:idx val="12"/>
              <c:delete val="1"/>
              <c:extLst>
                <c:ext xmlns:c15="http://schemas.microsoft.com/office/drawing/2012/chart" uri="{CE6537A1-D6FC-4f65-9D91-7224C49458BB}"/>
                <c:ext xmlns:c16="http://schemas.microsoft.com/office/drawing/2014/chart" uri="{C3380CC4-5D6E-409C-BE32-E72D297353CC}">
                  <c16:uniqueId val="{0000000D-4207-4C0D-B14B-F5641EA67B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IMF_votes!$R$6:$R$18</c:f>
              <c:numCache>
                <c:formatCode>General</c:formatCode>
                <c:ptCount val="13"/>
                <c:pt idx="2">
                  <c:v>15</c:v>
                </c:pt>
                <c:pt idx="3">
                  <c:v>15</c:v>
                </c:pt>
                <c:pt idx="4">
                  <c:v>15</c:v>
                </c:pt>
                <c:pt idx="5">
                  <c:v>15</c:v>
                </c:pt>
                <c:pt idx="6">
                  <c:v>15</c:v>
                </c:pt>
                <c:pt idx="7">
                  <c:v>15</c:v>
                </c:pt>
                <c:pt idx="8">
                  <c:v>15</c:v>
                </c:pt>
                <c:pt idx="9">
                  <c:v>15</c:v>
                </c:pt>
                <c:pt idx="10">
                  <c:v>15</c:v>
                </c:pt>
                <c:pt idx="11">
                  <c:v>15</c:v>
                </c:pt>
                <c:pt idx="12">
                  <c:v>15</c:v>
                </c:pt>
              </c:numCache>
            </c:numRef>
          </c:val>
          <c:smooth val="0"/>
          <c:extLst>
            <c:ext xmlns:c16="http://schemas.microsoft.com/office/drawing/2014/chart" uri="{C3380CC4-5D6E-409C-BE32-E72D297353CC}">
              <c16:uniqueId val="{0000000E-4207-4C0D-B14B-F5641EA67B81}"/>
            </c:ext>
          </c:extLst>
        </c:ser>
        <c:dLbls>
          <c:showLegendKey val="0"/>
          <c:showVal val="0"/>
          <c:showCatName val="0"/>
          <c:showSerName val="0"/>
          <c:showPercent val="0"/>
          <c:showBubbleSize val="0"/>
        </c:dLbls>
        <c:marker val="1"/>
        <c:smooth val="0"/>
        <c:axId val="563517983"/>
        <c:axId val="563521343"/>
      </c:lineChart>
      <c:catAx>
        <c:axId val="150647639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6478799"/>
        <c:crosses val="autoZero"/>
        <c:auto val="1"/>
        <c:lblAlgn val="ctr"/>
        <c:lblOffset val="100"/>
        <c:noMultiLvlLbl val="0"/>
      </c:catAx>
      <c:valAx>
        <c:axId val="1506478799"/>
        <c:scaling>
          <c:orientation val="minMax"/>
          <c:max val="1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6476399"/>
        <c:crosses val="autoZero"/>
        <c:crossBetween val="between"/>
        <c:majorUnit val="25"/>
      </c:valAx>
      <c:valAx>
        <c:axId val="563521343"/>
        <c:scaling>
          <c:orientation val="minMax"/>
          <c:max val="20"/>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3517983"/>
        <c:crosses val="max"/>
        <c:crossBetween val="between"/>
        <c:majorUnit val="5"/>
      </c:valAx>
      <c:catAx>
        <c:axId val="563517983"/>
        <c:scaling>
          <c:orientation val="minMax"/>
        </c:scaling>
        <c:delete val="1"/>
        <c:axPos val="b"/>
        <c:numFmt formatCode="General" sourceLinked="1"/>
        <c:majorTickMark val="out"/>
        <c:minorTickMark val="none"/>
        <c:tickLblPos val="nextTo"/>
        <c:crossAx val="56352134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5400000" vert="horz"/>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5D4CE680-6ECF-4F97-84CE-9CF06AE735E9}"/>
</file>

<file path=customXml/itemProps3.xml><?xml version="1.0" encoding="utf-8"?>
<ds:datastoreItem xmlns:ds="http://schemas.openxmlformats.org/officeDocument/2006/customXml" ds:itemID="{57EC17EF-0997-4F8F-AF91-1E4A18BBE9B6}">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customXml/itemProps4.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24</TotalTime>
  <Pages>12</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14</cp:revision>
  <dcterms:created xsi:type="dcterms:W3CDTF">2024-10-15T09:23:00Z</dcterms:created>
  <dcterms:modified xsi:type="dcterms:W3CDTF">2024-10-15T09:47:00Z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