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DD7E4" w14:textId="0ACE50BB" w:rsidR="008A5691" w:rsidRPr="00C252FA" w:rsidRDefault="008A5691" w:rsidP="00C252FA">
      <w:pPr>
        <w:adjustRightInd w:val="0"/>
        <w:snapToGrid w:val="0"/>
        <w:spacing w:after="0" w:line="276" w:lineRule="auto"/>
        <w:ind w:left="720" w:hanging="360"/>
        <w:jc w:val="both"/>
        <w:rPr>
          <w:rFonts w:ascii="Times New Roman" w:hAnsi="Times New Roman" w:cs="Times New Roman"/>
        </w:rPr>
      </w:pPr>
      <w:r w:rsidRPr="00C252FA">
        <w:rPr>
          <w:rFonts w:ascii="Times New Roman" w:hAnsi="Times New Roman" w:cs="Times New Roman"/>
          <w:b/>
          <w:noProof/>
        </w:rPr>
        <w:drawing>
          <wp:anchor distT="0" distB="0" distL="114300" distR="114300" simplePos="0" relativeHeight="251658240" behindDoc="0" locked="0" layoutInCell="1" allowOverlap="1" wp14:anchorId="6E87F6FA" wp14:editId="01A75A33">
            <wp:simplePos x="0" y="0"/>
            <wp:positionH relativeFrom="margin">
              <wp:posOffset>3829050</wp:posOffset>
            </wp:positionH>
            <wp:positionV relativeFrom="margin">
              <wp:posOffset>-552450</wp:posOffset>
            </wp:positionV>
            <wp:extent cx="2110740" cy="663575"/>
            <wp:effectExtent l="0" t="0" r="3810" b="3175"/>
            <wp:wrapSquare wrapText="bothSides"/>
            <wp:docPr id="1" name="Picture 1" descr="C:\Users\e_caporaso\UNESCO\New York Team - General\ProjectZero\2. Member States\GROUP OF FRIENDS OF EDUCATION AND LIFELONG LEARNING\Logos\Logo G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_caporaso\UNESCO\New York Team - General\ProjectZero\2. Member States\GROUP OF FRIENDS OF EDUCATION AND LIFELONG LEARNING\Logos\Logo Go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740" cy="66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CDE9E9" w14:textId="77777777" w:rsidR="00001846" w:rsidRPr="00C252FA" w:rsidRDefault="00001846" w:rsidP="00C252FA">
      <w:pPr>
        <w:adjustRightInd w:val="0"/>
        <w:snapToGrid w:val="0"/>
        <w:spacing w:after="0" w:line="276" w:lineRule="auto"/>
        <w:jc w:val="center"/>
        <w:rPr>
          <w:rFonts w:ascii="Times New Roman" w:eastAsia="Times New Roman" w:hAnsi="Times New Roman" w:cs="Times New Roman"/>
          <w:b/>
          <w:color w:val="C00000"/>
        </w:rPr>
      </w:pPr>
    </w:p>
    <w:p w14:paraId="7664BED8" w14:textId="71DBA175" w:rsidR="008A5691" w:rsidRPr="00C252FA" w:rsidRDefault="008A5691" w:rsidP="00C252FA">
      <w:pPr>
        <w:adjustRightInd w:val="0"/>
        <w:snapToGrid w:val="0"/>
        <w:spacing w:after="0" w:line="276" w:lineRule="auto"/>
        <w:jc w:val="center"/>
        <w:rPr>
          <w:rFonts w:ascii="Times New Roman" w:eastAsia="Times New Roman" w:hAnsi="Times New Roman" w:cs="Times New Roman"/>
          <w:b/>
          <w:color w:val="C00000"/>
        </w:rPr>
      </w:pPr>
      <w:r w:rsidRPr="00C252FA">
        <w:rPr>
          <w:rFonts w:ascii="Times New Roman" w:eastAsia="Times New Roman" w:hAnsi="Times New Roman" w:cs="Times New Roman"/>
          <w:b/>
          <w:color w:val="C00000"/>
        </w:rPr>
        <w:t>A</w:t>
      </w:r>
      <w:r w:rsidR="00400ECE" w:rsidRPr="00C252FA">
        <w:rPr>
          <w:rFonts w:ascii="Times New Roman" w:eastAsia="Times New Roman" w:hAnsi="Times New Roman" w:cs="Times New Roman"/>
          <w:b/>
          <w:color w:val="C00000"/>
        </w:rPr>
        <w:t>NNEX</w:t>
      </w:r>
    </w:p>
    <w:p w14:paraId="50885D8B" w14:textId="77777777" w:rsidR="00400ECE" w:rsidRPr="00C252FA" w:rsidRDefault="00400ECE" w:rsidP="00C252FA">
      <w:pPr>
        <w:adjustRightInd w:val="0"/>
        <w:snapToGrid w:val="0"/>
        <w:spacing w:after="0" w:line="276" w:lineRule="auto"/>
        <w:jc w:val="center"/>
        <w:rPr>
          <w:rFonts w:ascii="Times New Roman" w:eastAsia="Times New Roman" w:hAnsi="Times New Roman" w:cs="Times New Roman"/>
          <w:b/>
          <w:color w:val="C00000"/>
        </w:rPr>
      </w:pPr>
    </w:p>
    <w:p w14:paraId="7AE1D395" w14:textId="1CA954FE" w:rsidR="008A5691" w:rsidRPr="00C252FA" w:rsidRDefault="001F26DF" w:rsidP="00C252FA">
      <w:pPr>
        <w:adjustRightInd w:val="0"/>
        <w:snapToGrid w:val="0"/>
        <w:spacing w:after="0" w:line="276" w:lineRule="auto"/>
        <w:jc w:val="center"/>
        <w:rPr>
          <w:rFonts w:ascii="Times New Roman" w:eastAsia="Times New Roman" w:hAnsi="Times New Roman" w:cs="Times New Roman"/>
          <w:b/>
          <w:color w:val="C00000"/>
        </w:rPr>
      </w:pPr>
      <w:r w:rsidRPr="00C252FA">
        <w:rPr>
          <w:rFonts w:ascii="Times New Roman" w:eastAsia="Times New Roman" w:hAnsi="Times New Roman" w:cs="Times New Roman"/>
          <w:b/>
          <w:color w:val="C00000"/>
        </w:rPr>
        <w:t>Inputs to Element Paper – 4</w:t>
      </w:r>
      <w:r w:rsidRPr="00C252FA">
        <w:rPr>
          <w:rFonts w:ascii="Times New Roman" w:eastAsia="Times New Roman" w:hAnsi="Times New Roman" w:cs="Times New Roman"/>
          <w:b/>
          <w:color w:val="C00000"/>
          <w:vertAlign w:val="superscript"/>
        </w:rPr>
        <w:t>th</w:t>
      </w:r>
      <w:r w:rsidRPr="00C252FA">
        <w:rPr>
          <w:rFonts w:ascii="Times New Roman" w:eastAsia="Times New Roman" w:hAnsi="Times New Roman" w:cs="Times New Roman"/>
          <w:b/>
          <w:color w:val="C00000"/>
        </w:rPr>
        <w:t xml:space="preserve"> Financing for Development Conference</w:t>
      </w:r>
    </w:p>
    <w:p w14:paraId="0232BEC0" w14:textId="77777777" w:rsidR="008A5691" w:rsidRPr="00C252FA" w:rsidRDefault="008A5691" w:rsidP="00C252FA">
      <w:pPr>
        <w:adjustRightInd w:val="0"/>
        <w:snapToGrid w:val="0"/>
        <w:spacing w:after="0" w:line="276" w:lineRule="auto"/>
        <w:jc w:val="center"/>
        <w:rPr>
          <w:rFonts w:ascii="Times New Roman" w:eastAsia="Times New Roman" w:hAnsi="Times New Roman" w:cs="Times New Roman"/>
          <w:b/>
        </w:rPr>
      </w:pPr>
    </w:p>
    <w:p w14:paraId="330E3FC1" w14:textId="04EAE77F" w:rsidR="008A5691" w:rsidRPr="00C252FA" w:rsidRDefault="00AD3279" w:rsidP="00C252FA">
      <w:pPr>
        <w:adjustRightInd w:val="0"/>
        <w:snapToGrid w:val="0"/>
        <w:spacing w:after="0" w:line="276" w:lineRule="auto"/>
        <w:jc w:val="center"/>
        <w:rPr>
          <w:rFonts w:ascii="Times New Roman" w:eastAsia="Times New Roman" w:hAnsi="Times New Roman" w:cs="Times New Roman"/>
          <w:b/>
          <w:color w:val="C00000"/>
          <w:u w:val="single"/>
        </w:rPr>
      </w:pPr>
      <w:r w:rsidRPr="00C252FA">
        <w:rPr>
          <w:rFonts w:ascii="Times New Roman" w:eastAsia="Times New Roman" w:hAnsi="Times New Roman" w:cs="Times New Roman"/>
          <w:b/>
          <w:color w:val="C00000"/>
          <w:u w:val="single"/>
        </w:rPr>
        <w:t>30 October</w:t>
      </w:r>
      <w:r w:rsidR="008A5691" w:rsidRPr="00C252FA">
        <w:rPr>
          <w:rFonts w:ascii="Times New Roman" w:eastAsia="Times New Roman" w:hAnsi="Times New Roman" w:cs="Times New Roman"/>
          <w:b/>
          <w:color w:val="C00000"/>
          <w:u w:val="single"/>
        </w:rPr>
        <w:t xml:space="preserve"> 2024</w:t>
      </w:r>
    </w:p>
    <w:p w14:paraId="78DBDF1C" w14:textId="77777777" w:rsidR="00005D78" w:rsidRPr="00C252FA" w:rsidRDefault="00005D78" w:rsidP="00C252FA">
      <w:pPr>
        <w:adjustRightInd w:val="0"/>
        <w:snapToGrid w:val="0"/>
        <w:spacing w:after="0" w:line="276" w:lineRule="auto"/>
        <w:jc w:val="both"/>
        <w:rPr>
          <w:rFonts w:ascii="Times New Roman" w:eastAsia="Times New Roman" w:hAnsi="Times New Roman" w:cs="Times New Roman"/>
          <w:b/>
          <w:u w:val="single"/>
        </w:rPr>
      </w:pPr>
    </w:p>
    <w:p w14:paraId="190BB997" w14:textId="77777777" w:rsidR="00001846" w:rsidRPr="00C252FA" w:rsidRDefault="00001846" w:rsidP="00C252FA">
      <w:pPr>
        <w:adjustRightInd w:val="0"/>
        <w:snapToGrid w:val="0"/>
        <w:spacing w:after="0" w:line="276" w:lineRule="auto"/>
        <w:jc w:val="both"/>
        <w:rPr>
          <w:rFonts w:ascii="Times New Roman" w:eastAsia="Times New Roman" w:hAnsi="Times New Roman" w:cs="Times New Roman"/>
          <w:b/>
          <w:u w:val="single"/>
        </w:rPr>
      </w:pPr>
    </w:p>
    <w:p w14:paraId="359EBE16" w14:textId="573FAEAA" w:rsidR="005E2086" w:rsidRPr="00C252FA" w:rsidRDefault="00AD4F52" w:rsidP="00C252FA">
      <w:pPr>
        <w:pStyle w:val="ListParagraph"/>
        <w:numPr>
          <w:ilvl w:val="0"/>
          <w:numId w:val="10"/>
        </w:numPr>
        <w:adjustRightInd w:val="0"/>
        <w:snapToGrid w:val="0"/>
        <w:spacing w:after="0" w:line="276" w:lineRule="auto"/>
        <w:jc w:val="both"/>
        <w:rPr>
          <w:rFonts w:ascii="Times New Roman" w:eastAsia="Times New Roman" w:hAnsi="Times New Roman" w:cs="Times New Roman"/>
          <w:bCs/>
        </w:rPr>
      </w:pPr>
      <w:r w:rsidRPr="00C252FA">
        <w:rPr>
          <w:rFonts w:ascii="Times New Roman" w:eastAsia="Times New Roman" w:hAnsi="Times New Roman" w:cs="Times New Roman"/>
          <w:b/>
          <w:color w:val="2F5496" w:themeColor="accent5" w:themeShade="BF"/>
          <w:u w:val="single"/>
        </w:rPr>
        <w:t>OVERARCHING REFLECTIONS</w:t>
      </w:r>
    </w:p>
    <w:p w14:paraId="2F21FB3A" w14:textId="77777777" w:rsidR="00104AA9" w:rsidRPr="00C252FA" w:rsidRDefault="00104AA9" w:rsidP="00C252FA">
      <w:pPr>
        <w:pStyle w:val="ListParagraph"/>
        <w:adjustRightInd w:val="0"/>
        <w:snapToGrid w:val="0"/>
        <w:spacing w:after="0" w:line="276" w:lineRule="auto"/>
        <w:jc w:val="both"/>
        <w:rPr>
          <w:rFonts w:ascii="Times New Roman" w:eastAsia="Times New Roman" w:hAnsi="Times New Roman" w:cs="Times New Roman"/>
          <w:bCs/>
        </w:rPr>
      </w:pPr>
    </w:p>
    <w:p w14:paraId="3F9E6DCC" w14:textId="74DC22D6" w:rsidR="00CA1859" w:rsidRPr="00C252FA" w:rsidRDefault="005716B1" w:rsidP="00C252FA">
      <w:pPr>
        <w:adjustRightInd w:val="0"/>
        <w:snapToGrid w:val="0"/>
        <w:spacing w:after="0" w:line="276" w:lineRule="auto"/>
        <w:jc w:val="both"/>
        <w:rPr>
          <w:rFonts w:ascii="Times New Roman" w:hAnsi="Times New Roman" w:cs="Times New Roman"/>
        </w:rPr>
      </w:pPr>
      <w:r w:rsidRPr="00C252FA">
        <w:rPr>
          <w:rFonts w:ascii="Times New Roman" w:eastAsia="Times New Roman" w:hAnsi="Times New Roman" w:cs="Times New Roman"/>
          <w:bCs/>
        </w:rPr>
        <w:t>T</w:t>
      </w:r>
      <w:r w:rsidR="008D6634" w:rsidRPr="00C252FA">
        <w:rPr>
          <w:rFonts w:ascii="Times New Roman" w:eastAsia="Times New Roman" w:hAnsi="Times New Roman" w:cs="Times New Roman"/>
          <w:bCs/>
        </w:rPr>
        <w:t xml:space="preserve">he international community has recognized </w:t>
      </w:r>
      <w:r w:rsidR="008D6634" w:rsidRPr="00C252FA">
        <w:rPr>
          <w:rFonts w:ascii="Times New Roman" w:eastAsia="Times New Roman" w:hAnsi="Times New Roman" w:cs="Times New Roman"/>
          <w:b/>
        </w:rPr>
        <w:t>education</w:t>
      </w:r>
      <w:r w:rsidR="008D6634" w:rsidRPr="00C252FA">
        <w:rPr>
          <w:rFonts w:ascii="Times New Roman" w:eastAsia="Times New Roman" w:hAnsi="Times New Roman" w:cs="Times New Roman"/>
          <w:bCs/>
        </w:rPr>
        <w:t xml:space="preserve"> as a human right, a foundational investment for inclusive social and economic development and an accelerator for the full achievement of the 2030 Agenda for Sustainable Development.</w:t>
      </w:r>
      <w:r w:rsidRPr="00C252FA">
        <w:rPr>
          <w:rFonts w:ascii="Times New Roman" w:eastAsia="Times New Roman" w:hAnsi="Times New Roman" w:cs="Times New Roman"/>
          <w:bCs/>
        </w:rPr>
        <w:t xml:space="preserve"> </w:t>
      </w:r>
      <w:r w:rsidR="00317EA8" w:rsidRPr="00C252FA">
        <w:rPr>
          <w:rFonts w:ascii="Times New Roman" w:hAnsi="Times New Roman" w:cs="Times New Roman"/>
        </w:rPr>
        <w:t>Regrettably, progress on SDG4 is disheartening, as only 17% of the education-related targets are likely to be achieved</w:t>
      </w:r>
      <w:r w:rsidR="000917F5" w:rsidRPr="00C252FA">
        <w:rPr>
          <w:rFonts w:ascii="Times New Roman" w:hAnsi="Times New Roman" w:cs="Times New Roman"/>
        </w:rPr>
        <w:t xml:space="preserve"> by 2030</w:t>
      </w:r>
      <w:r w:rsidR="00C73CD9" w:rsidRPr="00C252FA">
        <w:rPr>
          <w:rStyle w:val="FootnoteReference"/>
          <w:rFonts w:ascii="Times New Roman" w:hAnsi="Times New Roman" w:cs="Times New Roman"/>
        </w:rPr>
        <w:footnoteReference w:id="2"/>
      </w:r>
      <w:r w:rsidR="00317EA8" w:rsidRPr="00C252FA">
        <w:rPr>
          <w:rFonts w:ascii="Times New Roman" w:hAnsi="Times New Roman" w:cs="Times New Roman"/>
        </w:rPr>
        <w:t xml:space="preserve">, with half either stagnating or regressing further. The COVID-19 pandemic has exacerbated </w:t>
      </w:r>
      <w:r w:rsidR="00765474" w:rsidRPr="00C252FA">
        <w:rPr>
          <w:rFonts w:ascii="Times New Roman" w:hAnsi="Times New Roman" w:cs="Times New Roman"/>
        </w:rPr>
        <w:t xml:space="preserve">this </w:t>
      </w:r>
      <w:r w:rsidR="00317EA8" w:rsidRPr="00C252FA">
        <w:rPr>
          <w:rFonts w:ascii="Times New Roman" w:hAnsi="Times New Roman" w:cs="Times New Roman"/>
        </w:rPr>
        <w:t>existing crisis, intensifying issues of equity, inclusion, quality, and relevance</w:t>
      </w:r>
      <w:r w:rsidR="00765474" w:rsidRPr="00C252FA">
        <w:rPr>
          <w:rFonts w:ascii="Times New Roman" w:hAnsi="Times New Roman" w:cs="Times New Roman"/>
        </w:rPr>
        <w:t xml:space="preserve"> of education</w:t>
      </w:r>
      <w:r w:rsidR="00317EA8" w:rsidRPr="00C252FA">
        <w:rPr>
          <w:rFonts w:ascii="Times New Roman" w:hAnsi="Times New Roman" w:cs="Times New Roman"/>
        </w:rPr>
        <w:t>.</w:t>
      </w:r>
    </w:p>
    <w:p w14:paraId="26C18674" w14:textId="77777777" w:rsidR="00CA1859" w:rsidRPr="00C252FA" w:rsidRDefault="00CA1859" w:rsidP="00C252FA">
      <w:pPr>
        <w:adjustRightInd w:val="0"/>
        <w:snapToGrid w:val="0"/>
        <w:spacing w:after="0" w:line="276" w:lineRule="auto"/>
        <w:jc w:val="both"/>
        <w:rPr>
          <w:rFonts w:ascii="Times New Roman" w:hAnsi="Times New Roman" w:cs="Times New Roman"/>
        </w:rPr>
      </w:pPr>
    </w:p>
    <w:p w14:paraId="7273004A" w14:textId="7E2416D9" w:rsidR="009B29E1" w:rsidRPr="00C252FA" w:rsidRDefault="001068EC" w:rsidP="00C252FA">
      <w:pPr>
        <w:spacing w:after="0" w:line="276" w:lineRule="auto"/>
        <w:jc w:val="both"/>
        <w:rPr>
          <w:rFonts w:ascii="Times New Roman" w:hAnsi="Times New Roman" w:cs="Times New Roman"/>
        </w:rPr>
      </w:pPr>
      <w:r w:rsidRPr="00C252FA">
        <w:rPr>
          <w:rFonts w:ascii="Times New Roman" w:hAnsi="Times New Roman" w:cs="Times New Roman"/>
        </w:rPr>
        <w:t xml:space="preserve">A critical factor in this crisis is the chronic </w:t>
      </w:r>
      <w:r w:rsidRPr="00C252FA">
        <w:rPr>
          <w:rFonts w:ascii="Times New Roman" w:hAnsi="Times New Roman" w:cs="Times New Roman"/>
          <w:b/>
          <w:bCs/>
        </w:rPr>
        <w:t>underfunding of the education sector</w:t>
      </w:r>
      <w:r w:rsidRPr="00C252FA">
        <w:rPr>
          <w:rFonts w:ascii="Times New Roman" w:hAnsi="Times New Roman" w:cs="Times New Roman"/>
        </w:rPr>
        <w:t>, both domestically and internationally.</w:t>
      </w:r>
      <w:r w:rsidR="00CA03EB" w:rsidRPr="00C252FA">
        <w:rPr>
          <w:rFonts w:ascii="Times New Roman" w:hAnsi="Times New Roman" w:cs="Times New Roman"/>
        </w:rPr>
        <w:t xml:space="preserve"> </w:t>
      </w:r>
      <w:r w:rsidR="009B29E1" w:rsidRPr="00C252FA">
        <w:rPr>
          <w:rFonts w:ascii="Times New Roman" w:hAnsi="Times New Roman" w:cs="Times New Roman"/>
        </w:rPr>
        <w:t xml:space="preserve">In 2022, global education expenditure was recorded at </w:t>
      </w:r>
      <w:r w:rsidR="009B29E1" w:rsidRPr="00C252FA">
        <w:rPr>
          <w:rFonts w:ascii="Times New Roman" w:hAnsi="Times New Roman" w:cs="Times New Roman"/>
          <w:b/>
          <w:bCs/>
        </w:rPr>
        <w:t>US$5.8 trillion</w:t>
      </w:r>
      <w:r w:rsidR="009B29E1" w:rsidRPr="00C252FA">
        <w:rPr>
          <w:rFonts w:ascii="Times New Roman" w:hAnsi="Times New Roman" w:cs="Times New Roman"/>
        </w:rPr>
        <w:t xml:space="preserve">, </w:t>
      </w:r>
      <w:r w:rsidR="00CA03EB" w:rsidRPr="00C252FA">
        <w:rPr>
          <w:rFonts w:ascii="Times New Roman" w:hAnsi="Times New Roman" w:cs="Times New Roman"/>
        </w:rPr>
        <w:t>mos</w:t>
      </w:r>
      <w:r w:rsidR="009B29E1" w:rsidRPr="00C252FA">
        <w:rPr>
          <w:rFonts w:ascii="Times New Roman" w:hAnsi="Times New Roman" w:cs="Times New Roman"/>
        </w:rPr>
        <w:t>tly funded by governments, yet disparities in spending are pronounced</w:t>
      </w:r>
      <w:r w:rsidR="005A4199" w:rsidRPr="00C252FA">
        <w:rPr>
          <w:rFonts w:ascii="Times New Roman" w:hAnsi="Times New Roman" w:cs="Times New Roman"/>
        </w:rPr>
        <w:t xml:space="preserve"> across regions</w:t>
      </w:r>
      <w:r w:rsidR="009B29E1" w:rsidRPr="00C252FA">
        <w:rPr>
          <w:rFonts w:ascii="Times New Roman" w:hAnsi="Times New Roman" w:cs="Times New Roman"/>
        </w:rPr>
        <w:t xml:space="preserve">. Low- and lower-middle-income countries, where the majority of children failing to meet basic educational proficiency reside, spend inadequately on education, with about </w:t>
      </w:r>
      <w:r w:rsidR="009B29E1" w:rsidRPr="00C252FA">
        <w:rPr>
          <w:rFonts w:ascii="Times New Roman" w:hAnsi="Times New Roman" w:cs="Times New Roman"/>
          <w:b/>
          <w:bCs/>
        </w:rPr>
        <w:t>41% not meeting the benchmark of allocating 4-6% of GDP or 15-20% of public expenditure on education</w:t>
      </w:r>
      <w:r w:rsidR="006977F5" w:rsidRPr="00C252FA">
        <w:rPr>
          <w:rStyle w:val="FootnoteReference"/>
          <w:rFonts w:ascii="Times New Roman" w:hAnsi="Times New Roman" w:cs="Times New Roman"/>
          <w:shd w:val="clear" w:color="auto" w:fill="FFFFFF"/>
        </w:rPr>
        <w:footnoteReference w:id="3"/>
      </w:r>
      <w:r w:rsidR="009B29E1" w:rsidRPr="00C252FA">
        <w:rPr>
          <w:rFonts w:ascii="Times New Roman" w:hAnsi="Times New Roman" w:cs="Times New Roman"/>
        </w:rPr>
        <w:t xml:space="preserve">. The financial disparity is stark when comparing annual spending per learner in low-income countries (US$55) to that in high-income countries (US$8,543). </w:t>
      </w:r>
      <w:r w:rsidR="00B44AB3" w:rsidRPr="00C252FA">
        <w:rPr>
          <w:rFonts w:ascii="Times New Roman" w:hAnsi="Times New Roman" w:cs="Times New Roman"/>
        </w:rPr>
        <w:t xml:space="preserve">This gap of public funding often </w:t>
      </w:r>
      <w:r w:rsidR="009B29E1" w:rsidRPr="00C252FA">
        <w:rPr>
          <w:rFonts w:ascii="Times New Roman" w:hAnsi="Times New Roman" w:cs="Times New Roman"/>
        </w:rPr>
        <w:t>force</w:t>
      </w:r>
      <w:r w:rsidR="00B44AB3" w:rsidRPr="00C252FA">
        <w:rPr>
          <w:rFonts w:ascii="Times New Roman" w:hAnsi="Times New Roman" w:cs="Times New Roman"/>
        </w:rPr>
        <w:t>s</w:t>
      </w:r>
      <w:r w:rsidR="009B29E1" w:rsidRPr="00C252FA">
        <w:rPr>
          <w:rFonts w:ascii="Times New Roman" w:hAnsi="Times New Roman" w:cs="Times New Roman"/>
        </w:rPr>
        <w:t xml:space="preserve"> poorer households to contribute disproportionately to education costs, further limiting access for the most disadvantaged.</w:t>
      </w:r>
      <w:r w:rsidR="00BA3379" w:rsidRPr="00C252FA">
        <w:rPr>
          <w:rStyle w:val="FootnoteReference"/>
          <w:rFonts w:ascii="Times New Roman" w:hAnsi="Times New Roman" w:cs="Times New Roman"/>
        </w:rPr>
        <w:footnoteReference w:id="4"/>
      </w:r>
    </w:p>
    <w:p w14:paraId="47DC0BE1" w14:textId="77777777" w:rsidR="009B29E1" w:rsidRPr="00C252FA" w:rsidRDefault="009B29E1" w:rsidP="00C252FA">
      <w:pPr>
        <w:spacing w:after="0" w:line="276" w:lineRule="auto"/>
        <w:jc w:val="both"/>
        <w:rPr>
          <w:rFonts w:ascii="Times New Roman" w:hAnsi="Times New Roman" w:cs="Times New Roman"/>
        </w:rPr>
      </w:pPr>
    </w:p>
    <w:p w14:paraId="76212523" w14:textId="0CF57090" w:rsidR="00005D78" w:rsidRPr="00C252FA" w:rsidRDefault="00005D78" w:rsidP="00C252FA">
      <w:pPr>
        <w:spacing w:after="0" w:line="276" w:lineRule="auto"/>
        <w:jc w:val="both"/>
        <w:rPr>
          <w:rFonts w:ascii="Times New Roman" w:hAnsi="Times New Roman" w:cs="Times New Roman"/>
        </w:rPr>
      </w:pPr>
      <w:r w:rsidRPr="00C252FA">
        <w:rPr>
          <w:rFonts w:ascii="Times New Roman" w:hAnsi="Times New Roman" w:cs="Times New Roman"/>
        </w:rPr>
        <w:t>Th</w:t>
      </w:r>
      <w:r w:rsidR="00F62FC5" w:rsidRPr="00C252FA">
        <w:rPr>
          <w:rFonts w:ascii="Times New Roman" w:hAnsi="Times New Roman" w:cs="Times New Roman"/>
        </w:rPr>
        <w:t>e</w:t>
      </w:r>
      <w:r w:rsidRPr="00C252FA">
        <w:rPr>
          <w:rFonts w:ascii="Times New Roman" w:hAnsi="Times New Roman" w:cs="Times New Roman"/>
        </w:rPr>
        <w:t xml:space="preserve"> lack of investment in education, particularly in a rapidly changing global economy, has far-reaching consequences beyond national borders. </w:t>
      </w:r>
      <w:r w:rsidRPr="00C252FA">
        <w:rPr>
          <w:rFonts w:ascii="Times New Roman" w:hAnsi="Times New Roman" w:cs="Times New Roman"/>
          <w:b/>
          <w:bCs/>
        </w:rPr>
        <w:t>The costs of not investing in education are colossal. Governments stand to lose out on US$1.1 trillion in foregone revenue each year for early school leavers and US$3.3 trillion per year for children without basic skills.</w:t>
      </w:r>
      <w:r w:rsidRPr="00C252FA">
        <w:rPr>
          <w:rStyle w:val="FootnoteReference"/>
          <w:rFonts w:ascii="Times New Roman" w:hAnsi="Times New Roman" w:cs="Times New Roman"/>
        </w:rPr>
        <w:footnoteReference w:id="5"/>
      </w:r>
    </w:p>
    <w:p w14:paraId="709A9D1C" w14:textId="77777777" w:rsidR="00005D78" w:rsidRPr="00C252FA" w:rsidRDefault="00005D78" w:rsidP="00C252FA">
      <w:pPr>
        <w:spacing w:after="0" w:line="276" w:lineRule="auto"/>
        <w:jc w:val="both"/>
        <w:rPr>
          <w:rFonts w:ascii="Times New Roman" w:hAnsi="Times New Roman" w:cs="Times New Roman"/>
        </w:rPr>
      </w:pPr>
    </w:p>
    <w:p w14:paraId="095421B4" w14:textId="3884C386" w:rsidR="00222CE0" w:rsidRPr="00C252FA" w:rsidRDefault="00222CE0" w:rsidP="00C252FA">
      <w:pPr>
        <w:spacing w:after="0" w:line="276" w:lineRule="auto"/>
        <w:jc w:val="both"/>
        <w:rPr>
          <w:rFonts w:ascii="Times New Roman" w:hAnsi="Times New Roman" w:cs="Times New Roman"/>
        </w:rPr>
      </w:pPr>
      <w:r w:rsidRPr="00C252FA">
        <w:rPr>
          <w:rFonts w:ascii="Times New Roman" w:hAnsi="Times New Roman" w:cs="Times New Roman"/>
        </w:rPr>
        <w:t>Despite the crucial role of education on a global scale, financial support for it through Official Development Assistance (ODA) has been on the decline since 2002</w:t>
      </w:r>
      <w:r w:rsidR="004C79D5" w:rsidRPr="00C252FA">
        <w:rPr>
          <w:rFonts w:ascii="Times New Roman" w:hAnsi="Times New Roman" w:cs="Times New Roman"/>
        </w:rPr>
        <w:t>,</w:t>
      </w:r>
      <w:r w:rsidRPr="00C252FA">
        <w:rPr>
          <w:rFonts w:ascii="Times New Roman" w:hAnsi="Times New Roman" w:cs="Times New Roman"/>
        </w:rPr>
        <w:t xml:space="preserve"> </w:t>
      </w:r>
      <w:r w:rsidRPr="00C252FA">
        <w:rPr>
          <w:rFonts w:ascii="Times New Roman" w:hAnsi="Times New Roman" w:cs="Times New Roman"/>
          <w:b/>
          <w:bCs/>
        </w:rPr>
        <w:t>funding for education has plummeted from 12% to 7.6%.</w:t>
      </w:r>
      <w:r w:rsidR="004C79D5" w:rsidRPr="00C252FA">
        <w:rPr>
          <w:rFonts w:ascii="Times New Roman" w:hAnsi="Times New Roman" w:cs="Times New Roman"/>
        </w:rPr>
        <w:t xml:space="preserve"> </w:t>
      </w:r>
      <w:r w:rsidR="004C79D5" w:rsidRPr="00C252FA">
        <w:rPr>
          <w:rStyle w:val="FootnoteReference"/>
          <w:rFonts w:ascii="Times New Roman" w:hAnsi="Times New Roman" w:cs="Times New Roman"/>
        </w:rPr>
        <w:footnoteReference w:id="6"/>
      </w:r>
      <w:r w:rsidRPr="00C252FA">
        <w:rPr>
          <w:rFonts w:ascii="Times New Roman" w:hAnsi="Times New Roman" w:cs="Times New Roman"/>
        </w:rPr>
        <w:t xml:space="preserve"> Although the total ODA directed towards education reached $16.6 billion in 2022, this amount remains insufficient and disproportionately distributed, especially given that Sub-Saharan Africa, which houses more than half of the world's out-of-school children, receives under one-third of this aid for basic education.</w:t>
      </w:r>
    </w:p>
    <w:p w14:paraId="05EF5A48" w14:textId="77777777" w:rsidR="00114EE6" w:rsidRPr="00C252FA" w:rsidRDefault="00AC44F5" w:rsidP="00C252FA">
      <w:pPr>
        <w:spacing w:after="0" w:line="276" w:lineRule="auto"/>
        <w:jc w:val="both"/>
        <w:rPr>
          <w:rFonts w:ascii="Times New Roman" w:hAnsi="Times New Roman" w:cs="Times New Roman"/>
          <w:color w:val="000000" w:themeColor="text1"/>
        </w:rPr>
      </w:pPr>
      <w:r w:rsidRPr="00C252FA">
        <w:rPr>
          <w:rFonts w:ascii="Times New Roman" w:hAnsi="Times New Roman" w:cs="Times New Roman"/>
          <w:color w:val="000000" w:themeColor="text1"/>
        </w:rPr>
        <w:lastRenderedPageBreak/>
        <w:t>A 2023 costing exercise determined that achieving SDG4 would require an annual investment of US$461 billion from 2023 to 2030 across 79 low- and lower-middle-income countries</w:t>
      </w:r>
      <w:r w:rsidR="00114EE6" w:rsidRPr="00C252FA">
        <w:rPr>
          <w:rStyle w:val="FootnoteReference"/>
          <w:rFonts w:ascii="Times New Roman" w:hAnsi="Times New Roman" w:cs="Times New Roman"/>
          <w:color w:val="000000" w:themeColor="text1"/>
        </w:rPr>
        <w:footnoteReference w:id="7"/>
      </w:r>
      <w:r w:rsidRPr="00C252FA">
        <w:rPr>
          <w:rFonts w:ascii="Times New Roman" w:hAnsi="Times New Roman" w:cs="Times New Roman"/>
          <w:color w:val="000000" w:themeColor="text1"/>
        </w:rPr>
        <w:t xml:space="preserve">. These countries are experiencing a significant </w:t>
      </w:r>
      <w:r w:rsidRPr="00A91683">
        <w:rPr>
          <w:rFonts w:ascii="Times New Roman" w:hAnsi="Times New Roman" w:cs="Times New Roman"/>
          <w:b/>
          <w:bCs/>
          <w:color w:val="000000" w:themeColor="text1"/>
        </w:rPr>
        <w:t>annual financing shortfall of</w:t>
      </w:r>
      <w:r w:rsidRPr="00C252FA">
        <w:rPr>
          <w:rFonts w:ascii="Times New Roman" w:hAnsi="Times New Roman" w:cs="Times New Roman"/>
          <w:color w:val="000000" w:themeColor="text1"/>
        </w:rPr>
        <w:t xml:space="preserve"> </w:t>
      </w:r>
      <w:r w:rsidRPr="00A91683">
        <w:rPr>
          <w:rFonts w:ascii="Times New Roman" w:hAnsi="Times New Roman" w:cs="Times New Roman"/>
          <w:b/>
          <w:bCs/>
          <w:color w:val="000000" w:themeColor="text1"/>
        </w:rPr>
        <w:t>US$97 billion</w:t>
      </w:r>
      <w:r w:rsidRPr="00C252FA">
        <w:rPr>
          <w:rFonts w:ascii="Times New Roman" w:hAnsi="Times New Roman" w:cs="Times New Roman"/>
          <w:color w:val="000000" w:themeColor="text1"/>
        </w:rPr>
        <w:t xml:space="preserve">, with Sub-Saharan Africa alone needing US$70 billion. </w:t>
      </w:r>
    </w:p>
    <w:p w14:paraId="70F4CA0B" w14:textId="77777777" w:rsidR="00114EE6" w:rsidRPr="00C252FA" w:rsidRDefault="00114EE6" w:rsidP="00C252FA">
      <w:pPr>
        <w:spacing w:after="0" w:line="276" w:lineRule="auto"/>
        <w:jc w:val="both"/>
        <w:rPr>
          <w:rFonts w:ascii="Times New Roman" w:hAnsi="Times New Roman" w:cs="Times New Roman"/>
        </w:rPr>
      </w:pPr>
    </w:p>
    <w:p w14:paraId="3F9DAD5F" w14:textId="522CAA9F" w:rsidR="000741CF" w:rsidRDefault="00AC44F5" w:rsidP="00C252FA">
      <w:pPr>
        <w:spacing w:after="0" w:line="276" w:lineRule="auto"/>
        <w:jc w:val="both"/>
        <w:rPr>
          <w:rFonts w:ascii="Times New Roman" w:hAnsi="Times New Roman" w:cs="Times New Roman"/>
        </w:rPr>
      </w:pPr>
      <w:r w:rsidRPr="00C252FA">
        <w:rPr>
          <w:rFonts w:ascii="Times New Roman" w:hAnsi="Times New Roman" w:cs="Times New Roman"/>
        </w:rPr>
        <w:t>The situation is exacerbated by global macroeconomic deterioration and fiscal austerity, pushing many of these economies into debt distress or default.</w:t>
      </w:r>
      <w:r w:rsidR="00670104" w:rsidRPr="00C252FA">
        <w:rPr>
          <w:rStyle w:val="FootnoteReference"/>
          <w:rFonts w:ascii="Times New Roman" w:eastAsia="Poppins" w:hAnsi="Times New Roman" w:cs="Times New Roman"/>
          <w:color w:val="000000" w:themeColor="text1"/>
        </w:rPr>
        <w:t xml:space="preserve"> </w:t>
      </w:r>
      <w:r w:rsidR="00670104" w:rsidRPr="00C252FA">
        <w:rPr>
          <w:rStyle w:val="FootnoteReference"/>
          <w:rFonts w:ascii="Times New Roman" w:eastAsia="Poppins" w:hAnsi="Times New Roman" w:cs="Times New Roman"/>
          <w:color w:val="000000" w:themeColor="text1"/>
        </w:rPr>
        <w:footnoteReference w:id="8"/>
      </w:r>
      <w:r w:rsidRPr="00C252FA">
        <w:rPr>
          <w:rFonts w:ascii="Times New Roman" w:hAnsi="Times New Roman" w:cs="Times New Roman"/>
        </w:rPr>
        <w:t xml:space="preserve"> The average government debt in these countries has reached 72% of GDP, the highest in 18 years</w:t>
      </w:r>
      <w:r w:rsidR="000B511C" w:rsidRPr="00C252FA">
        <w:rPr>
          <w:rStyle w:val="FootnoteReference"/>
          <w:rFonts w:ascii="Times New Roman" w:hAnsi="Times New Roman" w:cs="Times New Roman"/>
        </w:rPr>
        <w:footnoteReference w:id="9"/>
      </w:r>
      <w:r w:rsidRPr="00C252FA">
        <w:rPr>
          <w:rFonts w:ascii="Times New Roman" w:hAnsi="Times New Roman" w:cs="Times New Roman"/>
        </w:rPr>
        <w:t>, with debt servicing now consuming more resources than economic growth, thereby constricting the fiscal room needed for critical public services like education.</w:t>
      </w:r>
      <w:r w:rsidR="000B511C" w:rsidRPr="00C252FA">
        <w:rPr>
          <w:rStyle w:val="FootnoteReference"/>
          <w:rFonts w:ascii="Times New Roman" w:eastAsia="Poppins" w:hAnsi="Times New Roman" w:cs="Times New Roman"/>
          <w:color w:val="000000" w:themeColor="text1"/>
        </w:rPr>
        <w:t xml:space="preserve"> </w:t>
      </w:r>
      <w:r w:rsidR="000B511C" w:rsidRPr="00C252FA">
        <w:rPr>
          <w:rStyle w:val="FootnoteReference"/>
          <w:rFonts w:ascii="Times New Roman" w:eastAsia="Poppins" w:hAnsi="Times New Roman" w:cs="Times New Roman"/>
          <w:color w:val="000000" w:themeColor="text1"/>
        </w:rPr>
        <w:footnoteReference w:id="10"/>
      </w:r>
      <w:r w:rsidRPr="00C252FA">
        <w:rPr>
          <w:rFonts w:ascii="Times New Roman" w:hAnsi="Times New Roman" w:cs="Times New Roman"/>
        </w:rPr>
        <w:t xml:space="preserve"> This issue was highlighted during the COVID-19 pandemic when a </w:t>
      </w:r>
      <w:r w:rsidR="00370C54" w:rsidRPr="00C252FA">
        <w:rPr>
          <w:rFonts w:ascii="Times New Roman" w:hAnsi="Times New Roman" w:cs="Times New Roman"/>
        </w:rPr>
        <w:t>1%</w:t>
      </w:r>
      <w:r w:rsidRPr="00C252FA">
        <w:rPr>
          <w:rFonts w:ascii="Times New Roman" w:hAnsi="Times New Roman" w:cs="Times New Roman"/>
        </w:rPr>
        <w:t xml:space="preserve"> increase in external debt led to a </w:t>
      </w:r>
      <w:r w:rsidR="00370C54" w:rsidRPr="00C252FA">
        <w:rPr>
          <w:rFonts w:ascii="Times New Roman" w:hAnsi="Times New Roman" w:cs="Times New Roman"/>
        </w:rPr>
        <w:t xml:space="preserve">2.9% </w:t>
      </w:r>
      <w:r w:rsidRPr="00C252FA">
        <w:rPr>
          <w:rFonts w:ascii="Times New Roman" w:hAnsi="Times New Roman" w:cs="Times New Roman"/>
        </w:rPr>
        <w:t>cut in education spending per child</w:t>
      </w:r>
      <w:r w:rsidR="00370C54" w:rsidRPr="00C252FA">
        <w:rPr>
          <w:rStyle w:val="FootnoteReference"/>
          <w:rFonts w:ascii="Times New Roman" w:eastAsia="Poppins" w:hAnsi="Times New Roman" w:cs="Times New Roman"/>
          <w:color w:val="000000" w:themeColor="text1"/>
        </w:rPr>
        <w:footnoteReference w:id="11"/>
      </w:r>
      <w:r w:rsidRPr="00C252FA">
        <w:rPr>
          <w:rFonts w:ascii="Times New Roman" w:hAnsi="Times New Roman" w:cs="Times New Roman"/>
        </w:rPr>
        <w:t>.</w:t>
      </w:r>
    </w:p>
    <w:p w14:paraId="700114CB" w14:textId="77777777" w:rsidR="00894C6D" w:rsidRDefault="00894C6D" w:rsidP="00C252FA">
      <w:pPr>
        <w:spacing w:after="0" w:line="276" w:lineRule="auto"/>
        <w:jc w:val="both"/>
        <w:rPr>
          <w:rFonts w:ascii="Times New Roman" w:hAnsi="Times New Roman" w:cs="Times New Roman"/>
        </w:rPr>
      </w:pPr>
    </w:p>
    <w:p w14:paraId="0671DA55" w14:textId="767B345A" w:rsidR="00785381" w:rsidRDefault="00785381" w:rsidP="00785381">
      <w:pPr>
        <w:spacing w:after="0" w:line="276" w:lineRule="auto"/>
        <w:jc w:val="both"/>
        <w:rPr>
          <w:rFonts w:ascii="Times New Roman" w:hAnsi="Times New Roman" w:cs="Times New Roman"/>
        </w:rPr>
      </w:pPr>
      <w:r w:rsidRPr="001A217D">
        <w:rPr>
          <w:rFonts w:ascii="Times New Roman" w:hAnsi="Times New Roman" w:cs="Times New Roman"/>
        </w:rPr>
        <w:t xml:space="preserve">It is estimated that every </w:t>
      </w:r>
      <w:r w:rsidRPr="001A217D">
        <w:rPr>
          <w:rFonts w:ascii="Times New Roman" w:hAnsi="Times New Roman" w:cs="Times New Roman"/>
          <w:b/>
          <w:bCs/>
        </w:rPr>
        <w:t>$1 invested</w:t>
      </w:r>
      <w:r w:rsidRPr="001A217D">
        <w:rPr>
          <w:rFonts w:ascii="Times New Roman" w:hAnsi="Times New Roman" w:cs="Times New Roman"/>
        </w:rPr>
        <w:t xml:space="preserve"> in strengthening </w:t>
      </w:r>
      <w:r w:rsidRPr="001A217D">
        <w:rPr>
          <w:rFonts w:ascii="Times New Roman" w:hAnsi="Times New Roman" w:cs="Times New Roman"/>
          <w:b/>
          <w:bCs/>
        </w:rPr>
        <w:t>data systems</w:t>
      </w:r>
      <w:r w:rsidRPr="001A217D">
        <w:rPr>
          <w:rFonts w:ascii="Times New Roman" w:hAnsi="Times New Roman" w:cs="Times New Roman"/>
        </w:rPr>
        <w:t xml:space="preserve"> in low- and middle-income countries generates an average </w:t>
      </w:r>
      <w:r w:rsidRPr="001A217D">
        <w:rPr>
          <w:rFonts w:ascii="Times New Roman" w:hAnsi="Times New Roman" w:cs="Times New Roman"/>
          <w:b/>
          <w:bCs/>
        </w:rPr>
        <w:t>return of $32</w:t>
      </w:r>
      <w:r>
        <w:rPr>
          <w:rStyle w:val="FootnoteReference"/>
          <w:rFonts w:ascii="Times New Roman" w:hAnsi="Times New Roman" w:cs="Times New Roman"/>
        </w:rPr>
        <w:footnoteReference w:id="12"/>
      </w:r>
      <w:r w:rsidRPr="001A217D">
        <w:rPr>
          <w:rFonts w:ascii="Times New Roman" w:hAnsi="Times New Roman" w:cs="Times New Roman"/>
        </w:rPr>
        <w:t>. This underscores the</w:t>
      </w:r>
      <w:r>
        <w:rPr>
          <w:rFonts w:ascii="Times New Roman" w:hAnsi="Times New Roman" w:cs="Times New Roman"/>
        </w:rPr>
        <w:t xml:space="preserve"> crucial</w:t>
      </w:r>
      <w:r w:rsidRPr="001A217D">
        <w:rPr>
          <w:rFonts w:ascii="Times New Roman" w:hAnsi="Times New Roman" w:cs="Times New Roman"/>
        </w:rPr>
        <w:t xml:space="preserve"> role that timely, accurate, and high-quality education data play in shaping effective policies. Without relevant, comparable, and accessible data, policymakers lack the evidence needed for informed decision-making, leaving critical challenges in the education sector unaddressed. Strong statistical systems are essential not only for driving national education development plans but also for aligning with regional and global development goals. Investing in these systems is crucial for sustainable, data-driven policymaking.</w:t>
      </w:r>
    </w:p>
    <w:p w14:paraId="411A73E4" w14:textId="77777777" w:rsidR="00785381" w:rsidRDefault="00785381" w:rsidP="00C252FA">
      <w:pPr>
        <w:spacing w:after="0" w:line="276" w:lineRule="auto"/>
        <w:jc w:val="both"/>
        <w:rPr>
          <w:rFonts w:ascii="Times New Roman" w:hAnsi="Times New Roman" w:cs="Times New Roman"/>
        </w:rPr>
      </w:pPr>
    </w:p>
    <w:p w14:paraId="56E910E8" w14:textId="1C9378C8" w:rsidR="00005D78" w:rsidRPr="00C252FA" w:rsidRDefault="0051511A" w:rsidP="00C252FA">
      <w:pPr>
        <w:adjustRightInd w:val="0"/>
        <w:snapToGrid w:val="0"/>
        <w:spacing w:after="0" w:line="276" w:lineRule="auto"/>
        <w:jc w:val="both"/>
        <w:rPr>
          <w:rFonts w:ascii="Times New Roman" w:hAnsi="Times New Roman" w:cs="Times New Roman"/>
          <w:b/>
          <w:bCs/>
        </w:rPr>
      </w:pPr>
      <w:r w:rsidRPr="00C252FA">
        <w:rPr>
          <w:rFonts w:ascii="Times New Roman" w:hAnsi="Times New Roman" w:cs="Times New Roman"/>
        </w:rPr>
        <w:t>To break the cycle of poverty, inequality, and social exclusion and achieve the S</w:t>
      </w:r>
      <w:r w:rsidR="008B2F50" w:rsidRPr="00C252FA">
        <w:rPr>
          <w:rFonts w:ascii="Times New Roman" w:hAnsi="Times New Roman" w:cs="Times New Roman"/>
        </w:rPr>
        <w:t>DGs</w:t>
      </w:r>
      <w:r w:rsidRPr="00C252FA">
        <w:rPr>
          <w:rFonts w:ascii="Times New Roman" w:hAnsi="Times New Roman" w:cs="Times New Roman"/>
        </w:rPr>
        <w:t xml:space="preserve">, it is imperative to urgently and systematically address the funding shortfall in education. This requires the adoption of new and innovative financing strategies, which should include enhancing domestic resource mobilization, reinforcing international cooperation, and implementing effective debt relief and restructuring mechanisms. </w:t>
      </w:r>
      <w:r w:rsidRPr="00C252FA">
        <w:rPr>
          <w:rFonts w:ascii="Times New Roman" w:hAnsi="Times New Roman" w:cs="Times New Roman"/>
          <w:b/>
          <w:bCs/>
        </w:rPr>
        <w:t>Without a dedicated effort to bolster education financing, the global education crisis is poised to intensify, jeopardizing the fulfillment of the 2030 Agenda.</w:t>
      </w:r>
    </w:p>
    <w:p w14:paraId="3EEA693C" w14:textId="77777777" w:rsidR="00F40165" w:rsidRPr="00C252FA" w:rsidRDefault="00F40165" w:rsidP="00C252FA">
      <w:pPr>
        <w:adjustRightInd w:val="0"/>
        <w:snapToGrid w:val="0"/>
        <w:spacing w:after="0" w:line="276" w:lineRule="auto"/>
        <w:jc w:val="both"/>
        <w:rPr>
          <w:rFonts w:ascii="Times New Roman" w:eastAsia="Times New Roman" w:hAnsi="Times New Roman" w:cs="Times New Roman"/>
          <w:bCs/>
        </w:rPr>
      </w:pPr>
    </w:p>
    <w:p w14:paraId="61260425" w14:textId="77777777" w:rsidR="00B202F2" w:rsidRPr="00C252FA" w:rsidRDefault="00B202F2" w:rsidP="00C252FA">
      <w:pPr>
        <w:adjustRightInd w:val="0"/>
        <w:snapToGrid w:val="0"/>
        <w:spacing w:after="0" w:line="276" w:lineRule="auto"/>
        <w:jc w:val="both"/>
        <w:rPr>
          <w:rFonts w:ascii="Times New Roman" w:eastAsia="Times New Roman" w:hAnsi="Times New Roman" w:cs="Times New Roman"/>
          <w:bCs/>
        </w:rPr>
      </w:pPr>
    </w:p>
    <w:p w14:paraId="02EEF62F" w14:textId="77777777" w:rsidR="006A2DF7" w:rsidRPr="00C252FA" w:rsidRDefault="006A2DF7" w:rsidP="00C252FA">
      <w:pPr>
        <w:pStyle w:val="ListParagraph"/>
        <w:numPr>
          <w:ilvl w:val="0"/>
          <w:numId w:val="10"/>
        </w:numPr>
        <w:adjustRightInd w:val="0"/>
        <w:snapToGrid w:val="0"/>
        <w:spacing w:after="0" w:line="276" w:lineRule="auto"/>
        <w:jc w:val="both"/>
        <w:rPr>
          <w:rFonts w:ascii="Times New Roman" w:eastAsia="Times New Roman" w:hAnsi="Times New Roman" w:cs="Times New Roman"/>
          <w:b/>
          <w:color w:val="2F5496" w:themeColor="accent5" w:themeShade="BF"/>
          <w:u w:val="single"/>
          <w:lang w:val="en-US"/>
        </w:rPr>
      </w:pPr>
      <w:r w:rsidRPr="00C252FA">
        <w:rPr>
          <w:rFonts w:ascii="Times New Roman" w:eastAsia="Times New Roman" w:hAnsi="Times New Roman" w:cs="Times New Roman"/>
          <w:b/>
          <w:color w:val="2F5496" w:themeColor="accent5" w:themeShade="BF"/>
          <w:u w:val="single"/>
          <w:lang w:val="en-US"/>
        </w:rPr>
        <w:t xml:space="preserve">RECOMMENDATIONS </w:t>
      </w:r>
    </w:p>
    <w:p w14:paraId="342B4A8A" w14:textId="2062A209" w:rsidR="0000571A" w:rsidRPr="00C252FA" w:rsidRDefault="00ED162E" w:rsidP="00C252FA">
      <w:pPr>
        <w:tabs>
          <w:tab w:val="left" w:pos="5970"/>
        </w:tabs>
        <w:adjustRightInd w:val="0"/>
        <w:snapToGrid w:val="0"/>
        <w:spacing w:after="0" w:line="276" w:lineRule="auto"/>
        <w:jc w:val="both"/>
        <w:rPr>
          <w:rFonts w:ascii="Times New Roman" w:eastAsia="Times New Roman" w:hAnsi="Times New Roman" w:cs="Times New Roman"/>
          <w:bCs/>
        </w:rPr>
      </w:pPr>
      <w:r w:rsidRPr="00C252FA">
        <w:rPr>
          <w:rFonts w:ascii="Times New Roman" w:eastAsia="Times New Roman" w:hAnsi="Times New Roman" w:cs="Times New Roman"/>
          <w:bCs/>
        </w:rPr>
        <w:tab/>
      </w:r>
    </w:p>
    <w:p w14:paraId="0C205C36" w14:textId="057A905F" w:rsidR="0000571A" w:rsidRDefault="00A83CCA" w:rsidP="00C252FA">
      <w:pPr>
        <w:spacing w:after="0" w:line="276" w:lineRule="auto"/>
        <w:jc w:val="both"/>
        <w:rPr>
          <w:rFonts w:ascii="Times New Roman" w:hAnsi="Times New Roman" w:cs="Times New Roman"/>
        </w:rPr>
      </w:pPr>
      <w:r>
        <w:rPr>
          <w:rFonts w:ascii="Times New Roman" w:hAnsi="Times New Roman" w:cs="Times New Roman"/>
        </w:rPr>
        <w:t>T</w:t>
      </w:r>
      <w:r w:rsidR="00B0064E" w:rsidRPr="00C252FA">
        <w:rPr>
          <w:rFonts w:ascii="Times New Roman" w:hAnsi="Times New Roman" w:cs="Times New Roman"/>
        </w:rPr>
        <w:t xml:space="preserve">he 4th Financing for Development Conference </w:t>
      </w:r>
      <w:r>
        <w:rPr>
          <w:rFonts w:ascii="Times New Roman" w:hAnsi="Times New Roman" w:cs="Times New Roman"/>
        </w:rPr>
        <w:t>is</w:t>
      </w:r>
      <w:r w:rsidRPr="00C252FA">
        <w:rPr>
          <w:rFonts w:ascii="Times New Roman" w:hAnsi="Times New Roman" w:cs="Times New Roman"/>
        </w:rPr>
        <w:t xml:space="preserve"> </w:t>
      </w:r>
      <w:r w:rsidR="00B0064E" w:rsidRPr="00C252FA">
        <w:rPr>
          <w:rFonts w:ascii="Times New Roman" w:hAnsi="Times New Roman" w:cs="Times New Roman"/>
        </w:rPr>
        <w:t xml:space="preserve">a pivotal opportunity to accelerate progress toward SDG 4. </w:t>
      </w:r>
      <w:r w:rsidR="00BE262E">
        <w:rPr>
          <w:rFonts w:ascii="Times New Roman" w:hAnsi="Times New Roman" w:cs="Times New Roman"/>
        </w:rPr>
        <w:t>It should adopt</w:t>
      </w:r>
      <w:r w:rsidR="00B0064E" w:rsidRPr="00C252FA">
        <w:rPr>
          <w:rFonts w:ascii="Times New Roman" w:hAnsi="Times New Roman" w:cs="Times New Roman"/>
        </w:rPr>
        <w:t xml:space="preserve"> an outcome document that presents concrete, action-oriented recommendations to strengthen the financing of inclusive and equitable quality education, recognizing it as a fundamental driver for achieving all the Sustainable Development Goals. Key recommendations include:</w:t>
      </w:r>
    </w:p>
    <w:p w14:paraId="78CF7C7F" w14:textId="77777777" w:rsidR="00FC4DC3" w:rsidRPr="00C252FA" w:rsidRDefault="00FC4DC3" w:rsidP="00C252FA">
      <w:pPr>
        <w:spacing w:after="0" w:line="276" w:lineRule="auto"/>
        <w:jc w:val="both"/>
        <w:rPr>
          <w:rFonts w:ascii="Times New Roman" w:hAnsi="Times New Roman" w:cs="Times New Roman"/>
        </w:rPr>
      </w:pPr>
    </w:p>
    <w:p w14:paraId="1825DF1F" w14:textId="77777777" w:rsidR="00B0064E" w:rsidRPr="00C252FA" w:rsidRDefault="00B0064E" w:rsidP="00C252FA">
      <w:pPr>
        <w:adjustRightInd w:val="0"/>
        <w:snapToGrid w:val="0"/>
        <w:spacing w:after="0" w:line="276" w:lineRule="auto"/>
        <w:jc w:val="both"/>
        <w:rPr>
          <w:rFonts w:ascii="Times New Roman" w:eastAsia="Times New Roman" w:hAnsi="Times New Roman" w:cs="Times New Roman"/>
          <w:bCs/>
        </w:rPr>
      </w:pPr>
    </w:p>
    <w:p w14:paraId="4C7DA75F" w14:textId="77777777" w:rsidR="00394CE6" w:rsidRPr="00C252FA" w:rsidRDefault="00394CE6" w:rsidP="00C252FA">
      <w:pPr>
        <w:pStyle w:val="ListParagraph"/>
        <w:numPr>
          <w:ilvl w:val="0"/>
          <w:numId w:val="5"/>
        </w:numPr>
        <w:adjustRightInd w:val="0"/>
        <w:snapToGrid w:val="0"/>
        <w:spacing w:after="0" w:line="276" w:lineRule="auto"/>
        <w:jc w:val="both"/>
        <w:rPr>
          <w:rFonts w:ascii="Times New Roman" w:eastAsia="Times New Roman" w:hAnsi="Times New Roman" w:cs="Times New Roman"/>
          <w:b/>
          <w:u w:val="single"/>
          <w:lang w:val="en-US"/>
        </w:rPr>
      </w:pPr>
      <w:r w:rsidRPr="00C252FA">
        <w:rPr>
          <w:rFonts w:ascii="Times New Roman" w:eastAsia="Times New Roman" w:hAnsi="Times New Roman" w:cs="Times New Roman"/>
          <w:b/>
          <w:u w:val="single"/>
          <w:lang w:val="en-US"/>
        </w:rPr>
        <w:lastRenderedPageBreak/>
        <w:t xml:space="preserve">Action areas Domestic public resources </w:t>
      </w:r>
    </w:p>
    <w:p w14:paraId="05E10609" w14:textId="77777777" w:rsidR="00196615" w:rsidRPr="00C252FA" w:rsidRDefault="00196615" w:rsidP="00C252FA">
      <w:pPr>
        <w:pStyle w:val="ListParagraph"/>
        <w:adjustRightInd w:val="0"/>
        <w:snapToGrid w:val="0"/>
        <w:spacing w:after="0" w:line="276" w:lineRule="auto"/>
        <w:jc w:val="both"/>
        <w:rPr>
          <w:rFonts w:ascii="Times New Roman" w:eastAsia="Times New Roman" w:hAnsi="Times New Roman" w:cs="Times New Roman"/>
          <w:b/>
          <w:lang w:val="en-US"/>
        </w:rPr>
      </w:pPr>
    </w:p>
    <w:p w14:paraId="0B8AC806" w14:textId="4CEEF2AF" w:rsidR="00394CE6" w:rsidRPr="00C252FA" w:rsidRDefault="00394CE6" w:rsidP="00C252FA">
      <w:pPr>
        <w:pStyle w:val="ListParagraph"/>
        <w:numPr>
          <w:ilvl w:val="0"/>
          <w:numId w:val="6"/>
        </w:numPr>
        <w:adjustRightInd w:val="0"/>
        <w:snapToGrid w:val="0"/>
        <w:spacing w:after="0" w:line="276" w:lineRule="auto"/>
        <w:jc w:val="both"/>
        <w:rPr>
          <w:rFonts w:ascii="Times New Roman" w:eastAsia="Times New Roman" w:hAnsi="Times New Roman" w:cs="Times New Roman"/>
          <w:b/>
          <w:lang w:val="en-US"/>
        </w:rPr>
      </w:pPr>
      <w:r w:rsidRPr="00C252FA">
        <w:rPr>
          <w:rFonts w:ascii="Times New Roman" w:eastAsia="Times New Roman" w:hAnsi="Times New Roman" w:cs="Times New Roman"/>
          <w:b/>
          <w:lang w:val="en-US"/>
        </w:rPr>
        <w:t xml:space="preserve">Domestic and international private business and finance </w:t>
      </w:r>
    </w:p>
    <w:p w14:paraId="3C6CE49F" w14:textId="77777777" w:rsidR="00405E66" w:rsidRPr="00C252FA" w:rsidRDefault="00405E66" w:rsidP="00C252FA">
      <w:pPr>
        <w:adjustRightInd w:val="0"/>
        <w:snapToGrid w:val="0"/>
        <w:spacing w:after="0" w:line="276" w:lineRule="auto"/>
        <w:jc w:val="both"/>
        <w:rPr>
          <w:rFonts w:ascii="Times New Roman" w:eastAsia="Times New Roman" w:hAnsi="Times New Roman" w:cs="Times New Roman"/>
          <w:b/>
        </w:rPr>
      </w:pPr>
    </w:p>
    <w:p w14:paraId="1AB544CC" w14:textId="61B2BF7F" w:rsidR="002673AE" w:rsidRPr="00C252FA" w:rsidRDefault="004F0AC7" w:rsidP="00C252FA">
      <w:pPr>
        <w:spacing w:after="0" w:line="276" w:lineRule="auto"/>
        <w:jc w:val="both"/>
        <w:rPr>
          <w:rFonts w:ascii="Times New Roman" w:hAnsi="Times New Roman" w:cs="Times New Roman"/>
        </w:rPr>
      </w:pPr>
      <w:r w:rsidRPr="00C252FA">
        <w:rPr>
          <w:rFonts w:ascii="Times New Roman" w:hAnsi="Times New Roman" w:cs="Times New Roman"/>
        </w:rPr>
        <w:t xml:space="preserve">Governments should be </w:t>
      </w:r>
      <w:r w:rsidR="00C97B06" w:rsidRPr="00C252FA">
        <w:rPr>
          <w:rFonts w:ascii="Times New Roman" w:hAnsi="Times New Roman" w:cs="Times New Roman"/>
        </w:rPr>
        <w:t xml:space="preserve">strongly </w:t>
      </w:r>
      <w:r w:rsidRPr="00C252FA">
        <w:rPr>
          <w:rFonts w:ascii="Times New Roman" w:hAnsi="Times New Roman" w:cs="Times New Roman"/>
        </w:rPr>
        <w:t xml:space="preserve">encouraged to prioritize domestic resource mobilization to generate additional funding for education, with a key emphasis on expanding tax bases and increasing the tax-to-GDP ratio to at least 15%, a level deemed essential for financing basic state functions and social services. At the same time, they should aim to </w:t>
      </w:r>
      <w:r w:rsidRPr="00C252FA">
        <w:rPr>
          <w:rFonts w:ascii="Times New Roman" w:hAnsi="Times New Roman" w:cs="Times New Roman"/>
          <w:b/>
          <w:bCs/>
        </w:rPr>
        <w:t>allocate 4-6% of GDP or 15-20% of total government expenditures to education.</w:t>
      </w:r>
      <w:r w:rsidR="00D50217" w:rsidRPr="00C252FA">
        <w:rPr>
          <w:rStyle w:val="FootnoteReference"/>
          <w:rFonts w:ascii="Times New Roman" w:hAnsi="Times New Roman" w:cs="Times New Roman"/>
        </w:rPr>
        <w:footnoteReference w:id="13"/>
      </w:r>
      <w:r w:rsidR="009C6B33" w:rsidRPr="00C252FA">
        <w:rPr>
          <w:rFonts w:ascii="Times New Roman" w:hAnsi="Times New Roman" w:cs="Times New Roman"/>
        </w:rPr>
        <w:t xml:space="preserve"> Additionally, governments should increase the dedicated fiscal space for education and commit to ring-fencing funds for both social protection and education systems to ensure stable, protected investment in these critical sectors.</w:t>
      </w:r>
      <w:r w:rsidRPr="00C252FA">
        <w:rPr>
          <w:rFonts w:ascii="Times New Roman" w:hAnsi="Times New Roman" w:cs="Times New Roman"/>
        </w:rPr>
        <w:t xml:space="preserve"> </w:t>
      </w:r>
    </w:p>
    <w:p w14:paraId="2642169B" w14:textId="77777777" w:rsidR="004F0AC7" w:rsidRPr="00C252FA" w:rsidRDefault="004F0AC7" w:rsidP="00C252FA">
      <w:pPr>
        <w:spacing w:after="0" w:line="276" w:lineRule="auto"/>
        <w:jc w:val="both"/>
        <w:rPr>
          <w:rFonts w:ascii="Times New Roman" w:hAnsi="Times New Roman" w:cs="Times New Roman"/>
        </w:rPr>
      </w:pPr>
    </w:p>
    <w:p w14:paraId="0EAB70FC" w14:textId="202C7964" w:rsidR="00246376" w:rsidRPr="00C252FA" w:rsidRDefault="00246376" w:rsidP="00C252FA">
      <w:pPr>
        <w:spacing w:after="0" w:line="276" w:lineRule="auto"/>
        <w:jc w:val="both"/>
        <w:rPr>
          <w:rFonts w:ascii="Times New Roman" w:hAnsi="Times New Roman" w:cs="Times New Roman"/>
        </w:rPr>
      </w:pPr>
      <w:r w:rsidRPr="00C252FA">
        <w:rPr>
          <w:rFonts w:ascii="Times New Roman" w:hAnsi="Times New Roman" w:cs="Times New Roman"/>
        </w:rPr>
        <w:t xml:space="preserve">A </w:t>
      </w:r>
      <w:r w:rsidRPr="00C252FA">
        <w:rPr>
          <w:rFonts w:ascii="Times New Roman" w:hAnsi="Times New Roman" w:cs="Times New Roman"/>
          <w:b/>
          <w:bCs/>
        </w:rPr>
        <w:t xml:space="preserve">whole-of-government </w:t>
      </w:r>
      <w:r w:rsidR="001D4297" w:rsidRPr="00C252FA">
        <w:rPr>
          <w:rFonts w:ascii="Times New Roman" w:hAnsi="Times New Roman" w:cs="Times New Roman"/>
          <w:b/>
          <w:bCs/>
        </w:rPr>
        <w:t>approach</w:t>
      </w:r>
      <w:r w:rsidRPr="00C252FA">
        <w:rPr>
          <w:rFonts w:ascii="Times New Roman" w:hAnsi="Times New Roman" w:cs="Times New Roman"/>
        </w:rPr>
        <w:t xml:space="preserve"> connecting broader cross-sectoral development goals should be </w:t>
      </w:r>
      <w:r w:rsidR="001D4297" w:rsidRPr="00C252FA">
        <w:rPr>
          <w:rFonts w:ascii="Times New Roman" w:hAnsi="Times New Roman" w:cs="Times New Roman"/>
        </w:rPr>
        <w:t>prioritized</w:t>
      </w:r>
      <w:r w:rsidR="00BB454B" w:rsidRPr="00C252FA">
        <w:rPr>
          <w:rFonts w:ascii="Times New Roman" w:hAnsi="Times New Roman" w:cs="Times New Roman"/>
        </w:rPr>
        <w:t xml:space="preserve">. The </w:t>
      </w:r>
      <w:r w:rsidRPr="00C252FA">
        <w:rPr>
          <w:rFonts w:ascii="Times New Roman" w:hAnsi="Times New Roman" w:cs="Times New Roman"/>
        </w:rPr>
        <w:t>improve</w:t>
      </w:r>
      <w:r w:rsidR="00BB454B" w:rsidRPr="00C252FA">
        <w:rPr>
          <w:rFonts w:ascii="Times New Roman" w:hAnsi="Times New Roman" w:cs="Times New Roman"/>
        </w:rPr>
        <w:t xml:space="preserve">ment of the </w:t>
      </w:r>
      <w:r w:rsidRPr="00C252FA">
        <w:rPr>
          <w:rFonts w:ascii="Times New Roman" w:hAnsi="Times New Roman" w:cs="Times New Roman"/>
        </w:rPr>
        <w:t xml:space="preserve">links between sector planning and budget programming, </w:t>
      </w:r>
      <w:r w:rsidR="00BB454B" w:rsidRPr="00C252FA">
        <w:rPr>
          <w:rFonts w:ascii="Times New Roman" w:hAnsi="Times New Roman" w:cs="Times New Roman"/>
        </w:rPr>
        <w:t xml:space="preserve">are necessary </w:t>
      </w:r>
      <w:r w:rsidRPr="00C252FA">
        <w:rPr>
          <w:rFonts w:ascii="Times New Roman" w:hAnsi="Times New Roman" w:cs="Times New Roman"/>
        </w:rPr>
        <w:t xml:space="preserve">so that education plans have clear and realistic financing strategies with robust cost and revenue provisions. </w:t>
      </w:r>
    </w:p>
    <w:p w14:paraId="036726F0" w14:textId="77777777" w:rsidR="00BB454B" w:rsidRPr="00C252FA" w:rsidRDefault="00BB454B" w:rsidP="00C252FA">
      <w:pPr>
        <w:spacing w:after="0" w:line="276" w:lineRule="auto"/>
        <w:jc w:val="both"/>
        <w:rPr>
          <w:rFonts w:ascii="Times New Roman" w:hAnsi="Times New Roman" w:cs="Times New Roman"/>
        </w:rPr>
      </w:pPr>
    </w:p>
    <w:p w14:paraId="064B429B" w14:textId="30FFAE60" w:rsidR="00A66339" w:rsidRPr="00C252FA" w:rsidRDefault="003E66F4" w:rsidP="00C252FA">
      <w:pPr>
        <w:spacing w:after="0" w:line="276" w:lineRule="auto"/>
        <w:jc w:val="both"/>
        <w:rPr>
          <w:rFonts w:ascii="Times New Roman" w:hAnsi="Times New Roman" w:cs="Times New Roman"/>
        </w:rPr>
      </w:pPr>
      <w:r w:rsidRPr="00C252FA">
        <w:rPr>
          <w:rFonts w:ascii="Times New Roman" w:hAnsi="Times New Roman" w:cs="Times New Roman"/>
        </w:rPr>
        <w:t xml:space="preserve">Particularly, </w:t>
      </w:r>
      <w:r w:rsidR="001D4297" w:rsidRPr="00C252FA">
        <w:rPr>
          <w:rFonts w:ascii="Times New Roman" w:hAnsi="Times New Roman" w:cs="Times New Roman"/>
          <w:b/>
          <w:bCs/>
        </w:rPr>
        <w:t>finance</w:t>
      </w:r>
      <w:r w:rsidR="00A66339" w:rsidRPr="00C252FA">
        <w:rPr>
          <w:rFonts w:ascii="Times New Roman" w:hAnsi="Times New Roman" w:cs="Times New Roman"/>
          <w:b/>
          <w:bCs/>
        </w:rPr>
        <w:t xml:space="preserve"> ministries and education ministries</w:t>
      </w:r>
      <w:r w:rsidR="00A66339" w:rsidRPr="00C252FA" w:rsidDel="00BF105B">
        <w:rPr>
          <w:rFonts w:ascii="Times New Roman" w:hAnsi="Times New Roman" w:cs="Times New Roman"/>
          <w:b/>
          <w:bCs/>
        </w:rPr>
        <w:t xml:space="preserve"> </w:t>
      </w:r>
      <w:r w:rsidR="00E260E9" w:rsidRPr="00C252FA">
        <w:rPr>
          <w:rFonts w:ascii="Times New Roman" w:hAnsi="Times New Roman" w:cs="Times New Roman"/>
          <w:b/>
          <w:bCs/>
        </w:rPr>
        <w:t xml:space="preserve">should be invited to </w:t>
      </w:r>
      <w:r w:rsidR="00A66339" w:rsidRPr="00C252FA">
        <w:rPr>
          <w:rFonts w:ascii="Times New Roman" w:hAnsi="Times New Roman" w:cs="Times New Roman"/>
          <w:b/>
          <w:bCs/>
        </w:rPr>
        <w:t>work together</w:t>
      </w:r>
      <w:r w:rsidR="00A66339" w:rsidRPr="00C252FA">
        <w:rPr>
          <w:rFonts w:ascii="Times New Roman" w:hAnsi="Times New Roman" w:cs="Times New Roman"/>
        </w:rPr>
        <w:t xml:space="preserve"> to devise and implement long-term sustainable financing strategies for the education sector, optimizing the mix of financing options available, and aligned to </w:t>
      </w:r>
      <w:r w:rsidR="00A66339" w:rsidRPr="00C252FA">
        <w:rPr>
          <w:rFonts w:ascii="Times New Roman" w:hAnsi="Times New Roman" w:cs="Times New Roman"/>
          <w:b/>
          <w:bCs/>
        </w:rPr>
        <w:t>country-specific context</w:t>
      </w:r>
      <w:r w:rsidR="00A66339" w:rsidRPr="00C252FA">
        <w:rPr>
          <w:rFonts w:ascii="Times New Roman" w:hAnsi="Times New Roman" w:cs="Times New Roman"/>
        </w:rPr>
        <w:t xml:space="preserve">, needs, and macro-economic and fiscal conditions. These ministries must equally improve the efficiency of domestic resource allocation and spending so that funds are directed towards high-impact areas, while also focusing on the equity and inclusiveness of government investments in education. </w:t>
      </w:r>
    </w:p>
    <w:p w14:paraId="05BC2975" w14:textId="77777777" w:rsidR="009C6B33" w:rsidRPr="00C252FA" w:rsidRDefault="009C6B33" w:rsidP="00C252FA">
      <w:pPr>
        <w:spacing w:after="0" w:line="276" w:lineRule="auto"/>
        <w:jc w:val="both"/>
        <w:rPr>
          <w:rFonts w:ascii="Times New Roman" w:hAnsi="Times New Roman" w:cs="Times New Roman"/>
        </w:rPr>
      </w:pPr>
    </w:p>
    <w:p w14:paraId="66283FDB" w14:textId="77777777" w:rsidR="00394CE6" w:rsidRPr="00C252FA" w:rsidRDefault="00394CE6" w:rsidP="00C252FA">
      <w:pPr>
        <w:pStyle w:val="ListParagraph"/>
        <w:numPr>
          <w:ilvl w:val="0"/>
          <w:numId w:val="6"/>
        </w:numPr>
        <w:adjustRightInd w:val="0"/>
        <w:snapToGrid w:val="0"/>
        <w:spacing w:after="0" w:line="276" w:lineRule="auto"/>
        <w:jc w:val="both"/>
        <w:rPr>
          <w:rFonts w:ascii="Times New Roman" w:eastAsia="Times New Roman" w:hAnsi="Times New Roman" w:cs="Times New Roman"/>
          <w:b/>
          <w:lang w:val="en-US"/>
        </w:rPr>
      </w:pPr>
      <w:r w:rsidRPr="00C252FA">
        <w:rPr>
          <w:rFonts w:ascii="Times New Roman" w:eastAsia="Times New Roman" w:hAnsi="Times New Roman" w:cs="Times New Roman"/>
          <w:b/>
          <w:lang w:val="en-US"/>
        </w:rPr>
        <w:t xml:space="preserve">International development cooperation </w:t>
      </w:r>
    </w:p>
    <w:p w14:paraId="0B48A674" w14:textId="77777777" w:rsidR="00A66339" w:rsidRPr="00C252FA" w:rsidRDefault="00A66339" w:rsidP="00C252FA">
      <w:pPr>
        <w:spacing w:after="0" w:line="276" w:lineRule="auto"/>
        <w:jc w:val="both"/>
        <w:rPr>
          <w:rFonts w:ascii="Times New Roman" w:hAnsi="Times New Roman" w:cs="Times New Roman"/>
        </w:rPr>
      </w:pPr>
    </w:p>
    <w:p w14:paraId="32F61E12" w14:textId="522C9AA7" w:rsidR="00FB7A55" w:rsidRPr="00C252FA" w:rsidRDefault="00A66339" w:rsidP="00C252FA">
      <w:pPr>
        <w:spacing w:after="0" w:line="276" w:lineRule="auto"/>
        <w:jc w:val="both"/>
        <w:rPr>
          <w:rFonts w:ascii="Times New Roman" w:hAnsi="Times New Roman" w:cs="Times New Roman"/>
          <w:color w:val="000000" w:themeColor="text1"/>
        </w:rPr>
      </w:pPr>
      <w:r w:rsidRPr="00C252FA">
        <w:rPr>
          <w:rFonts w:ascii="Times New Roman" w:hAnsi="Times New Roman" w:cs="Times New Roman"/>
          <w:color w:val="000000" w:themeColor="text1"/>
        </w:rPr>
        <w:t xml:space="preserve">Reform of the global financial architecture is needed to create increased space for countries to invest in public education. </w:t>
      </w:r>
    </w:p>
    <w:p w14:paraId="538E9738" w14:textId="77777777" w:rsidR="00FB7A55" w:rsidRPr="00C252FA" w:rsidRDefault="00FB7A55" w:rsidP="00C252FA">
      <w:pPr>
        <w:spacing w:after="0" w:line="276" w:lineRule="auto"/>
        <w:jc w:val="both"/>
        <w:rPr>
          <w:rFonts w:ascii="Times New Roman" w:hAnsi="Times New Roman" w:cs="Times New Roman"/>
          <w:color w:val="000000" w:themeColor="text1"/>
        </w:rPr>
      </w:pPr>
    </w:p>
    <w:p w14:paraId="067668D2" w14:textId="2F9E5CA1" w:rsidR="001E5B49" w:rsidRPr="00C252FA" w:rsidRDefault="0097522F" w:rsidP="00C252FA">
      <w:pPr>
        <w:spacing w:after="0" w:line="276"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Relevant i</w:t>
      </w:r>
      <w:r w:rsidR="00A66339" w:rsidRPr="00C252FA">
        <w:rPr>
          <w:rFonts w:ascii="Times New Roman" w:hAnsi="Times New Roman" w:cs="Times New Roman"/>
          <w:color w:val="000000" w:themeColor="text1"/>
        </w:rPr>
        <w:t xml:space="preserve">nternational financial institutions and regional development banks should expand low-cost lending to </w:t>
      </w:r>
      <w:r w:rsidR="00A66339" w:rsidRPr="00C252FA">
        <w:rPr>
          <w:rFonts w:ascii="Times New Roman" w:hAnsi="Times New Roman" w:cs="Times New Roman"/>
          <w:b/>
          <w:bCs/>
          <w:color w:val="000000" w:themeColor="text1"/>
        </w:rPr>
        <w:t>increase investments in education</w:t>
      </w:r>
      <w:r w:rsidR="00A66339" w:rsidRPr="00C252FA">
        <w:rPr>
          <w:rFonts w:ascii="Times New Roman" w:hAnsi="Times New Roman" w:cs="Times New Roman"/>
          <w:color w:val="000000" w:themeColor="text1"/>
        </w:rPr>
        <w:t>.</w:t>
      </w:r>
      <w:r w:rsidR="001E5B49" w:rsidRPr="00C252FA">
        <w:rPr>
          <w:rFonts w:ascii="Times New Roman" w:hAnsi="Times New Roman" w:cs="Times New Roman"/>
          <w:color w:val="000000" w:themeColor="text1"/>
        </w:rPr>
        <w:t xml:space="preserve"> </w:t>
      </w:r>
      <w:r w:rsidR="00E636CC" w:rsidRPr="00C252FA">
        <w:rPr>
          <w:rFonts w:ascii="Times New Roman" w:hAnsi="Times New Roman" w:cs="Times New Roman"/>
          <w:color w:val="000000" w:themeColor="text1"/>
        </w:rPr>
        <w:t xml:space="preserve">Additionally, they should reassess </w:t>
      </w:r>
      <w:r w:rsidR="001E5B49" w:rsidRPr="00C252FA">
        <w:rPr>
          <w:rFonts w:ascii="Times New Roman" w:hAnsi="Times New Roman" w:cs="Times New Roman"/>
          <w:color w:val="000000" w:themeColor="text1"/>
        </w:rPr>
        <w:t>public sector wage constraints that prevent increased spending on education, and</w:t>
      </w:r>
      <w:r w:rsidR="00CD2D79" w:rsidRPr="00C252FA">
        <w:rPr>
          <w:rFonts w:ascii="Times New Roman" w:hAnsi="Times New Roman" w:cs="Times New Roman"/>
          <w:color w:val="000000" w:themeColor="text1"/>
        </w:rPr>
        <w:t xml:space="preserve"> advocate for </w:t>
      </w:r>
      <w:r w:rsidR="001E5B49" w:rsidRPr="00C252FA">
        <w:rPr>
          <w:rFonts w:ascii="Times New Roman" w:hAnsi="Times New Roman" w:cs="Times New Roman"/>
          <w:color w:val="000000" w:themeColor="text1"/>
        </w:rPr>
        <w:t xml:space="preserve">policies that will allow </w:t>
      </w:r>
      <w:r w:rsidR="001E5B49" w:rsidRPr="00C252FA">
        <w:rPr>
          <w:rFonts w:ascii="Times New Roman" w:hAnsi="Times New Roman" w:cs="Times New Roman"/>
          <w:b/>
          <w:bCs/>
          <w:color w:val="000000" w:themeColor="text1"/>
        </w:rPr>
        <w:t>recruitment of teachers</w:t>
      </w:r>
      <w:r w:rsidR="001E5B49" w:rsidRPr="00C252FA">
        <w:rPr>
          <w:rFonts w:ascii="Times New Roman" w:hAnsi="Times New Roman" w:cs="Times New Roman"/>
          <w:color w:val="000000" w:themeColor="text1"/>
        </w:rPr>
        <w:t xml:space="preserve"> to meet service delivery standards</w:t>
      </w:r>
      <w:r w:rsidR="003433AB" w:rsidRPr="00C252FA">
        <w:rPr>
          <w:rFonts w:ascii="Times New Roman" w:hAnsi="Times New Roman" w:cs="Times New Roman"/>
          <w:color w:val="000000" w:themeColor="text1"/>
        </w:rPr>
        <w:t xml:space="preserve"> and improve educational outcome</w:t>
      </w:r>
      <w:r w:rsidR="001E5B49" w:rsidRPr="00C252FA">
        <w:rPr>
          <w:rFonts w:ascii="Times New Roman" w:hAnsi="Times New Roman" w:cs="Times New Roman"/>
          <w:color w:val="000000" w:themeColor="text1"/>
        </w:rPr>
        <w:t>.</w:t>
      </w:r>
    </w:p>
    <w:p w14:paraId="688DB9D5" w14:textId="079FED2D" w:rsidR="001E5B49" w:rsidRPr="00C252FA" w:rsidRDefault="001E5B49" w:rsidP="00C252FA">
      <w:pPr>
        <w:spacing w:after="0" w:line="276" w:lineRule="auto"/>
        <w:jc w:val="both"/>
        <w:rPr>
          <w:rFonts w:ascii="Times New Roman" w:hAnsi="Times New Roman" w:cs="Times New Roman"/>
          <w:color w:val="000000" w:themeColor="text1"/>
        </w:rPr>
      </w:pPr>
    </w:p>
    <w:p w14:paraId="61A0D4F3" w14:textId="21D5765D" w:rsidR="00A66339" w:rsidRPr="00C252FA" w:rsidRDefault="00815CA9" w:rsidP="00C252FA">
      <w:pPr>
        <w:spacing w:after="0" w:line="276" w:lineRule="auto"/>
        <w:jc w:val="both"/>
        <w:rPr>
          <w:rFonts w:ascii="Times New Roman" w:hAnsi="Times New Roman" w:cs="Times New Roman"/>
          <w:color w:val="000000" w:themeColor="text1"/>
        </w:rPr>
      </w:pPr>
      <w:r w:rsidRPr="00C252FA">
        <w:rPr>
          <w:rFonts w:ascii="Times New Roman" w:hAnsi="Times New Roman" w:cs="Times New Roman"/>
          <w:color w:val="000000" w:themeColor="text1"/>
        </w:rPr>
        <w:t>Moreover, d</w:t>
      </w:r>
      <w:r w:rsidR="00A66339" w:rsidRPr="00C252FA">
        <w:rPr>
          <w:rFonts w:ascii="Times New Roman" w:hAnsi="Times New Roman" w:cs="Times New Roman"/>
          <w:color w:val="000000" w:themeColor="text1"/>
        </w:rPr>
        <w:t xml:space="preserve">onor countries </w:t>
      </w:r>
      <w:r w:rsidR="00643DFC" w:rsidRPr="00C252FA">
        <w:rPr>
          <w:rFonts w:ascii="Times New Roman" w:hAnsi="Times New Roman" w:cs="Times New Roman"/>
          <w:color w:val="000000" w:themeColor="text1"/>
        </w:rPr>
        <w:t>should be invited to respect</w:t>
      </w:r>
      <w:r w:rsidR="00A66339" w:rsidRPr="00C252FA">
        <w:rPr>
          <w:rFonts w:ascii="Times New Roman" w:hAnsi="Times New Roman" w:cs="Times New Roman"/>
          <w:color w:val="000000" w:themeColor="text1"/>
        </w:rPr>
        <w:t xml:space="preserve"> their commitments to provide </w:t>
      </w:r>
      <w:r w:rsidR="00A66339" w:rsidRPr="00C252FA">
        <w:rPr>
          <w:rFonts w:ascii="Times New Roman" w:hAnsi="Times New Roman" w:cs="Times New Roman"/>
          <w:b/>
          <w:bCs/>
          <w:color w:val="000000" w:themeColor="text1"/>
        </w:rPr>
        <w:t>at least 0.7% of their GNI</w:t>
      </w:r>
      <w:r w:rsidR="002E66AF" w:rsidRPr="00C252FA">
        <w:rPr>
          <w:rStyle w:val="FootnoteReference"/>
          <w:rFonts w:ascii="Times New Roman" w:hAnsi="Times New Roman" w:cs="Times New Roman"/>
          <w:b/>
          <w:bCs/>
          <w:color w:val="000000" w:themeColor="text1"/>
        </w:rPr>
        <w:footnoteReference w:id="14"/>
      </w:r>
      <w:r w:rsidR="00A66339" w:rsidRPr="00C252FA">
        <w:rPr>
          <w:rFonts w:ascii="Times New Roman" w:hAnsi="Times New Roman" w:cs="Times New Roman"/>
          <w:color w:val="000000" w:themeColor="text1"/>
        </w:rPr>
        <w:t xml:space="preserve"> as official development assistance (ODA) to developing countries, increase ODA in education, and allocate such aid to the countries furthest behind on reaching SDG4.</w:t>
      </w:r>
    </w:p>
    <w:p w14:paraId="62CCF32B" w14:textId="77777777" w:rsidR="000F5D99" w:rsidRPr="00C252FA" w:rsidRDefault="000F5D99" w:rsidP="00C252FA">
      <w:pPr>
        <w:spacing w:after="0" w:line="276" w:lineRule="auto"/>
        <w:jc w:val="both"/>
        <w:rPr>
          <w:rFonts w:ascii="Times New Roman" w:hAnsi="Times New Roman" w:cs="Times New Roman"/>
          <w:color w:val="000000" w:themeColor="text1"/>
        </w:rPr>
      </w:pPr>
    </w:p>
    <w:p w14:paraId="02E9B7B8" w14:textId="63290CA3" w:rsidR="003579EA" w:rsidRPr="00C252FA" w:rsidRDefault="003579EA" w:rsidP="00C252FA">
      <w:pPr>
        <w:spacing w:after="0" w:line="276" w:lineRule="auto"/>
        <w:jc w:val="both"/>
        <w:rPr>
          <w:rFonts w:ascii="Times New Roman" w:hAnsi="Times New Roman" w:cs="Times New Roman"/>
          <w:color w:val="000000" w:themeColor="text1"/>
        </w:rPr>
      </w:pPr>
      <w:r w:rsidRPr="00C252FA">
        <w:rPr>
          <w:rFonts w:ascii="Times New Roman" w:hAnsi="Times New Roman" w:cs="Times New Roman"/>
          <w:color w:val="000000" w:themeColor="text1"/>
        </w:rPr>
        <w:t xml:space="preserve">Effective cooperation, multi-stakeholder, cross-sector and cross-government coordination and dialogue are needed to boost coherence of financing across all of the SDGs. The education sector must be creative and more proactive about mobilizing resources through such cross-sector investment strategies, such as partnerships with climate and health. </w:t>
      </w:r>
    </w:p>
    <w:p w14:paraId="1701F7E0" w14:textId="77777777" w:rsidR="00CF50BA" w:rsidRPr="00C252FA" w:rsidRDefault="00CF50BA" w:rsidP="00C252FA">
      <w:pPr>
        <w:adjustRightInd w:val="0"/>
        <w:snapToGrid w:val="0"/>
        <w:spacing w:after="0" w:line="276" w:lineRule="auto"/>
        <w:jc w:val="both"/>
        <w:rPr>
          <w:rFonts w:ascii="Times New Roman" w:eastAsia="Times New Roman" w:hAnsi="Times New Roman" w:cs="Times New Roman"/>
          <w:b/>
        </w:rPr>
      </w:pPr>
    </w:p>
    <w:p w14:paraId="31A73468" w14:textId="77777777" w:rsidR="00394CE6" w:rsidRPr="00C252FA" w:rsidRDefault="00394CE6" w:rsidP="00C252FA">
      <w:pPr>
        <w:pStyle w:val="ListParagraph"/>
        <w:numPr>
          <w:ilvl w:val="0"/>
          <w:numId w:val="6"/>
        </w:numPr>
        <w:adjustRightInd w:val="0"/>
        <w:snapToGrid w:val="0"/>
        <w:spacing w:after="0" w:line="276" w:lineRule="auto"/>
        <w:jc w:val="both"/>
        <w:rPr>
          <w:rFonts w:ascii="Times New Roman" w:eastAsia="Times New Roman" w:hAnsi="Times New Roman" w:cs="Times New Roman"/>
          <w:b/>
          <w:lang w:val="en-US"/>
        </w:rPr>
      </w:pPr>
      <w:r w:rsidRPr="00C252FA">
        <w:rPr>
          <w:rFonts w:ascii="Times New Roman" w:eastAsia="Times New Roman" w:hAnsi="Times New Roman" w:cs="Times New Roman"/>
          <w:b/>
          <w:lang w:val="en-US"/>
        </w:rPr>
        <w:lastRenderedPageBreak/>
        <w:t xml:space="preserve">Debt and debt sustainability </w:t>
      </w:r>
    </w:p>
    <w:p w14:paraId="0532DC56" w14:textId="77777777" w:rsidR="00A66339" w:rsidRPr="00C252FA" w:rsidRDefault="00A66339" w:rsidP="00C252FA">
      <w:pPr>
        <w:adjustRightInd w:val="0"/>
        <w:snapToGrid w:val="0"/>
        <w:spacing w:after="0" w:line="276" w:lineRule="auto"/>
        <w:jc w:val="both"/>
        <w:rPr>
          <w:rFonts w:ascii="Times New Roman" w:eastAsia="Times New Roman" w:hAnsi="Times New Roman" w:cs="Times New Roman"/>
          <w:b/>
        </w:rPr>
      </w:pPr>
    </w:p>
    <w:p w14:paraId="1D93487F" w14:textId="71E48721" w:rsidR="00A66339" w:rsidRPr="00C252FA" w:rsidRDefault="00A66339" w:rsidP="00C252FA">
      <w:pPr>
        <w:spacing w:after="0" w:line="276" w:lineRule="auto"/>
        <w:jc w:val="both"/>
        <w:rPr>
          <w:rFonts w:ascii="Times New Roman" w:hAnsi="Times New Roman" w:cs="Times New Roman"/>
        </w:rPr>
      </w:pPr>
      <w:r w:rsidRPr="00C252FA">
        <w:rPr>
          <w:rFonts w:ascii="Times New Roman" w:hAnsi="Times New Roman" w:cs="Times New Roman"/>
        </w:rPr>
        <w:t>Debt relief and restructuring can, where applicable, be an effective way to free up fiscal space for education and improve long-term spending capacities. Debt swaps for education, where a portion of a country's debt is forgiven in exchange for corresponding investments in education, have shown promise</w:t>
      </w:r>
      <w:r w:rsidR="0068366E" w:rsidRPr="00BB71C1">
        <w:rPr>
          <w:rFonts w:ascii="Times New Roman" w:hAnsi="Times New Roman" w:cs="Times New Roman"/>
        </w:rPr>
        <w:t>, while recognizing that debt swaps are voluntary and should be considered on a case-by-case basis</w:t>
      </w:r>
      <w:r w:rsidRPr="00C252FA">
        <w:rPr>
          <w:rFonts w:ascii="Times New Roman" w:hAnsi="Times New Roman" w:cs="Times New Roman"/>
        </w:rPr>
        <w:t xml:space="preserve">. </w:t>
      </w:r>
      <w:r w:rsidRPr="00771E02">
        <w:rPr>
          <w:rFonts w:ascii="Times New Roman" w:hAnsi="Times New Roman" w:cs="Times New Roman"/>
          <w:b/>
          <w:bCs/>
        </w:rPr>
        <w:t>Innovative financing mechanisms</w:t>
      </w:r>
      <w:r w:rsidRPr="00C252FA">
        <w:rPr>
          <w:rFonts w:ascii="Times New Roman" w:hAnsi="Times New Roman" w:cs="Times New Roman"/>
        </w:rPr>
        <w:t xml:space="preserve"> offer further potential. Social impact bonds, education bonds, blended finance models, financial guarantees, and leverage of balance sheets can all be used as tools to attract and unlock additional public, private and philanthropic investment into public education. </w:t>
      </w:r>
    </w:p>
    <w:p w14:paraId="1942AB02" w14:textId="77777777" w:rsidR="00D64F14" w:rsidRPr="00C252FA" w:rsidRDefault="00D64F14" w:rsidP="00C252FA">
      <w:pPr>
        <w:spacing w:after="0" w:line="276" w:lineRule="auto"/>
        <w:jc w:val="both"/>
        <w:rPr>
          <w:rFonts w:ascii="Times New Roman" w:hAnsi="Times New Roman" w:cs="Times New Roman"/>
        </w:rPr>
      </w:pPr>
    </w:p>
    <w:p w14:paraId="637A03FC" w14:textId="77777777" w:rsidR="00FB6CD1" w:rsidRPr="00C252FA" w:rsidRDefault="00FB6CD1" w:rsidP="00C252FA">
      <w:pPr>
        <w:pStyle w:val="ListParagraph"/>
        <w:adjustRightInd w:val="0"/>
        <w:snapToGrid w:val="0"/>
        <w:spacing w:after="0" w:line="276" w:lineRule="auto"/>
        <w:jc w:val="both"/>
        <w:rPr>
          <w:rFonts w:ascii="Times New Roman" w:eastAsia="Times New Roman" w:hAnsi="Times New Roman" w:cs="Times New Roman"/>
          <w:b/>
          <w:u w:val="single"/>
          <w:lang w:val="en-US"/>
        </w:rPr>
      </w:pPr>
    </w:p>
    <w:p w14:paraId="484E9C13" w14:textId="0E9ACB68" w:rsidR="00394CE6" w:rsidRPr="00C252FA" w:rsidRDefault="00394CE6" w:rsidP="00C252FA">
      <w:pPr>
        <w:pStyle w:val="ListParagraph"/>
        <w:numPr>
          <w:ilvl w:val="0"/>
          <w:numId w:val="5"/>
        </w:numPr>
        <w:adjustRightInd w:val="0"/>
        <w:snapToGrid w:val="0"/>
        <w:spacing w:after="0" w:line="276" w:lineRule="auto"/>
        <w:jc w:val="both"/>
        <w:rPr>
          <w:rFonts w:ascii="Times New Roman" w:eastAsia="Times New Roman" w:hAnsi="Times New Roman" w:cs="Times New Roman"/>
          <w:b/>
          <w:u w:val="single"/>
          <w:lang w:val="en-US"/>
        </w:rPr>
      </w:pPr>
      <w:r w:rsidRPr="00C252FA">
        <w:rPr>
          <w:rFonts w:ascii="Times New Roman" w:eastAsia="Times New Roman" w:hAnsi="Times New Roman" w:cs="Times New Roman"/>
          <w:b/>
          <w:u w:val="single"/>
          <w:lang w:val="en-US"/>
        </w:rPr>
        <w:t xml:space="preserve">Data, monitoring and follow-up </w:t>
      </w:r>
    </w:p>
    <w:p w14:paraId="145944BA" w14:textId="77777777" w:rsidR="003579EA" w:rsidRPr="00C252FA" w:rsidRDefault="003579EA" w:rsidP="00C252FA">
      <w:pPr>
        <w:pStyle w:val="ListParagraph"/>
        <w:adjustRightInd w:val="0"/>
        <w:snapToGrid w:val="0"/>
        <w:spacing w:after="0" w:line="276" w:lineRule="auto"/>
        <w:jc w:val="both"/>
        <w:rPr>
          <w:rFonts w:ascii="Times New Roman" w:eastAsia="Times New Roman" w:hAnsi="Times New Roman" w:cs="Times New Roman"/>
          <w:b/>
          <w:lang w:val="en-US"/>
        </w:rPr>
      </w:pPr>
    </w:p>
    <w:p w14:paraId="6FFAA0DD" w14:textId="53393D9C" w:rsidR="004F7160" w:rsidRDefault="004F7160" w:rsidP="008E6870">
      <w:pPr>
        <w:spacing w:after="0" w:line="276" w:lineRule="auto"/>
        <w:jc w:val="both"/>
        <w:rPr>
          <w:rFonts w:ascii="Times New Roman" w:hAnsi="Times New Roman" w:cs="Times New Roman"/>
        </w:rPr>
      </w:pPr>
      <w:r w:rsidRPr="004F7160">
        <w:rPr>
          <w:rFonts w:ascii="Times New Roman" w:hAnsi="Times New Roman" w:cs="Times New Roman"/>
        </w:rPr>
        <w:t xml:space="preserve">Improving the governance of education financing starts with setting clear standards for financial management, monitoring, and reporting. These standards ensure that resources are allocated fairly and efficiently, directed toward areas of greatest need, and spent effectively. By adopting evidence-based practices, governments and institutions can track how resources are being used, identify gaps, and adjust policies accordingly. </w:t>
      </w:r>
    </w:p>
    <w:p w14:paraId="26533DB6" w14:textId="77777777" w:rsidR="004F7160" w:rsidRDefault="004F7160" w:rsidP="008E6870">
      <w:pPr>
        <w:spacing w:after="0" w:line="276" w:lineRule="auto"/>
        <w:jc w:val="both"/>
        <w:rPr>
          <w:rFonts w:ascii="Times New Roman" w:hAnsi="Times New Roman" w:cs="Times New Roman"/>
        </w:rPr>
      </w:pPr>
    </w:p>
    <w:p w14:paraId="3AC8FC32" w14:textId="2C1C089A" w:rsidR="00586851" w:rsidRDefault="00FD41A6" w:rsidP="00450856">
      <w:pPr>
        <w:spacing w:after="0" w:line="276" w:lineRule="auto"/>
        <w:contextualSpacing/>
        <w:jc w:val="both"/>
        <w:rPr>
          <w:rFonts w:ascii="Times New Roman" w:hAnsi="Times New Roman" w:cs="Times New Roman"/>
        </w:rPr>
      </w:pPr>
      <w:r w:rsidRPr="00FD41A6">
        <w:rPr>
          <w:rFonts w:ascii="Times New Roman" w:hAnsi="Times New Roman" w:cs="Times New Roman"/>
        </w:rPr>
        <w:t xml:space="preserve">In this context, governments and international stakeholders should be called upon to enhance their support for SDG4 benchmarking processes. Additionally, greater backing should be provided to the </w:t>
      </w:r>
      <w:r w:rsidRPr="00FD41A6">
        <w:rPr>
          <w:rFonts w:ascii="Times New Roman" w:hAnsi="Times New Roman" w:cs="Times New Roman"/>
          <w:b/>
          <w:bCs/>
        </w:rPr>
        <w:t>UNESCO Institute for Statistics</w:t>
      </w:r>
      <w:r w:rsidRPr="00FD41A6">
        <w:rPr>
          <w:rFonts w:ascii="Times New Roman" w:hAnsi="Times New Roman" w:cs="Times New Roman"/>
        </w:rPr>
        <w:t xml:space="preserve"> and the </w:t>
      </w:r>
      <w:r w:rsidRPr="00FD41A6">
        <w:rPr>
          <w:rFonts w:ascii="Times New Roman" w:hAnsi="Times New Roman" w:cs="Times New Roman"/>
          <w:b/>
          <w:bCs/>
        </w:rPr>
        <w:t>Global Education Monitoring Report</w:t>
      </w:r>
      <w:r w:rsidRPr="00FD41A6">
        <w:rPr>
          <w:rFonts w:ascii="Times New Roman" w:hAnsi="Times New Roman" w:cs="Times New Roman"/>
        </w:rPr>
        <w:t>. This increased support will strengthen efforts to produce higher-quality data for monitoring, allowing countries and stakeholders to make more targeted investments and implement informed follow-up actions.</w:t>
      </w:r>
    </w:p>
    <w:p w14:paraId="3DE4043D" w14:textId="77777777" w:rsidR="00FD41A6" w:rsidRPr="00C252FA" w:rsidRDefault="00FD41A6" w:rsidP="00450856">
      <w:pPr>
        <w:spacing w:after="0" w:line="276" w:lineRule="auto"/>
        <w:contextualSpacing/>
        <w:jc w:val="both"/>
        <w:rPr>
          <w:rFonts w:ascii="Times New Roman" w:hAnsi="Times New Roman" w:cs="Times New Roman"/>
        </w:rPr>
      </w:pPr>
    </w:p>
    <w:p w14:paraId="28E86979" w14:textId="19630CE4" w:rsidR="00753FB9" w:rsidRDefault="00FD3DE9" w:rsidP="00C252FA">
      <w:pPr>
        <w:spacing w:after="0" w:line="276" w:lineRule="auto"/>
        <w:jc w:val="both"/>
        <w:rPr>
          <w:rFonts w:ascii="Times New Roman" w:hAnsi="Times New Roman" w:cs="Times New Roman"/>
        </w:rPr>
      </w:pPr>
      <w:r>
        <w:rPr>
          <w:rFonts w:ascii="Times New Roman" w:hAnsi="Times New Roman" w:cs="Times New Roman"/>
        </w:rPr>
        <w:t>S</w:t>
      </w:r>
      <w:r w:rsidRPr="00FD3DE9">
        <w:rPr>
          <w:rFonts w:ascii="Times New Roman" w:hAnsi="Times New Roman" w:cs="Times New Roman"/>
        </w:rPr>
        <w:t>takeholders in the education sector should be encouraged to actively communicate, promote, and demonstrate the vital role that education plays in driving progress across other sectors. Highlighting the returns on education investments will be essential to securing broader support for sustainable development efforts.</w:t>
      </w:r>
    </w:p>
    <w:p w14:paraId="76626996" w14:textId="77777777" w:rsidR="00FD3DE9" w:rsidRDefault="00FD3DE9" w:rsidP="00C252FA">
      <w:pPr>
        <w:spacing w:after="0" w:line="276" w:lineRule="auto"/>
        <w:jc w:val="both"/>
        <w:rPr>
          <w:rFonts w:ascii="Times New Roman" w:hAnsi="Times New Roman" w:cs="Times New Roman"/>
        </w:rPr>
      </w:pPr>
    </w:p>
    <w:p w14:paraId="2B8611B5" w14:textId="77777777" w:rsidR="00FD3DE9" w:rsidRPr="00C252FA" w:rsidRDefault="00FD3DE9" w:rsidP="00C252FA">
      <w:pPr>
        <w:spacing w:after="0" w:line="276" w:lineRule="auto"/>
        <w:jc w:val="both"/>
        <w:rPr>
          <w:rFonts w:ascii="Times New Roman" w:hAnsi="Times New Roman" w:cs="Times New Roman"/>
        </w:rPr>
      </w:pPr>
    </w:p>
    <w:p w14:paraId="105EBD19" w14:textId="27831A05" w:rsidR="00753FB9" w:rsidRPr="00C252FA" w:rsidRDefault="00753FB9" w:rsidP="00C252FA">
      <w:pPr>
        <w:spacing w:after="0" w:line="276" w:lineRule="auto"/>
        <w:jc w:val="center"/>
        <w:rPr>
          <w:rFonts w:ascii="Times New Roman" w:hAnsi="Times New Roman" w:cs="Times New Roman"/>
          <w:b/>
          <w:bCs/>
        </w:rPr>
      </w:pPr>
      <w:r w:rsidRPr="00C252FA">
        <w:rPr>
          <w:rFonts w:ascii="Times New Roman" w:hAnsi="Times New Roman" w:cs="Times New Roman"/>
          <w:b/>
          <w:bCs/>
        </w:rPr>
        <w:t>-------</w:t>
      </w:r>
    </w:p>
    <w:sectPr w:rsidR="00753FB9" w:rsidRPr="00C252FA" w:rsidSect="00001846">
      <w:footerReference w:type="default" r:id="rId8"/>
      <w:pgSz w:w="12240" w:h="15840"/>
      <w:pgMar w:top="135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A6F0E" w14:textId="77777777" w:rsidR="00926950" w:rsidRDefault="00926950" w:rsidP="008A5691">
      <w:pPr>
        <w:spacing w:after="0" w:line="240" w:lineRule="auto"/>
      </w:pPr>
      <w:r>
        <w:separator/>
      </w:r>
    </w:p>
  </w:endnote>
  <w:endnote w:type="continuationSeparator" w:id="0">
    <w:p w14:paraId="1BD77E83" w14:textId="77777777" w:rsidR="00926950" w:rsidRDefault="00926950" w:rsidP="008A5691">
      <w:pPr>
        <w:spacing w:after="0" w:line="240" w:lineRule="auto"/>
      </w:pPr>
      <w:r>
        <w:continuationSeparator/>
      </w:r>
    </w:p>
  </w:endnote>
  <w:endnote w:type="continuationNotice" w:id="1">
    <w:p w14:paraId="3A4AB9D6" w14:textId="77777777" w:rsidR="00926950" w:rsidRDefault="00926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oppins">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02916337"/>
      <w:docPartObj>
        <w:docPartGallery w:val="Page Numbers (Bottom of Page)"/>
        <w:docPartUnique/>
      </w:docPartObj>
    </w:sdtPr>
    <w:sdtEndPr>
      <w:rPr>
        <w:noProof/>
      </w:rPr>
    </w:sdtEndPr>
    <w:sdtContent>
      <w:p w14:paraId="6746ED00" w14:textId="6EC00FD3" w:rsidR="008A5691" w:rsidRPr="008A5691" w:rsidRDefault="008A5691">
        <w:pPr>
          <w:pStyle w:val="Footer"/>
          <w:jc w:val="right"/>
          <w:rPr>
            <w:rFonts w:ascii="Times New Roman" w:hAnsi="Times New Roman" w:cs="Times New Roman"/>
          </w:rPr>
        </w:pPr>
        <w:r w:rsidRPr="008A5691">
          <w:rPr>
            <w:rFonts w:ascii="Times New Roman" w:hAnsi="Times New Roman" w:cs="Times New Roman"/>
          </w:rPr>
          <w:fldChar w:fldCharType="begin"/>
        </w:r>
        <w:r w:rsidRPr="008A5691">
          <w:rPr>
            <w:rFonts w:ascii="Times New Roman" w:hAnsi="Times New Roman" w:cs="Times New Roman"/>
          </w:rPr>
          <w:instrText xml:space="preserve"> PAGE   \* MERGEFORMAT </w:instrText>
        </w:r>
        <w:r w:rsidRPr="008A5691">
          <w:rPr>
            <w:rFonts w:ascii="Times New Roman" w:hAnsi="Times New Roman" w:cs="Times New Roman"/>
          </w:rPr>
          <w:fldChar w:fldCharType="separate"/>
        </w:r>
        <w:r w:rsidRPr="008A5691">
          <w:rPr>
            <w:rFonts w:ascii="Times New Roman" w:hAnsi="Times New Roman" w:cs="Times New Roman"/>
            <w:noProof/>
          </w:rPr>
          <w:t>2</w:t>
        </w:r>
        <w:r w:rsidRPr="008A5691">
          <w:rPr>
            <w:rFonts w:ascii="Times New Roman" w:hAnsi="Times New Roman" w:cs="Times New Roman"/>
            <w:noProof/>
          </w:rPr>
          <w:fldChar w:fldCharType="end"/>
        </w:r>
      </w:p>
    </w:sdtContent>
  </w:sdt>
  <w:p w14:paraId="09A1E886" w14:textId="77777777" w:rsidR="008A5691" w:rsidRPr="008A5691" w:rsidRDefault="008A569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5B6D4" w14:textId="77777777" w:rsidR="00926950" w:rsidRDefault="00926950" w:rsidP="008A5691">
      <w:pPr>
        <w:spacing w:after="0" w:line="240" w:lineRule="auto"/>
      </w:pPr>
      <w:r>
        <w:separator/>
      </w:r>
    </w:p>
  </w:footnote>
  <w:footnote w:type="continuationSeparator" w:id="0">
    <w:p w14:paraId="7059828A" w14:textId="77777777" w:rsidR="00926950" w:rsidRDefault="00926950" w:rsidP="008A5691">
      <w:pPr>
        <w:spacing w:after="0" w:line="240" w:lineRule="auto"/>
      </w:pPr>
      <w:r>
        <w:continuationSeparator/>
      </w:r>
    </w:p>
  </w:footnote>
  <w:footnote w:type="continuationNotice" w:id="1">
    <w:p w14:paraId="3B51CC45" w14:textId="77777777" w:rsidR="00926950" w:rsidRDefault="00926950">
      <w:pPr>
        <w:spacing w:after="0" w:line="240" w:lineRule="auto"/>
      </w:pPr>
    </w:p>
  </w:footnote>
  <w:footnote w:id="2">
    <w:p w14:paraId="621A0760" w14:textId="4AB5AC02" w:rsidR="00C73CD9" w:rsidRPr="00001846" w:rsidRDefault="00C73CD9" w:rsidP="00C73CD9">
      <w:pPr>
        <w:pStyle w:val="FootnoteText"/>
        <w:rPr>
          <w:rFonts w:ascii="Times New Roman" w:hAnsi="Times New Roman" w:cs="Times New Roman"/>
          <w:sz w:val="14"/>
          <w:szCs w:val="14"/>
        </w:rPr>
      </w:pPr>
      <w:r w:rsidRPr="00001846">
        <w:rPr>
          <w:rStyle w:val="FootnoteReference"/>
          <w:rFonts w:ascii="Times New Roman" w:hAnsi="Times New Roman" w:cs="Times New Roman"/>
          <w:sz w:val="14"/>
          <w:szCs w:val="14"/>
        </w:rPr>
        <w:footnoteRef/>
      </w:r>
      <w:r w:rsidRPr="00001846">
        <w:rPr>
          <w:rFonts w:ascii="Times New Roman" w:hAnsi="Times New Roman" w:cs="Times New Roman"/>
          <w:sz w:val="14"/>
          <w:szCs w:val="14"/>
        </w:rPr>
        <w:t xml:space="preserve"> </w:t>
      </w:r>
      <w:r w:rsidR="00CC5D44" w:rsidRPr="00001846">
        <w:rPr>
          <w:rFonts w:ascii="Times New Roman" w:hAnsi="Times New Roman" w:cs="Times New Roman"/>
          <w:sz w:val="14"/>
          <w:szCs w:val="14"/>
        </w:rPr>
        <w:t xml:space="preserve">United Nations. 2024. </w:t>
      </w:r>
      <w:r w:rsidR="00CC5D44" w:rsidRPr="00001846">
        <w:rPr>
          <w:rFonts w:ascii="Times New Roman" w:hAnsi="Times New Roman" w:cs="Times New Roman"/>
          <w:i/>
          <w:iCs/>
          <w:sz w:val="14"/>
          <w:szCs w:val="14"/>
        </w:rPr>
        <w:t xml:space="preserve">The Sustainable Development Goals Report 2024. </w:t>
      </w:r>
      <w:r w:rsidR="00CC5D44" w:rsidRPr="00001846">
        <w:rPr>
          <w:rFonts w:ascii="Times New Roman" w:hAnsi="Times New Roman" w:cs="Times New Roman"/>
          <w:sz w:val="14"/>
          <w:szCs w:val="14"/>
        </w:rPr>
        <w:t xml:space="preserve">UN Department of Economic and Social Affairs. June 2024. Available at: </w:t>
      </w:r>
      <w:hyperlink r:id="rId1" w:history="1">
        <w:r w:rsidR="00CC5D44" w:rsidRPr="00001846">
          <w:rPr>
            <w:rStyle w:val="Hyperlink"/>
            <w:rFonts w:ascii="Times New Roman" w:hAnsi="Times New Roman" w:cs="Times New Roman"/>
            <w:sz w:val="14"/>
            <w:szCs w:val="14"/>
          </w:rPr>
          <w:t>https://unstats.un.org/sdgs/report/2024/The-Sustainable-Development-Goals-Report-2024.pdf</w:t>
        </w:r>
      </w:hyperlink>
    </w:p>
  </w:footnote>
  <w:footnote w:id="3">
    <w:p w14:paraId="21F86AC0" w14:textId="77777777" w:rsidR="006977F5" w:rsidRPr="00001846" w:rsidRDefault="006977F5" w:rsidP="006977F5">
      <w:pPr>
        <w:pStyle w:val="FootnoteText"/>
        <w:rPr>
          <w:rFonts w:ascii="Times New Roman" w:hAnsi="Times New Roman" w:cs="Times New Roman"/>
          <w:sz w:val="14"/>
          <w:szCs w:val="14"/>
          <w:shd w:val="clear" w:color="auto" w:fill="FFFFFF"/>
        </w:rPr>
      </w:pPr>
      <w:r w:rsidRPr="00001846">
        <w:rPr>
          <w:rStyle w:val="FootnoteReference"/>
          <w:rFonts w:ascii="Times New Roman" w:hAnsi="Times New Roman" w:cs="Times New Roman"/>
          <w:sz w:val="14"/>
          <w:szCs w:val="14"/>
        </w:rPr>
        <w:footnoteRef/>
      </w:r>
      <w:r w:rsidRPr="00001846">
        <w:rPr>
          <w:rFonts w:ascii="Times New Roman" w:hAnsi="Times New Roman" w:cs="Times New Roman"/>
          <w:sz w:val="14"/>
          <w:szCs w:val="14"/>
        </w:rPr>
        <w:t xml:space="preserve"> UNESCO. 2023. </w:t>
      </w:r>
      <w:r w:rsidRPr="00001846">
        <w:rPr>
          <w:rStyle w:val="normaltextrun"/>
          <w:rFonts w:ascii="Times New Roman" w:hAnsi="Times New Roman" w:cs="Times New Roman"/>
          <w:i/>
          <w:iCs/>
          <w:sz w:val="14"/>
          <w:szCs w:val="14"/>
          <w:shd w:val="clear" w:color="auto" w:fill="FFFFFF"/>
          <w:lang w:val="en-GB"/>
        </w:rPr>
        <w:t xml:space="preserve">Global Education Monitoring Report 2023. </w:t>
      </w:r>
      <w:r w:rsidRPr="00001846">
        <w:rPr>
          <w:rStyle w:val="eop"/>
          <w:rFonts w:ascii="Times New Roman" w:hAnsi="Times New Roman" w:cs="Times New Roman"/>
          <w:i/>
          <w:iCs/>
          <w:sz w:val="14"/>
          <w:szCs w:val="14"/>
          <w:shd w:val="clear" w:color="auto" w:fill="FFFFFF"/>
        </w:rPr>
        <w:t>Technology in education: A Tool on Whose Terms</w:t>
      </w:r>
      <w:r w:rsidRPr="00001846">
        <w:rPr>
          <w:rStyle w:val="eop"/>
          <w:rFonts w:ascii="Times New Roman" w:hAnsi="Times New Roman" w:cs="Times New Roman"/>
          <w:sz w:val="14"/>
          <w:szCs w:val="14"/>
          <w:shd w:val="clear" w:color="auto" w:fill="FFFFFF"/>
        </w:rPr>
        <w:t xml:space="preserve">? </w:t>
      </w:r>
      <w:hyperlink r:id="rId2" w:history="1">
        <w:r w:rsidRPr="00001846">
          <w:rPr>
            <w:rStyle w:val="Hyperlink"/>
            <w:rFonts w:ascii="Times New Roman" w:hAnsi="Times New Roman" w:cs="Times New Roman"/>
            <w:sz w:val="14"/>
            <w:szCs w:val="14"/>
            <w:shd w:val="clear" w:color="auto" w:fill="FFFFFF"/>
          </w:rPr>
          <w:t>https://unesdoc.unesco.org/ark:/48223/pf0000385723</w:t>
        </w:r>
      </w:hyperlink>
    </w:p>
  </w:footnote>
  <w:footnote w:id="4">
    <w:p w14:paraId="2FE6DB79" w14:textId="77777777" w:rsidR="00BA3379" w:rsidRPr="00001846" w:rsidRDefault="00BA3379" w:rsidP="00BA3379">
      <w:pPr>
        <w:pStyle w:val="FootnoteText"/>
        <w:rPr>
          <w:rFonts w:ascii="Times New Roman" w:hAnsi="Times New Roman" w:cs="Times New Roman"/>
          <w:sz w:val="14"/>
          <w:szCs w:val="14"/>
          <w:lang w:val="en-GB"/>
        </w:rPr>
      </w:pPr>
      <w:r w:rsidRPr="00001846">
        <w:rPr>
          <w:rStyle w:val="FootnoteReference"/>
          <w:rFonts w:ascii="Times New Roman" w:hAnsi="Times New Roman" w:cs="Times New Roman"/>
          <w:sz w:val="14"/>
          <w:szCs w:val="14"/>
        </w:rPr>
        <w:footnoteRef/>
      </w:r>
      <w:r w:rsidRPr="00001846">
        <w:rPr>
          <w:rFonts w:ascii="Times New Roman" w:hAnsi="Times New Roman" w:cs="Times New Roman"/>
          <w:sz w:val="14"/>
          <w:szCs w:val="14"/>
        </w:rPr>
        <w:t xml:space="preserve"> UNESCO and the World Bank. 2024. </w:t>
      </w:r>
      <w:r w:rsidRPr="00001846">
        <w:rPr>
          <w:rFonts w:ascii="Times New Roman" w:hAnsi="Times New Roman" w:cs="Times New Roman"/>
          <w:i/>
          <w:iCs/>
          <w:sz w:val="14"/>
          <w:szCs w:val="14"/>
        </w:rPr>
        <w:t>Education Finance Watch 2024</w:t>
      </w:r>
      <w:r w:rsidRPr="00001846">
        <w:rPr>
          <w:rFonts w:ascii="Times New Roman" w:hAnsi="Times New Roman" w:cs="Times New Roman"/>
          <w:sz w:val="14"/>
          <w:szCs w:val="14"/>
        </w:rPr>
        <w:t xml:space="preserve">. </w:t>
      </w:r>
      <w:hyperlink r:id="rId3" w:history="1">
        <w:r w:rsidRPr="00001846">
          <w:rPr>
            <w:rStyle w:val="Hyperlink"/>
            <w:rFonts w:ascii="Times New Roman" w:hAnsi="Times New Roman" w:cs="Times New Roman"/>
            <w:sz w:val="14"/>
            <w:szCs w:val="14"/>
          </w:rPr>
          <w:t>https://www.unesco.org/gem-report/en/2024efw</w:t>
        </w:r>
      </w:hyperlink>
    </w:p>
  </w:footnote>
  <w:footnote w:id="5">
    <w:p w14:paraId="145F10BE" w14:textId="77777777" w:rsidR="00005D78" w:rsidRPr="00001846" w:rsidRDefault="00005D78" w:rsidP="00005D78">
      <w:pPr>
        <w:pStyle w:val="FootnoteText"/>
        <w:rPr>
          <w:rFonts w:ascii="Times New Roman" w:hAnsi="Times New Roman" w:cs="Times New Roman"/>
          <w:sz w:val="14"/>
          <w:szCs w:val="14"/>
        </w:rPr>
      </w:pPr>
      <w:r w:rsidRPr="00001846">
        <w:rPr>
          <w:rStyle w:val="FootnoteReference"/>
          <w:rFonts w:ascii="Times New Roman" w:hAnsi="Times New Roman" w:cs="Times New Roman"/>
          <w:sz w:val="14"/>
          <w:szCs w:val="14"/>
        </w:rPr>
        <w:footnoteRef/>
      </w:r>
      <w:r w:rsidRPr="00001846">
        <w:rPr>
          <w:rFonts w:ascii="Times New Roman" w:hAnsi="Times New Roman" w:cs="Times New Roman"/>
          <w:sz w:val="14"/>
          <w:szCs w:val="14"/>
        </w:rPr>
        <w:t xml:space="preserve"> UNESCO, OECD and Commonwealth Secretariat. 2024. </w:t>
      </w:r>
      <w:r w:rsidRPr="00001846">
        <w:rPr>
          <w:rFonts w:ascii="Times New Roman" w:hAnsi="Times New Roman" w:cs="Times New Roman"/>
          <w:i/>
          <w:iCs/>
          <w:sz w:val="14"/>
          <w:szCs w:val="14"/>
        </w:rPr>
        <w:t>The Price of Inaction: The global private, fiscal and social costs of children and youth not learning</w:t>
      </w:r>
      <w:r w:rsidRPr="00001846">
        <w:rPr>
          <w:rFonts w:ascii="Times New Roman" w:hAnsi="Times New Roman" w:cs="Times New Roman"/>
          <w:sz w:val="14"/>
          <w:szCs w:val="14"/>
        </w:rPr>
        <w:t xml:space="preserve">. </w:t>
      </w:r>
      <w:hyperlink r:id="rId4" w:history="1">
        <w:r w:rsidRPr="00001846">
          <w:rPr>
            <w:rStyle w:val="Hyperlink"/>
            <w:rFonts w:ascii="Times New Roman" w:hAnsi="Times New Roman" w:cs="Times New Roman"/>
            <w:sz w:val="14"/>
            <w:szCs w:val="14"/>
          </w:rPr>
          <w:t>https://unesdoc.unesco.org/ark:/48223/pf0000389852</w:t>
        </w:r>
      </w:hyperlink>
    </w:p>
  </w:footnote>
  <w:footnote w:id="6">
    <w:p w14:paraId="584DC704" w14:textId="77777777" w:rsidR="004C79D5" w:rsidRPr="001523DD" w:rsidRDefault="004C79D5" w:rsidP="004C79D5">
      <w:pPr>
        <w:pStyle w:val="FootnoteText"/>
        <w:rPr>
          <w:rFonts w:ascii="Times New Roman" w:hAnsi="Times New Roman" w:cs="Times New Roman"/>
          <w:sz w:val="14"/>
          <w:szCs w:val="14"/>
        </w:rPr>
      </w:pPr>
      <w:r w:rsidRPr="00001846">
        <w:rPr>
          <w:rStyle w:val="FootnoteReference"/>
          <w:rFonts w:ascii="Times New Roman" w:hAnsi="Times New Roman" w:cs="Times New Roman"/>
          <w:sz w:val="14"/>
          <w:szCs w:val="14"/>
        </w:rPr>
        <w:footnoteRef/>
      </w:r>
      <w:r w:rsidRPr="00001846">
        <w:rPr>
          <w:rFonts w:ascii="Times New Roman" w:hAnsi="Times New Roman" w:cs="Times New Roman"/>
          <w:sz w:val="14"/>
          <w:szCs w:val="14"/>
          <w:lang w:val="en-GB"/>
        </w:rPr>
        <w:t xml:space="preserve"> </w:t>
      </w:r>
      <w:r w:rsidRPr="00001846">
        <w:rPr>
          <w:rFonts w:ascii="Times New Roman" w:hAnsi="Times New Roman" w:cs="Times New Roman"/>
          <w:sz w:val="14"/>
          <w:szCs w:val="14"/>
        </w:rPr>
        <w:t xml:space="preserve">UNESCO and the World Bank. 2024. </w:t>
      </w:r>
      <w:r w:rsidRPr="00001846">
        <w:rPr>
          <w:rFonts w:ascii="Times New Roman" w:hAnsi="Times New Roman" w:cs="Times New Roman"/>
          <w:i/>
          <w:iCs/>
          <w:sz w:val="14"/>
          <w:szCs w:val="14"/>
        </w:rPr>
        <w:t>Education Finance Watch 2024</w:t>
      </w:r>
      <w:r w:rsidRPr="00001846">
        <w:rPr>
          <w:rFonts w:ascii="Times New Roman" w:hAnsi="Times New Roman" w:cs="Times New Roman"/>
          <w:sz w:val="14"/>
          <w:szCs w:val="14"/>
        </w:rPr>
        <w:t xml:space="preserve">. </w:t>
      </w:r>
      <w:hyperlink r:id="rId5" w:history="1">
        <w:r w:rsidRPr="001523DD">
          <w:rPr>
            <w:rStyle w:val="Hyperlink"/>
            <w:rFonts w:ascii="Times New Roman" w:hAnsi="Times New Roman" w:cs="Times New Roman"/>
            <w:sz w:val="14"/>
            <w:szCs w:val="14"/>
          </w:rPr>
          <w:t>https://www.unesco.org/gem-report/en/2024efw</w:t>
        </w:r>
      </w:hyperlink>
    </w:p>
  </w:footnote>
  <w:footnote w:id="7">
    <w:p w14:paraId="7DBA3ACD" w14:textId="77777777" w:rsidR="00114EE6" w:rsidRPr="00001846" w:rsidRDefault="00114EE6" w:rsidP="00114EE6">
      <w:pPr>
        <w:pStyle w:val="FootnoteText"/>
        <w:rPr>
          <w:rFonts w:ascii="Times New Roman" w:hAnsi="Times New Roman" w:cs="Times New Roman"/>
          <w:sz w:val="14"/>
          <w:szCs w:val="14"/>
        </w:rPr>
      </w:pPr>
      <w:r w:rsidRPr="00001846">
        <w:rPr>
          <w:rStyle w:val="FootnoteReference"/>
          <w:rFonts w:ascii="Times New Roman" w:hAnsi="Times New Roman" w:cs="Times New Roman"/>
          <w:sz w:val="14"/>
          <w:szCs w:val="14"/>
        </w:rPr>
        <w:footnoteRef/>
      </w:r>
      <w:r w:rsidRPr="001523DD">
        <w:rPr>
          <w:rFonts w:ascii="Times New Roman" w:hAnsi="Times New Roman" w:cs="Times New Roman"/>
          <w:sz w:val="14"/>
          <w:szCs w:val="14"/>
        </w:rPr>
        <w:t xml:space="preserve"> UNESCO. </w:t>
      </w:r>
      <w:r w:rsidRPr="00001846">
        <w:rPr>
          <w:rFonts w:ascii="Times New Roman" w:hAnsi="Times New Roman" w:cs="Times New Roman"/>
          <w:sz w:val="14"/>
          <w:szCs w:val="14"/>
        </w:rPr>
        <w:t xml:space="preserve">2023. </w:t>
      </w:r>
      <w:r w:rsidRPr="00001846">
        <w:rPr>
          <w:rFonts w:ascii="Times New Roman" w:hAnsi="Times New Roman" w:cs="Times New Roman"/>
          <w:i/>
          <w:iCs/>
          <w:sz w:val="14"/>
          <w:szCs w:val="14"/>
        </w:rPr>
        <w:t>Can countries afford their national SDG4 benchmarks?</w:t>
      </w:r>
      <w:r w:rsidRPr="00001846">
        <w:rPr>
          <w:rFonts w:ascii="Times New Roman" w:hAnsi="Times New Roman" w:cs="Times New Roman"/>
          <w:sz w:val="14"/>
          <w:szCs w:val="14"/>
        </w:rPr>
        <w:t xml:space="preserve"> </w:t>
      </w:r>
      <w:r w:rsidRPr="00001846">
        <w:rPr>
          <w:rStyle w:val="Hyperlink"/>
          <w:rFonts w:ascii="Times New Roman" w:hAnsi="Times New Roman" w:cs="Times New Roman"/>
          <w:sz w:val="14"/>
          <w:szCs w:val="14"/>
        </w:rPr>
        <w:t xml:space="preserve">Global Education Monitoring Report Policy Paper 49 </w:t>
      </w:r>
      <w:hyperlink r:id="rId6" w:history="1">
        <w:r w:rsidRPr="00001846">
          <w:rPr>
            <w:rStyle w:val="Hyperlink"/>
            <w:rFonts w:ascii="Times New Roman" w:hAnsi="Times New Roman" w:cs="Times New Roman"/>
            <w:sz w:val="14"/>
            <w:szCs w:val="14"/>
          </w:rPr>
          <w:t>https://unesdoc.unesco.org/ark:/48223/pf0000385004</w:t>
        </w:r>
      </w:hyperlink>
    </w:p>
  </w:footnote>
  <w:footnote w:id="8">
    <w:p w14:paraId="06A74938" w14:textId="77777777" w:rsidR="00670104" w:rsidRPr="00001846" w:rsidRDefault="00670104" w:rsidP="00670104">
      <w:pPr>
        <w:pStyle w:val="FootnoteText"/>
        <w:rPr>
          <w:rFonts w:ascii="Times New Roman" w:hAnsi="Times New Roman" w:cs="Times New Roman"/>
          <w:sz w:val="14"/>
          <w:szCs w:val="14"/>
        </w:rPr>
      </w:pPr>
      <w:r w:rsidRPr="00001846">
        <w:rPr>
          <w:rStyle w:val="FootnoteReference"/>
          <w:rFonts w:ascii="Times New Roman" w:hAnsi="Times New Roman" w:cs="Times New Roman"/>
          <w:sz w:val="14"/>
          <w:szCs w:val="14"/>
        </w:rPr>
        <w:footnoteRef/>
      </w:r>
      <w:r w:rsidRPr="00001846">
        <w:rPr>
          <w:rFonts w:ascii="Times New Roman" w:hAnsi="Times New Roman" w:cs="Times New Roman"/>
          <w:sz w:val="14"/>
          <w:szCs w:val="14"/>
        </w:rPr>
        <w:t xml:space="preserve"> International Monetary Fund. 2020. </w:t>
      </w:r>
      <w:r w:rsidRPr="00001846">
        <w:rPr>
          <w:rFonts w:ascii="Times New Roman" w:hAnsi="Times New Roman" w:cs="Times New Roman"/>
          <w:i/>
          <w:iCs/>
          <w:sz w:val="14"/>
          <w:szCs w:val="14"/>
        </w:rPr>
        <w:t>The Evolution of Public Debt Vulnerabilities in Lower Income Economies</w:t>
      </w:r>
      <w:r w:rsidRPr="00001846">
        <w:rPr>
          <w:rFonts w:ascii="Times New Roman" w:hAnsi="Times New Roman" w:cs="Times New Roman"/>
          <w:sz w:val="14"/>
          <w:szCs w:val="14"/>
        </w:rPr>
        <w:t xml:space="preserve">. </w:t>
      </w:r>
      <w:hyperlink r:id="rId7" w:history="1">
        <w:r w:rsidRPr="00001846">
          <w:rPr>
            <w:rStyle w:val="Hyperlink"/>
            <w:rFonts w:ascii="Times New Roman" w:hAnsi="Times New Roman" w:cs="Times New Roman"/>
            <w:sz w:val="14"/>
            <w:szCs w:val="14"/>
          </w:rPr>
          <w:t>https://www.imf.org/en/Publications/Policy-Papers/Issues/2020/02/05/The-Evolution-of-Public-Debt-Vulnerabilities-In-Lower-Income-Economies-49018</w:t>
        </w:r>
      </w:hyperlink>
      <w:r w:rsidRPr="00001846">
        <w:rPr>
          <w:rFonts w:ascii="Times New Roman" w:hAnsi="Times New Roman" w:cs="Times New Roman"/>
          <w:sz w:val="14"/>
          <w:szCs w:val="14"/>
        </w:rPr>
        <w:t xml:space="preserve">; and World Bank. 2023. </w:t>
      </w:r>
      <w:r w:rsidRPr="00001846">
        <w:rPr>
          <w:rFonts w:ascii="Times New Roman" w:hAnsi="Times New Roman" w:cs="Times New Roman"/>
          <w:i/>
          <w:iCs/>
          <w:sz w:val="14"/>
          <w:szCs w:val="14"/>
        </w:rPr>
        <w:t>International Debt Report 2023</w:t>
      </w:r>
      <w:r w:rsidRPr="00001846">
        <w:rPr>
          <w:rFonts w:ascii="Times New Roman" w:hAnsi="Times New Roman" w:cs="Times New Roman"/>
          <w:sz w:val="14"/>
          <w:szCs w:val="14"/>
        </w:rPr>
        <w:t xml:space="preserve">. Washington, DC: World Bank. doi:10.1596/978-1-4648-2032-8. </w:t>
      </w:r>
      <w:hyperlink r:id="rId8" w:history="1">
        <w:r w:rsidRPr="00001846">
          <w:rPr>
            <w:rStyle w:val="Hyperlink"/>
            <w:rFonts w:ascii="Times New Roman" w:hAnsi="Times New Roman" w:cs="Times New Roman"/>
            <w:sz w:val="14"/>
            <w:szCs w:val="14"/>
          </w:rPr>
          <w:t>https://openknowledge.worldbank.org/entities/publication/02225002-395f-464a-8e13-2acfca05e8f0</w:t>
        </w:r>
      </w:hyperlink>
      <w:r w:rsidRPr="00001846">
        <w:rPr>
          <w:rFonts w:ascii="Times New Roman" w:hAnsi="Times New Roman" w:cs="Times New Roman"/>
          <w:sz w:val="14"/>
          <w:szCs w:val="14"/>
        </w:rPr>
        <w:t xml:space="preserve"> </w:t>
      </w:r>
    </w:p>
  </w:footnote>
  <w:footnote w:id="9">
    <w:p w14:paraId="10D056C6" w14:textId="77777777" w:rsidR="000B511C" w:rsidRPr="00001846" w:rsidRDefault="000B511C" w:rsidP="000B511C">
      <w:pPr>
        <w:pStyle w:val="FootnoteText"/>
        <w:rPr>
          <w:rFonts w:ascii="Times New Roman" w:hAnsi="Times New Roman" w:cs="Times New Roman"/>
          <w:sz w:val="14"/>
          <w:szCs w:val="14"/>
        </w:rPr>
      </w:pPr>
      <w:r w:rsidRPr="00001846">
        <w:rPr>
          <w:rStyle w:val="FootnoteReference"/>
          <w:rFonts w:ascii="Times New Roman" w:hAnsi="Times New Roman" w:cs="Times New Roman"/>
          <w:sz w:val="14"/>
          <w:szCs w:val="14"/>
        </w:rPr>
        <w:footnoteRef/>
      </w:r>
      <w:r w:rsidRPr="00001846">
        <w:rPr>
          <w:rFonts w:ascii="Times New Roman" w:hAnsi="Times New Roman" w:cs="Times New Roman"/>
          <w:sz w:val="14"/>
          <w:szCs w:val="14"/>
        </w:rPr>
        <w:t xml:space="preserve"> Mawejje, Joseph. 2024. </w:t>
      </w:r>
      <w:r w:rsidRPr="00001846">
        <w:rPr>
          <w:rFonts w:ascii="Times New Roman" w:hAnsi="Times New Roman" w:cs="Times New Roman"/>
          <w:i/>
          <w:iCs/>
          <w:sz w:val="14"/>
          <w:szCs w:val="14"/>
        </w:rPr>
        <w:t>Fiscal Vulnerabilities in Low-Income Countries: Evolution, Drivers, and Policies</w:t>
      </w:r>
      <w:r w:rsidRPr="00001846">
        <w:rPr>
          <w:rFonts w:ascii="Times New Roman" w:hAnsi="Times New Roman" w:cs="Times New Roman"/>
          <w:sz w:val="14"/>
          <w:szCs w:val="14"/>
        </w:rPr>
        <w:t xml:space="preserve">. Washington, DC: World Bank. </w:t>
      </w:r>
      <w:hyperlink r:id="rId9" w:history="1">
        <w:r w:rsidRPr="00001846">
          <w:rPr>
            <w:rStyle w:val="Hyperlink"/>
            <w:rFonts w:ascii="Times New Roman" w:hAnsi="Times New Roman" w:cs="Times New Roman"/>
            <w:sz w:val="14"/>
            <w:szCs w:val="14"/>
          </w:rPr>
          <w:t>https://www.worldbank.org/en/research/publication/fiscal-vulnerabilities</w:t>
        </w:r>
      </w:hyperlink>
      <w:r w:rsidRPr="00001846">
        <w:rPr>
          <w:rFonts w:ascii="Times New Roman" w:hAnsi="Times New Roman" w:cs="Times New Roman"/>
          <w:sz w:val="14"/>
          <w:szCs w:val="14"/>
        </w:rPr>
        <w:t xml:space="preserve"> </w:t>
      </w:r>
    </w:p>
  </w:footnote>
  <w:footnote w:id="10">
    <w:p w14:paraId="37AE2962" w14:textId="77777777" w:rsidR="000B511C" w:rsidRPr="00001846" w:rsidRDefault="000B511C" w:rsidP="000B511C">
      <w:pPr>
        <w:pStyle w:val="FootnoteText"/>
        <w:rPr>
          <w:rFonts w:ascii="Times New Roman" w:hAnsi="Times New Roman" w:cs="Times New Roman"/>
          <w:sz w:val="14"/>
          <w:szCs w:val="14"/>
        </w:rPr>
      </w:pPr>
      <w:r w:rsidRPr="00001846">
        <w:rPr>
          <w:rStyle w:val="FootnoteReference"/>
          <w:rFonts w:ascii="Times New Roman" w:hAnsi="Times New Roman" w:cs="Times New Roman"/>
          <w:sz w:val="14"/>
          <w:szCs w:val="14"/>
        </w:rPr>
        <w:footnoteRef/>
      </w:r>
      <w:r w:rsidRPr="00001846">
        <w:rPr>
          <w:rFonts w:ascii="Times New Roman" w:hAnsi="Times New Roman" w:cs="Times New Roman"/>
          <w:sz w:val="14"/>
          <w:szCs w:val="14"/>
        </w:rPr>
        <w:t xml:space="preserve"> UNICEF. 2021. </w:t>
      </w:r>
      <w:r w:rsidRPr="00001846">
        <w:rPr>
          <w:rFonts w:ascii="Times New Roman" w:hAnsi="Times New Roman" w:cs="Times New Roman"/>
          <w:i/>
          <w:iCs/>
          <w:sz w:val="14"/>
          <w:szCs w:val="14"/>
        </w:rPr>
        <w:t>Protecting and Transforming Social Spending for Inclusive Recoveries:</w:t>
      </w:r>
      <w:r w:rsidRPr="00001846">
        <w:rPr>
          <w:rFonts w:ascii="Times New Roman" w:hAnsi="Times New Roman" w:cs="Times New Roman"/>
          <w:sz w:val="14"/>
          <w:szCs w:val="14"/>
        </w:rPr>
        <w:t xml:space="preserve"> </w:t>
      </w:r>
      <w:r w:rsidRPr="00001846">
        <w:rPr>
          <w:rFonts w:ascii="Times New Roman" w:hAnsi="Times New Roman" w:cs="Times New Roman"/>
          <w:i/>
          <w:iCs/>
          <w:sz w:val="14"/>
          <w:szCs w:val="14"/>
        </w:rPr>
        <w:t>COVID-19 and the Looming Debt Crisis</w:t>
      </w:r>
      <w:r w:rsidRPr="00001846">
        <w:rPr>
          <w:rFonts w:ascii="Times New Roman" w:hAnsi="Times New Roman" w:cs="Times New Roman"/>
          <w:sz w:val="14"/>
          <w:szCs w:val="14"/>
        </w:rPr>
        <w:t xml:space="preserve">. </w:t>
      </w:r>
      <w:hyperlink r:id="rId10" w:history="1">
        <w:r w:rsidRPr="00001846">
          <w:rPr>
            <w:rStyle w:val="Hyperlink"/>
            <w:rFonts w:ascii="Times New Roman" w:hAnsi="Times New Roman" w:cs="Times New Roman"/>
            <w:sz w:val="14"/>
            <w:szCs w:val="14"/>
          </w:rPr>
          <w:t>https://www.unicef.org/innocenti/media/3596/file/UNICEF-COVID-19-Looming-Debt-Crisis-2021.pdf</w:t>
        </w:r>
      </w:hyperlink>
    </w:p>
  </w:footnote>
  <w:footnote w:id="11">
    <w:p w14:paraId="169A6470" w14:textId="77777777" w:rsidR="00370C54" w:rsidRPr="00001846" w:rsidRDefault="00370C54" w:rsidP="00370C54">
      <w:pPr>
        <w:pStyle w:val="FootnoteText"/>
        <w:rPr>
          <w:rFonts w:ascii="Times New Roman" w:hAnsi="Times New Roman" w:cs="Times New Roman"/>
          <w:sz w:val="14"/>
          <w:szCs w:val="14"/>
        </w:rPr>
      </w:pPr>
      <w:r w:rsidRPr="00001846">
        <w:rPr>
          <w:rStyle w:val="FootnoteReference"/>
          <w:rFonts w:ascii="Times New Roman" w:hAnsi="Times New Roman" w:cs="Times New Roman"/>
          <w:sz w:val="14"/>
          <w:szCs w:val="14"/>
        </w:rPr>
        <w:footnoteRef/>
      </w:r>
      <w:r w:rsidRPr="00001846">
        <w:rPr>
          <w:rFonts w:ascii="Times New Roman" w:hAnsi="Times New Roman" w:cs="Times New Roman"/>
          <w:sz w:val="14"/>
          <w:szCs w:val="14"/>
        </w:rPr>
        <w:t xml:space="preserve"> Miningou, E. W. 2023. </w:t>
      </w:r>
      <w:r w:rsidRPr="00001846">
        <w:rPr>
          <w:rFonts w:ascii="Times New Roman" w:hAnsi="Times New Roman" w:cs="Times New Roman"/>
          <w:i/>
          <w:iCs/>
          <w:sz w:val="14"/>
          <w:szCs w:val="14"/>
        </w:rPr>
        <w:t xml:space="preserve">External Debt, Fiscal Consolidation, and Government Expenditure on Education. </w:t>
      </w:r>
      <w:r w:rsidRPr="00001846">
        <w:rPr>
          <w:rFonts w:ascii="Times New Roman" w:hAnsi="Times New Roman" w:cs="Times New Roman"/>
          <w:sz w:val="14"/>
          <w:szCs w:val="14"/>
        </w:rPr>
        <w:t>World Bank Group</w:t>
      </w:r>
      <w:r w:rsidRPr="00001846">
        <w:rPr>
          <w:rFonts w:ascii="Times New Roman" w:hAnsi="Times New Roman" w:cs="Times New Roman"/>
          <w:i/>
          <w:iCs/>
          <w:sz w:val="14"/>
          <w:szCs w:val="14"/>
        </w:rPr>
        <w:t xml:space="preserve">. </w:t>
      </w:r>
      <w:hyperlink r:id="rId11" w:history="1">
        <w:r w:rsidRPr="00001846">
          <w:rPr>
            <w:rStyle w:val="Hyperlink"/>
            <w:rFonts w:ascii="Times New Roman" w:hAnsi="Times New Roman" w:cs="Times New Roman"/>
            <w:sz w:val="14"/>
            <w:szCs w:val="14"/>
          </w:rPr>
          <w:t>https://documents1.worldbank.org/curated/en/099748506072325934/pdf/IDU09d7e7fa50fbff046e00a8a80e07ac5341e5b.pdf</w:t>
        </w:r>
      </w:hyperlink>
    </w:p>
  </w:footnote>
  <w:footnote w:id="12">
    <w:p w14:paraId="6F94623E" w14:textId="77777777" w:rsidR="00785381" w:rsidRPr="001523DD" w:rsidRDefault="00785381" w:rsidP="00785381">
      <w:pPr>
        <w:pStyle w:val="FootnoteText"/>
        <w:rPr>
          <w:rFonts w:ascii="Times New Roman" w:hAnsi="Times New Roman" w:cs="Times New Roman"/>
          <w:sz w:val="14"/>
          <w:szCs w:val="14"/>
        </w:rPr>
      </w:pPr>
      <w:r w:rsidRPr="00180CED">
        <w:rPr>
          <w:rFonts w:ascii="Times New Roman" w:hAnsi="Times New Roman" w:cs="Times New Roman"/>
          <w:sz w:val="14"/>
          <w:szCs w:val="14"/>
          <w:vertAlign w:val="superscript"/>
          <w:lang w:val="es-ES"/>
        </w:rPr>
        <w:footnoteRef/>
      </w:r>
      <w:r w:rsidRPr="001523DD">
        <w:rPr>
          <w:rFonts w:ascii="Times New Roman" w:hAnsi="Times New Roman" w:cs="Times New Roman"/>
          <w:sz w:val="14"/>
          <w:szCs w:val="14"/>
          <w:vertAlign w:val="superscript"/>
        </w:rPr>
        <w:t xml:space="preserve">  </w:t>
      </w:r>
      <w:r w:rsidRPr="001523DD">
        <w:rPr>
          <w:rFonts w:ascii="Times New Roman" w:hAnsi="Times New Roman" w:cs="Times New Roman"/>
          <w:sz w:val="14"/>
          <w:szCs w:val="14"/>
        </w:rPr>
        <w:t xml:space="preserve">Global Partnership for Sustainable Development. 2022. Investiment Case: Multiplying progress through data ecosystems. </w:t>
      </w:r>
    </w:p>
    <w:p w14:paraId="2A89E6FA" w14:textId="77777777" w:rsidR="00785381" w:rsidRPr="001523DD" w:rsidRDefault="00785381" w:rsidP="00785381">
      <w:pPr>
        <w:pStyle w:val="FootnoteText"/>
      </w:pPr>
      <w:r w:rsidRPr="001523DD">
        <w:rPr>
          <w:rStyle w:val="Hyperlink"/>
          <w:rFonts w:ascii="Times New Roman" w:hAnsi="Times New Roman" w:cs="Times New Roman"/>
          <w:sz w:val="14"/>
          <w:szCs w:val="14"/>
        </w:rPr>
        <w:t>https://www.data4sdgs.org/sites/default/files/file_uploads/Data4SDGs_Investment%20case_Multiplying%20progress_240220.pdf</w:t>
      </w:r>
    </w:p>
  </w:footnote>
  <w:footnote w:id="13">
    <w:p w14:paraId="3E939F69" w14:textId="77777777" w:rsidR="009648C7" w:rsidRPr="00001846" w:rsidRDefault="00D50217">
      <w:pPr>
        <w:pStyle w:val="FootnoteText"/>
        <w:rPr>
          <w:rFonts w:ascii="Times New Roman" w:hAnsi="Times New Roman" w:cs="Times New Roman"/>
          <w:sz w:val="14"/>
          <w:szCs w:val="14"/>
        </w:rPr>
      </w:pPr>
      <w:r w:rsidRPr="00001846">
        <w:rPr>
          <w:rStyle w:val="FootnoteReference"/>
          <w:rFonts w:ascii="Times New Roman" w:hAnsi="Times New Roman" w:cs="Times New Roman"/>
          <w:sz w:val="14"/>
          <w:szCs w:val="14"/>
        </w:rPr>
        <w:footnoteRef/>
      </w:r>
      <w:r w:rsidRPr="00001846">
        <w:rPr>
          <w:rFonts w:ascii="Times New Roman" w:hAnsi="Times New Roman" w:cs="Times New Roman"/>
          <w:sz w:val="14"/>
          <w:szCs w:val="14"/>
        </w:rPr>
        <w:t xml:space="preserve"> </w:t>
      </w:r>
      <w:r w:rsidR="007F03B6" w:rsidRPr="00001846">
        <w:rPr>
          <w:rFonts w:ascii="Times New Roman" w:hAnsi="Times New Roman" w:cs="Times New Roman"/>
          <w:sz w:val="14"/>
          <w:szCs w:val="14"/>
        </w:rPr>
        <w:t>Incheon Declaration and Framework for Action for the implementation of SDG4</w:t>
      </w:r>
      <w:r w:rsidR="009648C7" w:rsidRPr="00001846">
        <w:rPr>
          <w:rFonts w:ascii="Times New Roman" w:hAnsi="Times New Roman" w:cs="Times New Roman"/>
          <w:sz w:val="14"/>
          <w:szCs w:val="14"/>
        </w:rPr>
        <w:t xml:space="preserve">. </w:t>
      </w:r>
    </w:p>
    <w:p w14:paraId="7F460521" w14:textId="2D44B8FE" w:rsidR="00D50217" w:rsidRPr="00001846" w:rsidRDefault="00FC4DC3">
      <w:pPr>
        <w:pStyle w:val="FootnoteText"/>
        <w:rPr>
          <w:rFonts w:ascii="Times New Roman" w:hAnsi="Times New Roman" w:cs="Times New Roman"/>
          <w:sz w:val="14"/>
          <w:szCs w:val="14"/>
        </w:rPr>
      </w:pPr>
      <w:hyperlink r:id="rId12" w:tgtFrame="_blank" w:tooltip="https://uis.unesco.org/sites/default/files/documents/education-2030-incheon-framework-for-action-implementation-of-sdg4-2016-en_2.pdf" w:history="1">
        <w:r w:rsidR="00320772" w:rsidRPr="00001846">
          <w:rPr>
            <w:rStyle w:val="Hyperlink"/>
            <w:rFonts w:ascii="Times New Roman" w:hAnsi="Times New Roman" w:cs="Times New Roman"/>
            <w:sz w:val="14"/>
            <w:szCs w:val="14"/>
          </w:rPr>
          <w:t>https://uis.unesco.org/sites/default/files/documents/education-2030-incheon-framework-for-action-implementation-of-sdg4-2016-en_2.pdf</w:t>
        </w:r>
      </w:hyperlink>
    </w:p>
  </w:footnote>
  <w:footnote w:id="14">
    <w:p w14:paraId="01A74F12" w14:textId="77777777" w:rsidR="002E66AF" w:rsidRPr="00001846" w:rsidRDefault="002E66AF" w:rsidP="002E66AF">
      <w:pPr>
        <w:pStyle w:val="FootnoteText"/>
        <w:rPr>
          <w:rFonts w:ascii="Times New Roman" w:hAnsi="Times New Roman" w:cs="Times New Roman"/>
          <w:sz w:val="14"/>
          <w:szCs w:val="14"/>
        </w:rPr>
      </w:pPr>
      <w:r w:rsidRPr="00001846">
        <w:rPr>
          <w:rStyle w:val="FootnoteReference"/>
          <w:rFonts w:ascii="Times New Roman" w:hAnsi="Times New Roman" w:cs="Times New Roman"/>
          <w:sz w:val="14"/>
          <w:szCs w:val="14"/>
        </w:rPr>
        <w:footnoteRef/>
      </w:r>
      <w:r w:rsidRPr="00001846">
        <w:rPr>
          <w:rFonts w:ascii="Times New Roman" w:hAnsi="Times New Roman" w:cs="Times New Roman"/>
          <w:sz w:val="14"/>
          <w:szCs w:val="14"/>
        </w:rPr>
        <w:t xml:space="preserve"> Incheon Declaration and Framework for Action for the implementation of SDG4. </w:t>
      </w:r>
    </w:p>
    <w:p w14:paraId="33E4FDAB" w14:textId="0A911A98" w:rsidR="002E66AF" w:rsidRDefault="00FC4DC3" w:rsidP="002E66AF">
      <w:pPr>
        <w:pStyle w:val="FootnoteText"/>
      </w:pPr>
      <w:hyperlink r:id="rId13" w:tgtFrame="_blank" w:tooltip="https://uis.unesco.org/sites/default/files/documents/education-2030-incheon-framework-for-action-implementation-of-sdg4-2016-en_2.pdf" w:history="1">
        <w:r w:rsidR="002E66AF" w:rsidRPr="00001846">
          <w:rPr>
            <w:rStyle w:val="Hyperlink"/>
            <w:rFonts w:ascii="Times New Roman" w:hAnsi="Times New Roman" w:cs="Times New Roman"/>
            <w:sz w:val="14"/>
            <w:szCs w:val="14"/>
          </w:rPr>
          <w:t>https://uis.unesco.org/sites/default/files/documents/education-2030-incheon-framework-for-action-implementation-of-sdg4-2016-en_2.pdf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8AC4C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04192"/>
    <w:multiLevelType w:val="hybridMultilevel"/>
    <w:tmpl w:val="4114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A1416"/>
    <w:multiLevelType w:val="multilevel"/>
    <w:tmpl w:val="72B2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5188A"/>
    <w:multiLevelType w:val="hybridMultilevel"/>
    <w:tmpl w:val="504A811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CC2E1C"/>
    <w:multiLevelType w:val="hybridMultilevel"/>
    <w:tmpl w:val="3DFE95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1E4874"/>
    <w:multiLevelType w:val="hybridMultilevel"/>
    <w:tmpl w:val="AEC098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22BBD"/>
    <w:multiLevelType w:val="hybridMultilevel"/>
    <w:tmpl w:val="4C303350"/>
    <w:lvl w:ilvl="0" w:tplc="EEBC5C42">
      <w:start w:val="1"/>
      <w:numFmt w:val="upperRoman"/>
      <w:lvlText w:val="%1."/>
      <w:lvlJc w:val="right"/>
      <w:pPr>
        <w:ind w:left="720" w:hanging="360"/>
      </w:pPr>
      <w:rPr>
        <w:color w:val="2F5496"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A5C28"/>
    <w:multiLevelType w:val="hybridMultilevel"/>
    <w:tmpl w:val="18ACD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079FF"/>
    <w:multiLevelType w:val="hybridMultilevel"/>
    <w:tmpl w:val="C45CA68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9620B34"/>
    <w:multiLevelType w:val="hybridMultilevel"/>
    <w:tmpl w:val="6EDC5CFE"/>
    <w:lvl w:ilvl="0" w:tplc="04A6D1AE">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25A5D"/>
    <w:multiLevelType w:val="hybridMultilevel"/>
    <w:tmpl w:val="B6CC38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CD3A57"/>
    <w:multiLevelType w:val="hybridMultilevel"/>
    <w:tmpl w:val="746E3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617CF"/>
    <w:multiLevelType w:val="hybridMultilevel"/>
    <w:tmpl w:val="3DFE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4C80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6140357">
    <w:abstractNumId w:val="1"/>
  </w:num>
  <w:num w:numId="2" w16cid:durableId="1584299033">
    <w:abstractNumId w:val="13"/>
  </w:num>
  <w:num w:numId="3" w16cid:durableId="1619724695">
    <w:abstractNumId w:val="7"/>
  </w:num>
  <w:num w:numId="4" w16cid:durableId="1677613101">
    <w:abstractNumId w:val="0"/>
  </w:num>
  <w:num w:numId="5" w16cid:durableId="1702977333">
    <w:abstractNumId w:val="9"/>
  </w:num>
  <w:num w:numId="6" w16cid:durableId="148713112">
    <w:abstractNumId w:val="5"/>
  </w:num>
  <w:num w:numId="7" w16cid:durableId="813450570">
    <w:abstractNumId w:val="10"/>
  </w:num>
  <w:num w:numId="8" w16cid:durableId="1991715935">
    <w:abstractNumId w:val="12"/>
  </w:num>
  <w:num w:numId="9" w16cid:durableId="749081384">
    <w:abstractNumId w:val="4"/>
  </w:num>
  <w:num w:numId="10" w16cid:durableId="1652490283">
    <w:abstractNumId w:val="6"/>
  </w:num>
  <w:num w:numId="11" w16cid:durableId="1507017103">
    <w:abstractNumId w:val="11"/>
  </w:num>
  <w:num w:numId="12" w16cid:durableId="161549871">
    <w:abstractNumId w:val="8"/>
  </w:num>
  <w:num w:numId="13" w16cid:durableId="608859091">
    <w:abstractNumId w:val="3"/>
  </w:num>
  <w:num w:numId="14" w16cid:durableId="1162350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91"/>
    <w:rsid w:val="00001846"/>
    <w:rsid w:val="00001D92"/>
    <w:rsid w:val="0000571A"/>
    <w:rsid w:val="00005D78"/>
    <w:rsid w:val="00016FB8"/>
    <w:rsid w:val="000272B5"/>
    <w:rsid w:val="0005258D"/>
    <w:rsid w:val="00064984"/>
    <w:rsid w:val="0007006B"/>
    <w:rsid w:val="000741CF"/>
    <w:rsid w:val="00091790"/>
    <w:rsid w:val="000917F5"/>
    <w:rsid w:val="000B511C"/>
    <w:rsid w:val="000C5164"/>
    <w:rsid w:val="000D0802"/>
    <w:rsid w:val="000F5D99"/>
    <w:rsid w:val="000F6301"/>
    <w:rsid w:val="00104AA9"/>
    <w:rsid w:val="001068EC"/>
    <w:rsid w:val="001142CF"/>
    <w:rsid w:val="00114EE6"/>
    <w:rsid w:val="00141D63"/>
    <w:rsid w:val="001523DD"/>
    <w:rsid w:val="0015636A"/>
    <w:rsid w:val="00163713"/>
    <w:rsid w:val="00180CED"/>
    <w:rsid w:val="00180F49"/>
    <w:rsid w:val="00196615"/>
    <w:rsid w:val="001A217D"/>
    <w:rsid w:val="001B0496"/>
    <w:rsid w:val="001B652E"/>
    <w:rsid w:val="001D3822"/>
    <w:rsid w:val="001D4297"/>
    <w:rsid w:val="001E1286"/>
    <w:rsid w:val="001E5B49"/>
    <w:rsid w:val="001F26DF"/>
    <w:rsid w:val="0020491A"/>
    <w:rsid w:val="00211BBF"/>
    <w:rsid w:val="00212893"/>
    <w:rsid w:val="00213659"/>
    <w:rsid w:val="002170AE"/>
    <w:rsid w:val="00222CE0"/>
    <w:rsid w:val="00244A9C"/>
    <w:rsid w:val="00246376"/>
    <w:rsid w:val="002673AE"/>
    <w:rsid w:val="002A2E36"/>
    <w:rsid w:val="002A6687"/>
    <w:rsid w:val="002B7ED2"/>
    <w:rsid w:val="002E66AF"/>
    <w:rsid w:val="002E729A"/>
    <w:rsid w:val="002F003F"/>
    <w:rsid w:val="002F40A9"/>
    <w:rsid w:val="002F5845"/>
    <w:rsid w:val="0030200F"/>
    <w:rsid w:val="00307390"/>
    <w:rsid w:val="0030766D"/>
    <w:rsid w:val="00307764"/>
    <w:rsid w:val="0031130F"/>
    <w:rsid w:val="00312297"/>
    <w:rsid w:val="003126F2"/>
    <w:rsid w:val="003170C1"/>
    <w:rsid w:val="00317EA8"/>
    <w:rsid w:val="00320772"/>
    <w:rsid w:val="00337917"/>
    <w:rsid w:val="003433AB"/>
    <w:rsid w:val="00343BAB"/>
    <w:rsid w:val="003579EA"/>
    <w:rsid w:val="00363908"/>
    <w:rsid w:val="00370C54"/>
    <w:rsid w:val="00391DEE"/>
    <w:rsid w:val="00394CE6"/>
    <w:rsid w:val="003C41AD"/>
    <w:rsid w:val="003C4AEB"/>
    <w:rsid w:val="003E66F4"/>
    <w:rsid w:val="003F3E0C"/>
    <w:rsid w:val="00400ECE"/>
    <w:rsid w:val="004036E8"/>
    <w:rsid w:val="00405E66"/>
    <w:rsid w:val="004101C9"/>
    <w:rsid w:val="00411117"/>
    <w:rsid w:val="00416FA9"/>
    <w:rsid w:val="00417CBD"/>
    <w:rsid w:val="0042311C"/>
    <w:rsid w:val="00436D5C"/>
    <w:rsid w:val="00450856"/>
    <w:rsid w:val="00456D6D"/>
    <w:rsid w:val="0046724C"/>
    <w:rsid w:val="0047780E"/>
    <w:rsid w:val="00494350"/>
    <w:rsid w:val="00497DE3"/>
    <w:rsid w:val="004A7D04"/>
    <w:rsid w:val="004B327B"/>
    <w:rsid w:val="004B5232"/>
    <w:rsid w:val="004C06FB"/>
    <w:rsid w:val="004C497B"/>
    <w:rsid w:val="004C79D5"/>
    <w:rsid w:val="004C7E39"/>
    <w:rsid w:val="004E2AA2"/>
    <w:rsid w:val="004F0AC7"/>
    <w:rsid w:val="004F7160"/>
    <w:rsid w:val="0051511A"/>
    <w:rsid w:val="00530632"/>
    <w:rsid w:val="00534DCA"/>
    <w:rsid w:val="00546B82"/>
    <w:rsid w:val="005555C5"/>
    <w:rsid w:val="00560D6A"/>
    <w:rsid w:val="00562FC8"/>
    <w:rsid w:val="00565628"/>
    <w:rsid w:val="005716B1"/>
    <w:rsid w:val="005721CF"/>
    <w:rsid w:val="00572A8A"/>
    <w:rsid w:val="005865DF"/>
    <w:rsid w:val="00586851"/>
    <w:rsid w:val="005971B8"/>
    <w:rsid w:val="005A4199"/>
    <w:rsid w:val="005B4B26"/>
    <w:rsid w:val="005D1390"/>
    <w:rsid w:val="005E2086"/>
    <w:rsid w:val="005E3967"/>
    <w:rsid w:val="005F09F4"/>
    <w:rsid w:val="005F61ED"/>
    <w:rsid w:val="00612334"/>
    <w:rsid w:val="00623C6D"/>
    <w:rsid w:val="00634508"/>
    <w:rsid w:val="00635FF5"/>
    <w:rsid w:val="00643DFC"/>
    <w:rsid w:val="00650BC2"/>
    <w:rsid w:val="00661F86"/>
    <w:rsid w:val="00667118"/>
    <w:rsid w:val="00670104"/>
    <w:rsid w:val="0067044F"/>
    <w:rsid w:val="00676672"/>
    <w:rsid w:val="0068366E"/>
    <w:rsid w:val="006977F5"/>
    <w:rsid w:val="006A0916"/>
    <w:rsid w:val="006A2DF7"/>
    <w:rsid w:val="006A49C5"/>
    <w:rsid w:val="006C10DB"/>
    <w:rsid w:val="006D3701"/>
    <w:rsid w:val="006E46B2"/>
    <w:rsid w:val="00710C72"/>
    <w:rsid w:val="00741F9B"/>
    <w:rsid w:val="00744683"/>
    <w:rsid w:val="00753FB9"/>
    <w:rsid w:val="0075571A"/>
    <w:rsid w:val="00756F45"/>
    <w:rsid w:val="00765474"/>
    <w:rsid w:val="007677B2"/>
    <w:rsid w:val="00771E02"/>
    <w:rsid w:val="00785381"/>
    <w:rsid w:val="00790164"/>
    <w:rsid w:val="00790D75"/>
    <w:rsid w:val="007A0483"/>
    <w:rsid w:val="007A3CE0"/>
    <w:rsid w:val="007B41FD"/>
    <w:rsid w:val="007B5297"/>
    <w:rsid w:val="007D3A16"/>
    <w:rsid w:val="007E44CB"/>
    <w:rsid w:val="007F03B6"/>
    <w:rsid w:val="007F2C06"/>
    <w:rsid w:val="007F34F3"/>
    <w:rsid w:val="00803279"/>
    <w:rsid w:val="008043D7"/>
    <w:rsid w:val="008132E5"/>
    <w:rsid w:val="0081562C"/>
    <w:rsid w:val="00815CA9"/>
    <w:rsid w:val="00820594"/>
    <w:rsid w:val="0084559D"/>
    <w:rsid w:val="0084698D"/>
    <w:rsid w:val="00851CFC"/>
    <w:rsid w:val="00877B9B"/>
    <w:rsid w:val="008871D9"/>
    <w:rsid w:val="00894C6D"/>
    <w:rsid w:val="008A2AAD"/>
    <w:rsid w:val="008A5691"/>
    <w:rsid w:val="008B2F50"/>
    <w:rsid w:val="008D5451"/>
    <w:rsid w:val="008D6634"/>
    <w:rsid w:val="008E6870"/>
    <w:rsid w:val="008F031B"/>
    <w:rsid w:val="008F33F6"/>
    <w:rsid w:val="009113BE"/>
    <w:rsid w:val="00912644"/>
    <w:rsid w:val="00914C81"/>
    <w:rsid w:val="00926950"/>
    <w:rsid w:val="0093124E"/>
    <w:rsid w:val="00955565"/>
    <w:rsid w:val="0095647F"/>
    <w:rsid w:val="00963B89"/>
    <w:rsid w:val="009648C7"/>
    <w:rsid w:val="0097522F"/>
    <w:rsid w:val="00975BF5"/>
    <w:rsid w:val="009802FC"/>
    <w:rsid w:val="009831FD"/>
    <w:rsid w:val="009962B6"/>
    <w:rsid w:val="009B29E1"/>
    <w:rsid w:val="009C6B33"/>
    <w:rsid w:val="009E4139"/>
    <w:rsid w:val="009F4C49"/>
    <w:rsid w:val="009F6643"/>
    <w:rsid w:val="00A06978"/>
    <w:rsid w:val="00A15479"/>
    <w:rsid w:val="00A376DC"/>
    <w:rsid w:val="00A41800"/>
    <w:rsid w:val="00A55950"/>
    <w:rsid w:val="00A65869"/>
    <w:rsid w:val="00A66339"/>
    <w:rsid w:val="00A66868"/>
    <w:rsid w:val="00A83CCA"/>
    <w:rsid w:val="00A91683"/>
    <w:rsid w:val="00A94734"/>
    <w:rsid w:val="00A9626D"/>
    <w:rsid w:val="00AB64EC"/>
    <w:rsid w:val="00AC44F5"/>
    <w:rsid w:val="00AD145D"/>
    <w:rsid w:val="00AD2666"/>
    <w:rsid w:val="00AD3279"/>
    <w:rsid w:val="00AD4F52"/>
    <w:rsid w:val="00AE7C87"/>
    <w:rsid w:val="00AF3BDB"/>
    <w:rsid w:val="00AF5824"/>
    <w:rsid w:val="00B0064E"/>
    <w:rsid w:val="00B04989"/>
    <w:rsid w:val="00B07F75"/>
    <w:rsid w:val="00B202F2"/>
    <w:rsid w:val="00B34173"/>
    <w:rsid w:val="00B44AB3"/>
    <w:rsid w:val="00B600AC"/>
    <w:rsid w:val="00B622C5"/>
    <w:rsid w:val="00B7666E"/>
    <w:rsid w:val="00BA3379"/>
    <w:rsid w:val="00BA52C9"/>
    <w:rsid w:val="00BB454B"/>
    <w:rsid w:val="00BB4957"/>
    <w:rsid w:val="00BB52B4"/>
    <w:rsid w:val="00BB71C1"/>
    <w:rsid w:val="00BC43E5"/>
    <w:rsid w:val="00BC7559"/>
    <w:rsid w:val="00BD6E6F"/>
    <w:rsid w:val="00BE262E"/>
    <w:rsid w:val="00BE5489"/>
    <w:rsid w:val="00BF33FE"/>
    <w:rsid w:val="00BF3B9D"/>
    <w:rsid w:val="00C059BA"/>
    <w:rsid w:val="00C119C4"/>
    <w:rsid w:val="00C201C6"/>
    <w:rsid w:val="00C252FA"/>
    <w:rsid w:val="00C34903"/>
    <w:rsid w:val="00C352E2"/>
    <w:rsid w:val="00C4755E"/>
    <w:rsid w:val="00C47A9B"/>
    <w:rsid w:val="00C675EC"/>
    <w:rsid w:val="00C73CD9"/>
    <w:rsid w:val="00C75905"/>
    <w:rsid w:val="00C85671"/>
    <w:rsid w:val="00C9313C"/>
    <w:rsid w:val="00C94292"/>
    <w:rsid w:val="00C94917"/>
    <w:rsid w:val="00C95945"/>
    <w:rsid w:val="00C97B06"/>
    <w:rsid w:val="00CA03EB"/>
    <w:rsid w:val="00CA0872"/>
    <w:rsid w:val="00CA1859"/>
    <w:rsid w:val="00CB72B1"/>
    <w:rsid w:val="00CC35BF"/>
    <w:rsid w:val="00CC5D44"/>
    <w:rsid w:val="00CD2D79"/>
    <w:rsid w:val="00CD2DC1"/>
    <w:rsid w:val="00CD43F0"/>
    <w:rsid w:val="00CD6768"/>
    <w:rsid w:val="00CE59FA"/>
    <w:rsid w:val="00CF3475"/>
    <w:rsid w:val="00CF4F34"/>
    <w:rsid w:val="00CF50BA"/>
    <w:rsid w:val="00CF6D61"/>
    <w:rsid w:val="00D14C5C"/>
    <w:rsid w:val="00D50217"/>
    <w:rsid w:val="00D64F14"/>
    <w:rsid w:val="00D84056"/>
    <w:rsid w:val="00DA5013"/>
    <w:rsid w:val="00DA6E30"/>
    <w:rsid w:val="00DB0790"/>
    <w:rsid w:val="00DB233D"/>
    <w:rsid w:val="00DB2F36"/>
    <w:rsid w:val="00DB6D27"/>
    <w:rsid w:val="00DD31F9"/>
    <w:rsid w:val="00DD37B8"/>
    <w:rsid w:val="00DE2659"/>
    <w:rsid w:val="00DF268E"/>
    <w:rsid w:val="00DF4348"/>
    <w:rsid w:val="00DF4FBB"/>
    <w:rsid w:val="00DF7CBC"/>
    <w:rsid w:val="00E0092C"/>
    <w:rsid w:val="00E0270D"/>
    <w:rsid w:val="00E204B6"/>
    <w:rsid w:val="00E260E9"/>
    <w:rsid w:val="00E3600D"/>
    <w:rsid w:val="00E40C69"/>
    <w:rsid w:val="00E57881"/>
    <w:rsid w:val="00E636CC"/>
    <w:rsid w:val="00E644F5"/>
    <w:rsid w:val="00E756E8"/>
    <w:rsid w:val="00E87523"/>
    <w:rsid w:val="00E975D6"/>
    <w:rsid w:val="00EA5366"/>
    <w:rsid w:val="00EB24CC"/>
    <w:rsid w:val="00EB6715"/>
    <w:rsid w:val="00EC5855"/>
    <w:rsid w:val="00ED162E"/>
    <w:rsid w:val="00ED5973"/>
    <w:rsid w:val="00EE274D"/>
    <w:rsid w:val="00EE5635"/>
    <w:rsid w:val="00F065AA"/>
    <w:rsid w:val="00F316F9"/>
    <w:rsid w:val="00F40165"/>
    <w:rsid w:val="00F42AA7"/>
    <w:rsid w:val="00F45F13"/>
    <w:rsid w:val="00F56032"/>
    <w:rsid w:val="00F566C9"/>
    <w:rsid w:val="00F62FC5"/>
    <w:rsid w:val="00F75308"/>
    <w:rsid w:val="00F77F94"/>
    <w:rsid w:val="00F851CC"/>
    <w:rsid w:val="00FB53F6"/>
    <w:rsid w:val="00FB6CD1"/>
    <w:rsid w:val="00FB7A55"/>
    <w:rsid w:val="00FB7E9A"/>
    <w:rsid w:val="00FC4DC3"/>
    <w:rsid w:val="00FD3DE9"/>
    <w:rsid w:val="00FD41A6"/>
    <w:rsid w:val="00FE17A6"/>
    <w:rsid w:val="00FE264B"/>
    <w:rsid w:val="00FF66D2"/>
    <w:rsid w:val="00FF6CA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DB63"/>
  <w15:chartTrackingRefBased/>
  <w15:docId w15:val="{84421AC7-34D3-4CBF-B0A9-32A843D6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Dot pt,F5 List Paragraph,No Spacing1,List Paragraph Char Char Char,Indicator Text,Numbered Para 1,Bullet 1,List Paragraph12,Bullet Points,MAIN CONTENT,Colorful List - Accent 11"/>
    <w:link w:val="ListParagraphChar"/>
    <w:uiPriority w:val="34"/>
    <w:qFormat/>
    <w:rsid w:val="008A5691"/>
    <w:pPr>
      <w:pBdr>
        <w:top w:val="nil"/>
        <w:left w:val="nil"/>
        <w:bottom w:val="nil"/>
        <w:right w:val="nil"/>
        <w:between w:val="nil"/>
        <w:bar w:val="nil"/>
      </w:pBdr>
      <w:spacing w:line="252" w:lineRule="auto"/>
      <w:ind w:left="720"/>
    </w:pPr>
    <w:rPr>
      <w:rFonts w:ascii="Calibri" w:eastAsia="Arial Unicode MS" w:hAnsi="Calibri" w:cs="Arial Unicode MS"/>
      <w:color w:val="000000"/>
      <w:kern w:val="0"/>
      <w:u w:color="000000"/>
      <w:bdr w:val="nil"/>
      <w:lang w:val="fr-FR" w:eastAsia="zh-CN"/>
      <w14:ligatures w14:val="none"/>
    </w:rPr>
  </w:style>
  <w:style w:type="paragraph" w:styleId="Header">
    <w:name w:val="header"/>
    <w:basedOn w:val="Normal"/>
    <w:link w:val="HeaderChar"/>
    <w:uiPriority w:val="99"/>
    <w:unhideWhenUsed/>
    <w:rsid w:val="008A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691"/>
  </w:style>
  <w:style w:type="paragraph" w:styleId="Footer">
    <w:name w:val="footer"/>
    <w:basedOn w:val="Normal"/>
    <w:link w:val="FooterChar"/>
    <w:uiPriority w:val="99"/>
    <w:unhideWhenUsed/>
    <w:rsid w:val="008A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691"/>
  </w:style>
  <w:style w:type="paragraph" w:styleId="NormalWeb">
    <w:name w:val="Normal (Web)"/>
    <w:basedOn w:val="Normal"/>
    <w:uiPriority w:val="99"/>
    <w:semiHidden/>
    <w:unhideWhenUsed/>
    <w:rsid w:val="00016F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verflow-hidden">
    <w:name w:val="overflow-hidden"/>
    <w:basedOn w:val="DefaultParagraphFont"/>
    <w:rsid w:val="00016FB8"/>
  </w:style>
  <w:style w:type="paragraph" w:styleId="FootnoteText">
    <w:name w:val="footnote text"/>
    <w:basedOn w:val="Normal"/>
    <w:link w:val="FootnoteTextChar"/>
    <w:uiPriority w:val="99"/>
    <w:semiHidden/>
    <w:unhideWhenUsed/>
    <w:rsid w:val="000649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4984"/>
    <w:rPr>
      <w:sz w:val="20"/>
      <w:szCs w:val="20"/>
    </w:rPr>
  </w:style>
  <w:style w:type="character" w:styleId="FootnoteReference">
    <w:name w:val="footnote reference"/>
    <w:basedOn w:val="DefaultParagraphFont"/>
    <w:uiPriority w:val="99"/>
    <w:semiHidden/>
    <w:unhideWhenUsed/>
    <w:rsid w:val="00064984"/>
    <w:rPr>
      <w:vertAlign w:val="superscript"/>
    </w:rPr>
  </w:style>
  <w:style w:type="character" w:styleId="Hyperlink">
    <w:name w:val="Hyperlink"/>
    <w:basedOn w:val="DefaultParagraphFont"/>
    <w:uiPriority w:val="99"/>
    <w:unhideWhenUsed/>
    <w:rsid w:val="00307390"/>
    <w:rPr>
      <w:color w:val="0563C1" w:themeColor="hyperlink"/>
      <w:u w:val="single"/>
    </w:rPr>
  </w:style>
  <w:style w:type="character" w:styleId="UnresolvedMention">
    <w:name w:val="Unresolved Mention"/>
    <w:basedOn w:val="DefaultParagraphFont"/>
    <w:uiPriority w:val="99"/>
    <w:semiHidden/>
    <w:unhideWhenUsed/>
    <w:rsid w:val="00307390"/>
    <w:rPr>
      <w:color w:val="605E5C"/>
      <w:shd w:val="clear" w:color="auto" w:fill="E1DFDD"/>
    </w:rPr>
  </w:style>
  <w:style w:type="character" w:styleId="CommentReference">
    <w:name w:val="annotation reference"/>
    <w:basedOn w:val="DefaultParagraphFont"/>
    <w:uiPriority w:val="99"/>
    <w:semiHidden/>
    <w:unhideWhenUsed/>
    <w:rsid w:val="00877B9B"/>
    <w:rPr>
      <w:sz w:val="16"/>
      <w:szCs w:val="16"/>
    </w:rPr>
  </w:style>
  <w:style w:type="paragraph" w:styleId="CommentText">
    <w:name w:val="annotation text"/>
    <w:basedOn w:val="Normal"/>
    <w:link w:val="CommentTextChar"/>
    <w:uiPriority w:val="99"/>
    <w:unhideWhenUsed/>
    <w:rsid w:val="00877B9B"/>
    <w:pPr>
      <w:spacing w:line="240" w:lineRule="auto"/>
    </w:pPr>
    <w:rPr>
      <w:sz w:val="20"/>
      <w:szCs w:val="20"/>
    </w:rPr>
  </w:style>
  <w:style w:type="character" w:customStyle="1" w:styleId="CommentTextChar">
    <w:name w:val="Comment Text Char"/>
    <w:basedOn w:val="DefaultParagraphFont"/>
    <w:link w:val="CommentText"/>
    <w:uiPriority w:val="99"/>
    <w:rsid w:val="00877B9B"/>
    <w:rPr>
      <w:sz w:val="20"/>
      <w:szCs w:val="20"/>
    </w:rPr>
  </w:style>
  <w:style w:type="paragraph" w:styleId="CommentSubject">
    <w:name w:val="annotation subject"/>
    <w:basedOn w:val="CommentText"/>
    <w:next w:val="CommentText"/>
    <w:link w:val="CommentSubjectChar"/>
    <w:uiPriority w:val="99"/>
    <w:semiHidden/>
    <w:unhideWhenUsed/>
    <w:rsid w:val="00877B9B"/>
    <w:rPr>
      <w:b/>
      <w:bCs/>
    </w:rPr>
  </w:style>
  <w:style w:type="character" w:customStyle="1" w:styleId="CommentSubjectChar">
    <w:name w:val="Comment Subject Char"/>
    <w:basedOn w:val="CommentTextChar"/>
    <w:link w:val="CommentSubject"/>
    <w:uiPriority w:val="99"/>
    <w:semiHidden/>
    <w:rsid w:val="00877B9B"/>
    <w:rPr>
      <w:b/>
      <w:bCs/>
      <w:sz w:val="20"/>
      <w:szCs w:val="20"/>
    </w:rPr>
  </w:style>
  <w:style w:type="character" w:customStyle="1" w:styleId="normaltextrun">
    <w:name w:val="normaltextrun"/>
    <w:basedOn w:val="DefaultParagraphFont"/>
    <w:rsid w:val="00005D78"/>
  </w:style>
  <w:style w:type="character" w:customStyle="1" w:styleId="eop">
    <w:name w:val="eop"/>
    <w:basedOn w:val="DefaultParagraphFont"/>
    <w:rsid w:val="00005D78"/>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uiPriority w:val="34"/>
    <w:qFormat/>
    <w:locked/>
    <w:rsid w:val="00F56032"/>
    <w:rPr>
      <w:rFonts w:ascii="Calibri" w:eastAsia="Arial Unicode MS" w:hAnsi="Calibri" w:cs="Arial Unicode MS"/>
      <w:color w:val="000000"/>
      <w:kern w:val="0"/>
      <w:u w:color="000000"/>
      <w:bdr w:val="nil"/>
      <w:lang w:val="fr-FR" w:eastAsia="zh-CN"/>
      <w14:ligatures w14:val="none"/>
    </w:rPr>
  </w:style>
  <w:style w:type="character" w:styleId="FollowedHyperlink">
    <w:name w:val="FollowedHyperlink"/>
    <w:basedOn w:val="DefaultParagraphFont"/>
    <w:uiPriority w:val="99"/>
    <w:semiHidden/>
    <w:unhideWhenUsed/>
    <w:rsid w:val="00320772"/>
    <w:rPr>
      <w:color w:val="954F72" w:themeColor="followedHyperlink"/>
      <w:u w:val="single"/>
    </w:rPr>
  </w:style>
  <w:style w:type="paragraph" w:styleId="Revision">
    <w:name w:val="Revision"/>
    <w:hidden/>
    <w:uiPriority w:val="99"/>
    <w:semiHidden/>
    <w:rsid w:val="00212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1410">
      <w:bodyDiv w:val="1"/>
      <w:marLeft w:val="0"/>
      <w:marRight w:val="0"/>
      <w:marTop w:val="0"/>
      <w:marBottom w:val="0"/>
      <w:divBdr>
        <w:top w:val="none" w:sz="0" w:space="0" w:color="auto"/>
        <w:left w:val="none" w:sz="0" w:space="0" w:color="auto"/>
        <w:bottom w:val="none" w:sz="0" w:space="0" w:color="auto"/>
        <w:right w:val="none" w:sz="0" w:space="0" w:color="auto"/>
      </w:divBdr>
    </w:div>
    <w:div w:id="126168142">
      <w:bodyDiv w:val="1"/>
      <w:marLeft w:val="0"/>
      <w:marRight w:val="0"/>
      <w:marTop w:val="0"/>
      <w:marBottom w:val="0"/>
      <w:divBdr>
        <w:top w:val="none" w:sz="0" w:space="0" w:color="auto"/>
        <w:left w:val="none" w:sz="0" w:space="0" w:color="auto"/>
        <w:bottom w:val="none" w:sz="0" w:space="0" w:color="auto"/>
        <w:right w:val="none" w:sz="0" w:space="0" w:color="auto"/>
      </w:divBdr>
    </w:div>
    <w:div w:id="197209895">
      <w:bodyDiv w:val="1"/>
      <w:marLeft w:val="0"/>
      <w:marRight w:val="0"/>
      <w:marTop w:val="0"/>
      <w:marBottom w:val="0"/>
      <w:divBdr>
        <w:top w:val="none" w:sz="0" w:space="0" w:color="auto"/>
        <w:left w:val="none" w:sz="0" w:space="0" w:color="auto"/>
        <w:bottom w:val="none" w:sz="0" w:space="0" w:color="auto"/>
        <w:right w:val="none" w:sz="0" w:space="0" w:color="auto"/>
      </w:divBdr>
      <w:divsChild>
        <w:div w:id="438598251">
          <w:marLeft w:val="0"/>
          <w:marRight w:val="0"/>
          <w:marTop w:val="0"/>
          <w:marBottom w:val="0"/>
          <w:divBdr>
            <w:top w:val="none" w:sz="0" w:space="0" w:color="auto"/>
            <w:left w:val="none" w:sz="0" w:space="0" w:color="auto"/>
            <w:bottom w:val="none" w:sz="0" w:space="0" w:color="auto"/>
            <w:right w:val="none" w:sz="0" w:space="0" w:color="auto"/>
          </w:divBdr>
          <w:divsChild>
            <w:div w:id="43065440">
              <w:marLeft w:val="0"/>
              <w:marRight w:val="0"/>
              <w:marTop w:val="0"/>
              <w:marBottom w:val="0"/>
              <w:divBdr>
                <w:top w:val="none" w:sz="0" w:space="0" w:color="auto"/>
                <w:left w:val="none" w:sz="0" w:space="0" w:color="auto"/>
                <w:bottom w:val="none" w:sz="0" w:space="0" w:color="auto"/>
                <w:right w:val="none" w:sz="0" w:space="0" w:color="auto"/>
              </w:divBdr>
              <w:divsChild>
                <w:div w:id="1074666061">
                  <w:marLeft w:val="0"/>
                  <w:marRight w:val="0"/>
                  <w:marTop w:val="0"/>
                  <w:marBottom w:val="0"/>
                  <w:divBdr>
                    <w:top w:val="none" w:sz="0" w:space="0" w:color="auto"/>
                    <w:left w:val="none" w:sz="0" w:space="0" w:color="auto"/>
                    <w:bottom w:val="none" w:sz="0" w:space="0" w:color="auto"/>
                    <w:right w:val="none" w:sz="0" w:space="0" w:color="auto"/>
                  </w:divBdr>
                  <w:divsChild>
                    <w:div w:id="375391387">
                      <w:marLeft w:val="0"/>
                      <w:marRight w:val="0"/>
                      <w:marTop w:val="0"/>
                      <w:marBottom w:val="0"/>
                      <w:divBdr>
                        <w:top w:val="none" w:sz="0" w:space="0" w:color="auto"/>
                        <w:left w:val="none" w:sz="0" w:space="0" w:color="auto"/>
                        <w:bottom w:val="none" w:sz="0" w:space="0" w:color="auto"/>
                        <w:right w:val="none" w:sz="0" w:space="0" w:color="auto"/>
                      </w:divBdr>
                      <w:divsChild>
                        <w:div w:id="1002705622">
                          <w:marLeft w:val="0"/>
                          <w:marRight w:val="0"/>
                          <w:marTop w:val="0"/>
                          <w:marBottom w:val="0"/>
                          <w:divBdr>
                            <w:top w:val="none" w:sz="0" w:space="0" w:color="auto"/>
                            <w:left w:val="none" w:sz="0" w:space="0" w:color="auto"/>
                            <w:bottom w:val="none" w:sz="0" w:space="0" w:color="auto"/>
                            <w:right w:val="none" w:sz="0" w:space="0" w:color="auto"/>
                          </w:divBdr>
                          <w:divsChild>
                            <w:div w:id="3961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225456">
      <w:bodyDiv w:val="1"/>
      <w:marLeft w:val="0"/>
      <w:marRight w:val="0"/>
      <w:marTop w:val="0"/>
      <w:marBottom w:val="0"/>
      <w:divBdr>
        <w:top w:val="none" w:sz="0" w:space="0" w:color="auto"/>
        <w:left w:val="none" w:sz="0" w:space="0" w:color="auto"/>
        <w:bottom w:val="none" w:sz="0" w:space="0" w:color="auto"/>
        <w:right w:val="none" w:sz="0" w:space="0" w:color="auto"/>
      </w:divBdr>
    </w:div>
    <w:div w:id="253828619">
      <w:bodyDiv w:val="1"/>
      <w:marLeft w:val="0"/>
      <w:marRight w:val="0"/>
      <w:marTop w:val="0"/>
      <w:marBottom w:val="0"/>
      <w:divBdr>
        <w:top w:val="none" w:sz="0" w:space="0" w:color="auto"/>
        <w:left w:val="none" w:sz="0" w:space="0" w:color="auto"/>
        <w:bottom w:val="none" w:sz="0" w:space="0" w:color="auto"/>
        <w:right w:val="none" w:sz="0" w:space="0" w:color="auto"/>
      </w:divBdr>
    </w:div>
    <w:div w:id="575166988">
      <w:bodyDiv w:val="1"/>
      <w:marLeft w:val="0"/>
      <w:marRight w:val="0"/>
      <w:marTop w:val="0"/>
      <w:marBottom w:val="0"/>
      <w:divBdr>
        <w:top w:val="none" w:sz="0" w:space="0" w:color="auto"/>
        <w:left w:val="none" w:sz="0" w:space="0" w:color="auto"/>
        <w:bottom w:val="none" w:sz="0" w:space="0" w:color="auto"/>
        <w:right w:val="none" w:sz="0" w:space="0" w:color="auto"/>
      </w:divBdr>
    </w:div>
    <w:div w:id="707996841">
      <w:bodyDiv w:val="1"/>
      <w:marLeft w:val="0"/>
      <w:marRight w:val="0"/>
      <w:marTop w:val="0"/>
      <w:marBottom w:val="0"/>
      <w:divBdr>
        <w:top w:val="none" w:sz="0" w:space="0" w:color="auto"/>
        <w:left w:val="none" w:sz="0" w:space="0" w:color="auto"/>
        <w:bottom w:val="none" w:sz="0" w:space="0" w:color="auto"/>
        <w:right w:val="none" w:sz="0" w:space="0" w:color="auto"/>
      </w:divBdr>
    </w:div>
    <w:div w:id="740178360">
      <w:bodyDiv w:val="1"/>
      <w:marLeft w:val="0"/>
      <w:marRight w:val="0"/>
      <w:marTop w:val="0"/>
      <w:marBottom w:val="0"/>
      <w:divBdr>
        <w:top w:val="none" w:sz="0" w:space="0" w:color="auto"/>
        <w:left w:val="none" w:sz="0" w:space="0" w:color="auto"/>
        <w:bottom w:val="none" w:sz="0" w:space="0" w:color="auto"/>
        <w:right w:val="none" w:sz="0" w:space="0" w:color="auto"/>
      </w:divBdr>
    </w:div>
    <w:div w:id="987634503">
      <w:bodyDiv w:val="1"/>
      <w:marLeft w:val="0"/>
      <w:marRight w:val="0"/>
      <w:marTop w:val="0"/>
      <w:marBottom w:val="0"/>
      <w:divBdr>
        <w:top w:val="none" w:sz="0" w:space="0" w:color="auto"/>
        <w:left w:val="none" w:sz="0" w:space="0" w:color="auto"/>
        <w:bottom w:val="none" w:sz="0" w:space="0" w:color="auto"/>
        <w:right w:val="none" w:sz="0" w:space="0" w:color="auto"/>
      </w:divBdr>
      <w:divsChild>
        <w:div w:id="854542002">
          <w:marLeft w:val="0"/>
          <w:marRight w:val="0"/>
          <w:marTop w:val="0"/>
          <w:marBottom w:val="0"/>
          <w:divBdr>
            <w:top w:val="none" w:sz="0" w:space="0" w:color="auto"/>
            <w:left w:val="none" w:sz="0" w:space="0" w:color="auto"/>
            <w:bottom w:val="none" w:sz="0" w:space="0" w:color="auto"/>
            <w:right w:val="none" w:sz="0" w:space="0" w:color="auto"/>
          </w:divBdr>
          <w:divsChild>
            <w:div w:id="1995839601">
              <w:marLeft w:val="0"/>
              <w:marRight w:val="0"/>
              <w:marTop w:val="0"/>
              <w:marBottom w:val="0"/>
              <w:divBdr>
                <w:top w:val="none" w:sz="0" w:space="0" w:color="auto"/>
                <w:left w:val="none" w:sz="0" w:space="0" w:color="auto"/>
                <w:bottom w:val="none" w:sz="0" w:space="0" w:color="auto"/>
                <w:right w:val="none" w:sz="0" w:space="0" w:color="auto"/>
              </w:divBdr>
              <w:divsChild>
                <w:div w:id="35158615">
                  <w:marLeft w:val="0"/>
                  <w:marRight w:val="0"/>
                  <w:marTop w:val="0"/>
                  <w:marBottom w:val="0"/>
                  <w:divBdr>
                    <w:top w:val="none" w:sz="0" w:space="0" w:color="auto"/>
                    <w:left w:val="none" w:sz="0" w:space="0" w:color="auto"/>
                    <w:bottom w:val="none" w:sz="0" w:space="0" w:color="auto"/>
                    <w:right w:val="none" w:sz="0" w:space="0" w:color="auto"/>
                  </w:divBdr>
                  <w:divsChild>
                    <w:div w:id="5092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5698">
          <w:marLeft w:val="0"/>
          <w:marRight w:val="0"/>
          <w:marTop w:val="0"/>
          <w:marBottom w:val="0"/>
          <w:divBdr>
            <w:top w:val="none" w:sz="0" w:space="0" w:color="auto"/>
            <w:left w:val="none" w:sz="0" w:space="0" w:color="auto"/>
            <w:bottom w:val="none" w:sz="0" w:space="0" w:color="auto"/>
            <w:right w:val="none" w:sz="0" w:space="0" w:color="auto"/>
          </w:divBdr>
          <w:divsChild>
            <w:div w:id="563181956">
              <w:marLeft w:val="0"/>
              <w:marRight w:val="0"/>
              <w:marTop w:val="0"/>
              <w:marBottom w:val="0"/>
              <w:divBdr>
                <w:top w:val="none" w:sz="0" w:space="0" w:color="auto"/>
                <w:left w:val="none" w:sz="0" w:space="0" w:color="auto"/>
                <w:bottom w:val="none" w:sz="0" w:space="0" w:color="auto"/>
                <w:right w:val="none" w:sz="0" w:space="0" w:color="auto"/>
              </w:divBdr>
              <w:divsChild>
                <w:div w:id="542597131">
                  <w:marLeft w:val="0"/>
                  <w:marRight w:val="0"/>
                  <w:marTop w:val="0"/>
                  <w:marBottom w:val="0"/>
                  <w:divBdr>
                    <w:top w:val="none" w:sz="0" w:space="0" w:color="auto"/>
                    <w:left w:val="none" w:sz="0" w:space="0" w:color="auto"/>
                    <w:bottom w:val="none" w:sz="0" w:space="0" w:color="auto"/>
                    <w:right w:val="none" w:sz="0" w:space="0" w:color="auto"/>
                  </w:divBdr>
                  <w:divsChild>
                    <w:div w:id="7121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9784">
      <w:bodyDiv w:val="1"/>
      <w:marLeft w:val="0"/>
      <w:marRight w:val="0"/>
      <w:marTop w:val="0"/>
      <w:marBottom w:val="0"/>
      <w:divBdr>
        <w:top w:val="none" w:sz="0" w:space="0" w:color="auto"/>
        <w:left w:val="none" w:sz="0" w:space="0" w:color="auto"/>
        <w:bottom w:val="none" w:sz="0" w:space="0" w:color="auto"/>
        <w:right w:val="none" w:sz="0" w:space="0" w:color="auto"/>
      </w:divBdr>
      <w:divsChild>
        <w:div w:id="273638726">
          <w:marLeft w:val="0"/>
          <w:marRight w:val="0"/>
          <w:marTop w:val="15"/>
          <w:marBottom w:val="0"/>
          <w:divBdr>
            <w:top w:val="single" w:sz="48" w:space="0" w:color="auto"/>
            <w:left w:val="single" w:sz="48" w:space="0" w:color="auto"/>
            <w:bottom w:val="single" w:sz="48" w:space="0" w:color="auto"/>
            <w:right w:val="single" w:sz="48" w:space="0" w:color="auto"/>
          </w:divBdr>
          <w:divsChild>
            <w:div w:id="8765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7421">
      <w:bodyDiv w:val="1"/>
      <w:marLeft w:val="0"/>
      <w:marRight w:val="0"/>
      <w:marTop w:val="0"/>
      <w:marBottom w:val="0"/>
      <w:divBdr>
        <w:top w:val="none" w:sz="0" w:space="0" w:color="auto"/>
        <w:left w:val="none" w:sz="0" w:space="0" w:color="auto"/>
        <w:bottom w:val="none" w:sz="0" w:space="0" w:color="auto"/>
        <w:right w:val="none" w:sz="0" w:space="0" w:color="auto"/>
      </w:divBdr>
    </w:div>
    <w:div w:id="1543974820">
      <w:bodyDiv w:val="1"/>
      <w:marLeft w:val="0"/>
      <w:marRight w:val="0"/>
      <w:marTop w:val="0"/>
      <w:marBottom w:val="0"/>
      <w:divBdr>
        <w:top w:val="none" w:sz="0" w:space="0" w:color="auto"/>
        <w:left w:val="none" w:sz="0" w:space="0" w:color="auto"/>
        <w:bottom w:val="none" w:sz="0" w:space="0" w:color="auto"/>
        <w:right w:val="none" w:sz="0" w:space="0" w:color="auto"/>
      </w:divBdr>
      <w:divsChild>
        <w:div w:id="1586694396">
          <w:marLeft w:val="0"/>
          <w:marRight w:val="0"/>
          <w:marTop w:val="15"/>
          <w:marBottom w:val="0"/>
          <w:divBdr>
            <w:top w:val="single" w:sz="48" w:space="0" w:color="auto"/>
            <w:left w:val="single" w:sz="48" w:space="0" w:color="auto"/>
            <w:bottom w:val="single" w:sz="48" w:space="0" w:color="auto"/>
            <w:right w:val="single" w:sz="48" w:space="0" w:color="auto"/>
          </w:divBdr>
          <w:divsChild>
            <w:div w:id="5881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4343">
      <w:bodyDiv w:val="1"/>
      <w:marLeft w:val="0"/>
      <w:marRight w:val="0"/>
      <w:marTop w:val="0"/>
      <w:marBottom w:val="0"/>
      <w:divBdr>
        <w:top w:val="none" w:sz="0" w:space="0" w:color="auto"/>
        <w:left w:val="none" w:sz="0" w:space="0" w:color="auto"/>
        <w:bottom w:val="none" w:sz="0" w:space="0" w:color="auto"/>
        <w:right w:val="none" w:sz="0" w:space="0" w:color="auto"/>
      </w:divBdr>
    </w:div>
    <w:div w:id="1837725278">
      <w:bodyDiv w:val="1"/>
      <w:marLeft w:val="0"/>
      <w:marRight w:val="0"/>
      <w:marTop w:val="0"/>
      <w:marBottom w:val="0"/>
      <w:divBdr>
        <w:top w:val="none" w:sz="0" w:space="0" w:color="auto"/>
        <w:left w:val="none" w:sz="0" w:space="0" w:color="auto"/>
        <w:bottom w:val="none" w:sz="0" w:space="0" w:color="auto"/>
        <w:right w:val="none" w:sz="0" w:space="0" w:color="auto"/>
      </w:divBdr>
    </w:div>
    <w:div w:id="2082410123">
      <w:bodyDiv w:val="1"/>
      <w:marLeft w:val="0"/>
      <w:marRight w:val="0"/>
      <w:marTop w:val="0"/>
      <w:marBottom w:val="0"/>
      <w:divBdr>
        <w:top w:val="none" w:sz="0" w:space="0" w:color="auto"/>
        <w:left w:val="none" w:sz="0" w:space="0" w:color="auto"/>
        <w:bottom w:val="none" w:sz="0" w:space="0" w:color="auto"/>
        <w:right w:val="none" w:sz="0" w:space="0" w:color="auto"/>
      </w:divBdr>
      <w:divsChild>
        <w:div w:id="303236246">
          <w:marLeft w:val="0"/>
          <w:marRight w:val="0"/>
          <w:marTop w:val="0"/>
          <w:marBottom w:val="0"/>
          <w:divBdr>
            <w:top w:val="none" w:sz="0" w:space="0" w:color="auto"/>
            <w:left w:val="none" w:sz="0" w:space="0" w:color="auto"/>
            <w:bottom w:val="none" w:sz="0" w:space="0" w:color="auto"/>
            <w:right w:val="none" w:sz="0" w:space="0" w:color="auto"/>
          </w:divBdr>
          <w:divsChild>
            <w:div w:id="1114441685">
              <w:marLeft w:val="0"/>
              <w:marRight w:val="0"/>
              <w:marTop w:val="0"/>
              <w:marBottom w:val="0"/>
              <w:divBdr>
                <w:top w:val="none" w:sz="0" w:space="0" w:color="auto"/>
                <w:left w:val="none" w:sz="0" w:space="0" w:color="auto"/>
                <w:bottom w:val="none" w:sz="0" w:space="0" w:color="auto"/>
                <w:right w:val="none" w:sz="0" w:space="0" w:color="auto"/>
              </w:divBdr>
              <w:divsChild>
                <w:div w:id="1212574659">
                  <w:marLeft w:val="0"/>
                  <w:marRight w:val="0"/>
                  <w:marTop w:val="0"/>
                  <w:marBottom w:val="0"/>
                  <w:divBdr>
                    <w:top w:val="none" w:sz="0" w:space="0" w:color="auto"/>
                    <w:left w:val="none" w:sz="0" w:space="0" w:color="auto"/>
                    <w:bottom w:val="none" w:sz="0" w:space="0" w:color="auto"/>
                    <w:right w:val="none" w:sz="0" w:space="0" w:color="auto"/>
                  </w:divBdr>
                  <w:divsChild>
                    <w:div w:id="462117009">
                      <w:marLeft w:val="0"/>
                      <w:marRight w:val="0"/>
                      <w:marTop w:val="0"/>
                      <w:marBottom w:val="0"/>
                      <w:divBdr>
                        <w:top w:val="none" w:sz="0" w:space="0" w:color="auto"/>
                        <w:left w:val="none" w:sz="0" w:space="0" w:color="auto"/>
                        <w:bottom w:val="none" w:sz="0" w:space="0" w:color="auto"/>
                        <w:right w:val="none" w:sz="0" w:space="0" w:color="auto"/>
                      </w:divBdr>
                      <w:divsChild>
                        <w:div w:id="2009747659">
                          <w:marLeft w:val="0"/>
                          <w:marRight w:val="0"/>
                          <w:marTop w:val="0"/>
                          <w:marBottom w:val="0"/>
                          <w:divBdr>
                            <w:top w:val="none" w:sz="0" w:space="0" w:color="auto"/>
                            <w:left w:val="none" w:sz="0" w:space="0" w:color="auto"/>
                            <w:bottom w:val="none" w:sz="0" w:space="0" w:color="auto"/>
                            <w:right w:val="none" w:sz="0" w:space="0" w:color="auto"/>
                          </w:divBdr>
                          <w:divsChild>
                            <w:div w:id="4363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penknowledge.worldbank.org/entities/publication/02225002-395f-464a-8e13-2acfca05e8f0" TargetMode="External"/><Relationship Id="rId13" Type="http://schemas.openxmlformats.org/officeDocument/2006/relationships/hyperlink" Target="https://uis.unesco.org/sites/default/files/documents/education-2030-incheon-framework-for-action-implementation-of-sdg4-2016-en_2.pdf" TargetMode="External"/><Relationship Id="rId3" Type="http://schemas.openxmlformats.org/officeDocument/2006/relationships/hyperlink" Target="https://www.unesco.org/gem-report/en/2024efw" TargetMode="External"/><Relationship Id="rId7" Type="http://schemas.openxmlformats.org/officeDocument/2006/relationships/hyperlink" Target="https://www.imf.org/en/Publications/Policy-Papers/Issues/2020/02/05/The-Evolution-of-Public-Debt-Vulnerabilities-In-Lower-Income-Economies-49018" TargetMode="External"/><Relationship Id="rId12" Type="http://schemas.openxmlformats.org/officeDocument/2006/relationships/hyperlink" Target="https://uis.unesco.org/sites/default/files/documents/education-2030-incheon-framework-for-action-implementation-of-sdg4-2016-en_2.pdf" TargetMode="External"/><Relationship Id="rId2" Type="http://schemas.openxmlformats.org/officeDocument/2006/relationships/hyperlink" Target="https://unesdoc.unesco.org/ark:/48223/pf0000385723" TargetMode="External"/><Relationship Id="rId1" Type="http://schemas.openxmlformats.org/officeDocument/2006/relationships/hyperlink" Target="https://unstats.un.org/sdgs/report/2024/The-Sustainable-Development-Goals-Report-2024.pdf" TargetMode="External"/><Relationship Id="rId6" Type="http://schemas.openxmlformats.org/officeDocument/2006/relationships/hyperlink" Target="https://unesdoc.unesco.org/ark:/48223/pf0000385004" TargetMode="External"/><Relationship Id="rId11" Type="http://schemas.openxmlformats.org/officeDocument/2006/relationships/hyperlink" Target="https://documents1.worldbank.org/curated/en/099748506072325934/pdf/IDU09d7e7fa50fbff046e00a8a80e07ac5341e5b.pdf" TargetMode="External"/><Relationship Id="rId5" Type="http://schemas.openxmlformats.org/officeDocument/2006/relationships/hyperlink" Target="https://www.unesco.org/gem-report/en/2024efw" TargetMode="External"/><Relationship Id="rId10" Type="http://schemas.openxmlformats.org/officeDocument/2006/relationships/hyperlink" Target="https://www.unicef.org/innocenti/media/3596/file/UNICEF-COVID-19-Looming-Debt-Crisis-2021.pdf" TargetMode="External"/><Relationship Id="rId4" Type="http://schemas.openxmlformats.org/officeDocument/2006/relationships/hyperlink" Target="https://unesdoc.unesco.org/ark:/48223/pf0000389852" TargetMode="External"/><Relationship Id="rId9" Type="http://schemas.openxmlformats.org/officeDocument/2006/relationships/hyperlink" Target="https://www.worldbank.org/en/research/publication/fiscal-vulner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1C8C7C04-5957-43E0-B78C-4FAFFCC92306}"/>
</file>

<file path=customXml/itemProps2.xml><?xml version="1.0" encoding="utf-8"?>
<ds:datastoreItem xmlns:ds="http://schemas.openxmlformats.org/officeDocument/2006/customXml" ds:itemID="{F86DEAD0-6773-4B4D-81B4-966A1A50FE95}"/>
</file>

<file path=customXml/itemProps3.xml><?xml version="1.0" encoding="utf-8"?>
<ds:datastoreItem xmlns:ds="http://schemas.openxmlformats.org/officeDocument/2006/customXml" ds:itemID="{73D43FE2-A509-4003-881A-0078A17AE4AA}"/>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1473</Words>
  <Characters>8398</Characters>
  <Application>Microsoft Office Word</Application>
  <DocSecurity>4</DocSecurity>
  <Lines>69</Lines>
  <Paragraphs>19</Paragraphs>
  <ScaleCrop>false</ScaleCrop>
  <Company>UNESCO</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Caporaso, Elisabetta</cp:lastModifiedBy>
  <cp:revision>2</cp:revision>
  <dcterms:created xsi:type="dcterms:W3CDTF">2024-10-30T16:40:00Z</dcterms:created>
  <dcterms:modified xsi:type="dcterms:W3CDTF">2024-10-30T16:40:00Z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MSIP_Label_b3564849-fbfc-4795-ad59-055bb350645f_Enabled">
    <vt:lpwstr>true</vt:lpwstr>
  </property>
  <property fmtid="{D5CDD505-2E9C-101B-9397-08002B2CF9AE}" pid="5" name="MSIP_Label_b3564849-fbfc-4795-ad59-055bb350645f_SetDate">
    <vt:lpwstr>2024-10-29T22:03:27Z</vt:lpwstr>
  </property>
  <property fmtid="{D5CDD505-2E9C-101B-9397-08002B2CF9AE}" pid="6" name="MSIP_Label_b3564849-fbfc-4795-ad59-055bb350645f_Method">
    <vt:lpwstr>Standard</vt:lpwstr>
  </property>
  <property fmtid="{D5CDD505-2E9C-101B-9397-08002B2CF9AE}" pid="7" name="MSIP_Label_b3564849-fbfc-4795-ad59-055bb350645f_Name">
    <vt:lpwstr>M102S01</vt:lpwstr>
  </property>
  <property fmtid="{D5CDD505-2E9C-101B-9397-08002B2CF9AE}" pid="8" name="MSIP_Label_b3564849-fbfc-4795-ad59-055bb350645f_SiteId">
    <vt:lpwstr>65154e19-ce31-44e2-97af-2480f4c17f95</vt:lpwstr>
  </property>
  <property fmtid="{D5CDD505-2E9C-101B-9397-08002B2CF9AE}" pid="9" name="MSIP_Label_b3564849-fbfc-4795-ad59-055bb350645f_ActionId">
    <vt:lpwstr>1044f229-7c37-4afb-aeec-3584b8337bee</vt:lpwstr>
  </property>
  <property fmtid="{D5CDD505-2E9C-101B-9397-08002B2CF9AE}" pid="10" name="MSIP_Label_b3564849-fbfc-4795-ad59-055bb350645f_ContentBits">
    <vt:lpwstr>0</vt:lpwstr>
  </property>
</Properties>
</file>