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B83C0" w14:textId="77777777" w:rsidR="00423AA3" w:rsidRPr="00CB27BA" w:rsidRDefault="00423AA3" w:rsidP="00423AA3">
      <w:pPr>
        <w:spacing w:line="264" w:lineRule="auto"/>
        <w:rPr>
          <w:rFonts w:ascii="Verdana" w:hAnsi="Verdana"/>
          <w:b/>
          <w:i/>
          <w:sz w:val="22"/>
        </w:rPr>
      </w:pPr>
      <w:r w:rsidRPr="009B23E2">
        <w:rPr>
          <w:rFonts w:ascii="Verdana" w:hAnsi="Verdana"/>
          <w:b/>
          <w:i/>
          <w:noProof/>
          <w:sz w:val="22"/>
        </w:rPr>
        <w:drawing>
          <wp:anchor distT="0" distB="0" distL="114300" distR="114300" simplePos="0" relativeHeight="251659264" behindDoc="1" locked="0" layoutInCell="1" allowOverlap="1" wp14:anchorId="54E728B6" wp14:editId="4311A868">
            <wp:simplePos x="0" y="0"/>
            <wp:positionH relativeFrom="column">
              <wp:posOffset>960462</wp:posOffset>
            </wp:positionH>
            <wp:positionV relativeFrom="paragraph">
              <wp:posOffset>29308</wp:posOffset>
            </wp:positionV>
            <wp:extent cx="514350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0800" y="21176"/>
                <wp:lineTo x="208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B27BA">
        <w:rPr>
          <w:rFonts w:ascii="Verdana" w:hAnsi="Verdana"/>
          <w:b/>
          <w:i/>
          <w:sz w:val="22"/>
        </w:rPr>
        <w:t xml:space="preserve">              </w:t>
      </w:r>
    </w:p>
    <w:p w14:paraId="138A49B3" w14:textId="77777777" w:rsidR="00423AA3" w:rsidRPr="003C282D" w:rsidRDefault="00423AA3" w:rsidP="00423AA3">
      <w:pPr>
        <w:spacing w:after="0" w:line="240" w:lineRule="auto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b/>
          <w:sz w:val="22"/>
        </w:rPr>
        <w:t xml:space="preserve">        </w:t>
      </w:r>
    </w:p>
    <w:p w14:paraId="3B3A0F8D" w14:textId="77777777" w:rsidR="00423AA3" w:rsidRPr="003C282D" w:rsidRDefault="00423AA3" w:rsidP="00423AA3">
      <w:pPr>
        <w:spacing w:after="0" w:line="240" w:lineRule="auto"/>
        <w:rPr>
          <w:rFonts w:ascii="Verdana" w:hAnsi="Verdana" w:cs="Arial"/>
          <w:b/>
          <w:sz w:val="10"/>
        </w:rPr>
      </w:pPr>
      <w:r>
        <w:rPr>
          <w:rFonts w:ascii="Verdana" w:hAnsi="Verdana" w:cs="Arial"/>
          <w:b/>
          <w:sz w:val="22"/>
        </w:rPr>
        <w:t xml:space="preserve">  </w:t>
      </w:r>
    </w:p>
    <w:p w14:paraId="3D735E8D" w14:textId="77777777" w:rsidR="00423AA3" w:rsidRDefault="00423AA3" w:rsidP="00423AA3">
      <w:pPr>
        <w:spacing w:after="0" w:line="240" w:lineRule="auto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b/>
          <w:sz w:val="22"/>
        </w:rPr>
        <w:t xml:space="preserve">         HELLENIC REPUBLIC</w:t>
      </w:r>
    </w:p>
    <w:p w14:paraId="0DFF2842" w14:textId="77777777" w:rsidR="00423AA3" w:rsidRDefault="00423AA3" w:rsidP="00423AA3">
      <w:pPr>
        <w:spacing w:after="0" w:line="240" w:lineRule="auto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b/>
          <w:sz w:val="22"/>
        </w:rPr>
        <w:t>MINISTRY OF FOREIGN AFFAIRS</w:t>
      </w:r>
    </w:p>
    <w:p w14:paraId="10B82813" w14:textId="77777777" w:rsidR="00905CA7" w:rsidRDefault="00905CA7" w:rsidP="00423AA3">
      <w:pPr>
        <w:spacing w:after="0" w:line="240" w:lineRule="auto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b/>
          <w:sz w:val="22"/>
        </w:rPr>
        <w:t xml:space="preserve">               </w:t>
      </w:r>
      <w:r w:rsidR="00423AA3">
        <w:rPr>
          <w:rFonts w:ascii="Verdana" w:hAnsi="Verdana" w:cs="Arial"/>
          <w:b/>
          <w:sz w:val="22"/>
        </w:rPr>
        <w:t xml:space="preserve">Directorate of </w:t>
      </w:r>
    </w:p>
    <w:p w14:paraId="03E607F2" w14:textId="77777777" w:rsidR="00423AA3" w:rsidRDefault="00423AA3" w:rsidP="00423AA3">
      <w:pPr>
        <w:spacing w:after="0" w:line="240" w:lineRule="auto"/>
        <w:rPr>
          <w:rFonts w:ascii="Verdana" w:hAnsi="Verdana" w:cs="Arial"/>
          <w:b/>
          <w:sz w:val="22"/>
        </w:rPr>
      </w:pPr>
      <w:r>
        <w:rPr>
          <w:rFonts w:ascii="Verdana" w:hAnsi="Verdana" w:cs="Arial"/>
          <w:b/>
          <w:sz w:val="22"/>
        </w:rPr>
        <w:t>Development Cooperation Policy</w:t>
      </w:r>
    </w:p>
    <w:p w14:paraId="2ACB7461" w14:textId="77777777" w:rsidR="00423AA3" w:rsidRPr="00423AA3" w:rsidRDefault="00423AA3" w:rsidP="00423AA3">
      <w:pPr>
        <w:spacing w:after="0" w:line="264" w:lineRule="auto"/>
        <w:rPr>
          <w:rFonts w:ascii="Verdana" w:hAnsi="Verdana" w:cs="Arial"/>
          <w:b/>
          <w:sz w:val="22"/>
        </w:rPr>
      </w:pPr>
    </w:p>
    <w:p w14:paraId="5A3C802F" w14:textId="77777777" w:rsidR="00423AA3" w:rsidRPr="00C14103" w:rsidRDefault="00423AA3" w:rsidP="00423AA3">
      <w:pPr>
        <w:shd w:val="clear" w:color="auto" w:fill="DBE5F1"/>
        <w:spacing w:after="0" w:line="264" w:lineRule="auto"/>
        <w:jc w:val="center"/>
        <w:rPr>
          <w:rFonts w:ascii="Verdana" w:hAnsi="Verdana"/>
          <w:b/>
          <w:sz w:val="12"/>
        </w:rPr>
      </w:pPr>
    </w:p>
    <w:p w14:paraId="5E0E67D5" w14:textId="77777777" w:rsidR="00423AA3" w:rsidRPr="003C282D" w:rsidRDefault="00423AA3" w:rsidP="00423AA3">
      <w:pPr>
        <w:shd w:val="clear" w:color="auto" w:fill="DBE5F1"/>
        <w:spacing w:after="0" w:line="264" w:lineRule="auto"/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Fourth International Conference on Financing for Development</w:t>
      </w:r>
      <w:r w:rsidRPr="003C282D">
        <w:rPr>
          <w:rFonts w:ascii="Verdana" w:hAnsi="Verdana"/>
          <w:b/>
          <w:sz w:val="22"/>
        </w:rPr>
        <w:t>/</w:t>
      </w:r>
      <w:r w:rsidR="00BA5DB1">
        <w:rPr>
          <w:rFonts w:ascii="Verdana" w:hAnsi="Verdana"/>
          <w:b/>
          <w:sz w:val="22"/>
        </w:rPr>
        <w:t>Ff</w:t>
      </w:r>
      <w:r>
        <w:rPr>
          <w:rFonts w:ascii="Verdana" w:hAnsi="Verdana"/>
          <w:b/>
          <w:sz w:val="22"/>
        </w:rPr>
        <w:t>D</w:t>
      </w:r>
      <w:r w:rsidR="00BA5DB1">
        <w:rPr>
          <w:rFonts w:ascii="Verdana" w:hAnsi="Verdana"/>
          <w:b/>
          <w:sz w:val="22"/>
        </w:rPr>
        <w:t>-</w:t>
      </w:r>
      <w:r w:rsidRPr="003C282D">
        <w:rPr>
          <w:rFonts w:ascii="Verdana" w:hAnsi="Verdana"/>
          <w:b/>
          <w:sz w:val="22"/>
        </w:rPr>
        <w:t xml:space="preserve">4 </w:t>
      </w:r>
    </w:p>
    <w:p w14:paraId="69B251A2" w14:textId="77777777" w:rsidR="00423AA3" w:rsidRPr="003C282D" w:rsidRDefault="00423AA3" w:rsidP="00423AA3">
      <w:pPr>
        <w:shd w:val="clear" w:color="auto" w:fill="DBE5F1"/>
        <w:spacing w:after="0" w:line="264" w:lineRule="auto"/>
        <w:jc w:val="center"/>
        <w:rPr>
          <w:rFonts w:ascii="Verdana" w:hAnsi="Verdana"/>
          <w:b/>
          <w:sz w:val="22"/>
        </w:rPr>
      </w:pPr>
      <w:r w:rsidRPr="003C282D">
        <w:rPr>
          <w:rFonts w:ascii="Verdana" w:hAnsi="Verdana"/>
          <w:b/>
          <w:sz w:val="22"/>
        </w:rPr>
        <w:t>(</w:t>
      </w:r>
      <w:r>
        <w:rPr>
          <w:rFonts w:ascii="Verdana" w:hAnsi="Verdana"/>
          <w:b/>
          <w:sz w:val="22"/>
        </w:rPr>
        <w:t>Seville</w:t>
      </w:r>
      <w:r w:rsidRPr="003C282D">
        <w:rPr>
          <w:rFonts w:ascii="Verdana" w:hAnsi="Verdana"/>
          <w:b/>
          <w:sz w:val="22"/>
        </w:rPr>
        <w:t xml:space="preserve">, </w:t>
      </w:r>
      <w:r>
        <w:rPr>
          <w:rFonts w:ascii="Verdana" w:hAnsi="Verdana"/>
          <w:b/>
          <w:sz w:val="22"/>
        </w:rPr>
        <w:t xml:space="preserve">Spain, </w:t>
      </w:r>
      <w:r w:rsidRPr="003C282D">
        <w:rPr>
          <w:rFonts w:ascii="Verdana" w:hAnsi="Verdana"/>
          <w:b/>
          <w:sz w:val="22"/>
        </w:rPr>
        <w:t>30.6-3.7.2025)</w:t>
      </w:r>
    </w:p>
    <w:p w14:paraId="78F2AC55" w14:textId="77777777" w:rsidR="00423AA3" w:rsidRPr="003C282D" w:rsidRDefault="00423AA3" w:rsidP="00423AA3">
      <w:pPr>
        <w:shd w:val="clear" w:color="auto" w:fill="DBE5F1"/>
        <w:spacing w:after="0" w:line="264" w:lineRule="auto"/>
        <w:jc w:val="center"/>
        <w:rPr>
          <w:rFonts w:ascii="Verdana" w:hAnsi="Verdana"/>
          <w:b/>
          <w:sz w:val="10"/>
        </w:rPr>
      </w:pPr>
    </w:p>
    <w:p w14:paraId="10CA3C15" w14:textId="0F774576" w:rsidR="00423AA3" w:rsidRDefault="00423AA3" w:rsidP="00423AA3">
      <w:pPr>
        <w:shd w:val="clear" w:color="auto" w:fill="DBE5F1"/>
        <w:spacing w:after="0" w:line="264" w:lineRule="auto"/>
        <w:jc w:val="center"/>
        <w:rPr>
          <w:rFonts w:ascii="Verdana" w:hAnsi="Verdana"/>
          <w:b/>
          <w:sz w:val="22"/>
          <w:u w:val="single"/>
        </w:rPr>
      </w:pPr>
      <w:r>
        <w:rPr>
          <w:rFonts w:ascii="Verdana" w:hAnsi="Verdana"/>
          <w:b/>
          <w:sz w:val="22"/>
          <w:u w:val="single"/>
        </w:rPr>
        <w:t xml:space="preserve">GREEK INPUT TO THE ELEMENTS PAPER ON FINANCING FOR DEVELOPMENT </w:t>
      </w:r>
    </w:p>
    <w:p w14:paraId="396FA734" w14:textId="77777777" w:rsidR="00423AA3" w:rsidRPr="00C14103" w:rsidRDefault="00423AA3" w:rsidP="00423AA3">
      <w:pPr>
        <w:shd w:val="clear" w:color="auto" w:fill="DBE5F1"/>
        <w:spacing w:after="0" w:line="264" w:lineRule="auto"/>
        <w:rPr>
          <w:rFonts w:ascii="Verdana" w:hAnsi="Verdana"/>
          <w:b/>
          <w:sz w:val="12"/>
          <w:u w:val="single"/>
        </w:rPr>
      </w:pPr>
    </w:p>
    <w:p w14:paraId="0B6E4ADD" w14:textId="77777777" w:rsidR="00423AA3" w:rsidRPr="00423AA3" w:rsidRDefault="00423AA3" w:rsidP="00423AA3">
      <w:pPr>
        <w:spacing w:after="0" w:line="264" w:lineRule="auto"/>
        <w:jc w:val="both"/>
        <w:rPr>
          <w:sz w:val="12"/>
          <w:szCs w:val="24"/>
        </w:rPr>
      </w:pPr>
    </w:p>
    <w:p w14:paraId="213AB304" w14:textId="77777777" w:rsidR="00BB1A5D" w:rsidRPr="00BB1A5D" w:rsidRDefault="00E23979" w:rsidP="00A5163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222222"/>
          <w:sz w:val="22"/>
        </w:rPr>
      </w:pPr>
      <w:r w:rsidRPr="00DF2EAB">
        <w:rPr>
          <w:rFonts w:ascii="Verdana" w:eastAsia="Times New Roman" w:hAnsi="Verdana" w:cs="Times New Roman"/>
          <w:color w:val="222222"/>
          <w:sz w:val="22"/>
          <w:lang w:val="el-GR"/>
        </w:rPr>
        <w:t>Τ</w:t>
      </w:r>
      <w:r w:rsidRPr="00DF2EAB">
        <w:rPr>
          <w:rFonts w:ascii="Verdana" w:eastAsia="Times New Roman" w:hAnsi="Verdana" w:cs="Times New Roman"/>
          <w:color w:val="222222"/>
          <w:sz w:val="22"/>
        </w:rPr>
        <w:t xml:space="preserve">he </w:t>
      </w:r>
      <w:r w:rsidRPr="00D72F88">
        <w:rPr>
          <w:rFonts w:ascii="Verdana" w:eastAsia="Times New Roman" w:hAnsi="Verdana" w:cs="Times New Roman"/>
          <w:color w:val="222222"/>
          <w:sz w:val="22"/>
        </w:rPr>
        <w:t>International Conference on Financing for Development</w:t>
      </w:r>
      <w:r w:rsidRPr="00DF2EAB">
        <w:rPr>
          <w:rFonts w:ascii="Verdana" w:eastAsia="Times New Roman" w:hAnsi="Verdana" w:cs="Times New Roman"/>
          <w:color w:val="222222"/>
          <w:sz w:val="22"/>
        </w:rPr>
        <w:t xml:space="preserve"> (FfD</w:t>
      </w:r>
      <w:r w:rsidR="00A5163B">
        <w:rPr>
          <w:rFonts w:ascii="Verdana" w:eastAsia="Times New Roman" w:hAnsi="Verdana" w:cs="Times New Roman"/>
          <w:color w:val="222222"/>
          <w:sz w:val="22"/>
        </w:rPr>
        <w:t>-</w:t>
      </w:r>
      <w:r w:rsidRPr="00DF2EAB">
        <w:rPr>
          <w:rFonts w:ascii="Verdana" w:eastAsia="Times New Roman" w:hAnsi="Verdana" w:cs="Times New Roman"/>
          <w:color w:val="222222"/>
          <w:sz w:val="22"/>
        </w:rPr>
        <w:t>4) in 2025 is creating great expectations</w:t>
      </w:r>
      <w:r w:rsidRPr="00D72F88">
        <w:rPr>
          <w:rFonts w:ascii="Verdana" w:eastAsia="Times New Roman" w:hAnsi="Verdana" w:cs="Times New Roman"/>
          <w:color w:val="222222"/>
          <w:sz w:val="22"/>
        </w:rPr>
        <w:t xml:space="preserve"> to commit to concrete deliverables on </w:t>
      </w:r>
      <w:proofErr w:type="spellStart"/>
      <w:r w:rsidRPr="00D72F88">
        <w:rPr>
          <w:rFonts w:ascii="Verdana" w:eastAsia="Times New Roman" w:hAnsi="Verdana" w:cs="Times New Roman"/>
          <w:color w:val="222222"/>
          <w:sz w:val="22"/>
        </w:rPr>
        <w:t>FfD</w:t>
      </w:r>
      <w:proofErr w:type="spellEnd"/>
      <w:r w:rsidRPr="00D72F88">
        <w:rPr>
          <w:rFonts w:ascii="Verdana" w:eastAsia="Times New Roman" w:hAnsi="Verdana" w:cs="Times New Roman"/>
          <w:color w:val="222222"/>
          <w:sz w:val="22"/>
        </w:rPr>
        <w:t xml:space="preserve"> and to update the </w:t>
      </w:r>
      <w:proofErr w:type="spellStart"/>
      <w:r w:rsidRPr="00D72F88">
        <w:rPr>
          <w:rFonts w:ascii="Verdana" w:eastAsia="Times New Roman" w:hAnsi="Verdana" w:cs="Times New Roman"/>
          <w:color w:val="222222"/>
          <w:sz w:val="22"/>
        </w:rPr>
        <w:t>FfD</w:t>
      </w:r>
      <w:proofErr w:type="spellEnd"/>
      <w:r w:rsidRPr="00D72F88">
        <w:rPr>
          <w:rFonts w:ascii="Verdana" w:eastAsia="Times New Roman" w:hAnsi="Verdana" w:cs="Times New Roman"/>
          <w:color w:val="222222"/>
          <w:sz w:val="22"/>
        </w:rPr>
        <w:t xml:space="preserve"> policy framework to </w:t>
      </w:r>
      <w:r w:rsidRPr="00DF2EAB">
        <w:rPr>
          <w:rFonts w:ascii="Verdana" w:eastAsia="Times New Roman" w:hAnsi="Verdana" w:cs="Times New Roman"/>
          <w:color w:val="222222"/>
          <w:sz w:val="22"/>
        </w:rPr>
        <w:t>reflect today’s global challenges</w:t>
      </w:r>
      <w:r w:rsidRPr="00D72F88">
        <w:rPr>
          <w:rFonts w:ascii="Verdana" w:eastAsia="Times New Roman" w:hAnsi="Verdana" w:cs="Times New Roman"/>
          <w:color w:val="222222"/>
          <w:sz w:val="22"/>
        </w:rPr>
        <w:t>.</w:t>
      </w:r>
      <w:r w:rsidRPr="00DF2EAB">
        <w:rPr>
          <w:rFonts w:ascii="Verdana" w:eastAsia="Times New Roman" w:hAnsi="Verdana" w:cs="Times New Roman"/>
          <w:color w:val="222222"/>
          <w:sz w:val="22"/>
        </w:rPr>
        <w:t xml:space="preserve"> </w:t>
      </w:r>
      <w:r w:rsidRPr="00DF2EAB">
        <w:rPr>
          <w:rFonts w:ascii="Verdana" w:eastAsia="Times New Roman" w:hAnsi="Verdana" w:cs="Times New Roman"/>
          <w:color w:val="000000"/>
          <w:sz w:val="22"/>
        </w:rPr>
        <w:t>T</w:t>
      </w:r>
      <w:r w:rsidR="009C1945" w:rsidRPr="00D72F88">
        <w:rPr>
          <w:rFonts w:ascii="Verdana" w:eastAsia="Times New Roman" w:hAnsi="Verdana" w:cs="Times New Roman"/>
          <w:color w:val="222222"/>
          <w:sz w:val="22"/>
        </w:rPr>
        <w:t xml:space="preserve">he Summit of the Future </w:t>
      </w:r>
      <w:r w:rsidRPr="00DF2EAB">
        <w:rPr>
          <w:rFonts w:ascii="Verdana" w:eastAsia="Times New Roman" w:hAnsi="Verdana" w:cs="Times New Roman"/>
          <w:color w:val="222222"/>
          <w:sz w:val="22"/>
        </w:rPr>
        <w:t>in September and FfD</w:t>
      </w:r>
      <w:r w:rsidR="00A5163B">
        <w:rPr>
          <w:rFonts w:ascii="Verdana" w:eastAsia="Times New Roman" w:hAnsi="Verdana" w:cs="Times New Roman"/>
          <w:color w:val="222222"/>
          <w:sz w:val="22"/>
        </w:rPr>
        <w:t>-</w:t>
      </w:r>
      <w:r w:rsidRPr="00DF2EAB">
        <w:rPr>
          <w:rFonts w:ascii="Verdana" w:eastAsia="Times New Roman" w:hAnsi="Verdana" w:cs="Times New Roman"/>
          <w:color w:val="222222"/>
          <w:sz w:val="22"/>
        </w:rPr>
        <w:t>4 in 2025 are</w:t>
      </w:r>
      <w:r w:rsidR="009C1945" w:rsidRPr="00D72F88">
        <w:rPr>
          <w:rFonts w:ascii="Verdana" w:eastAsia="Times New Roman" w:hAnsi="Verdana" w:cs="Times New Roman"/>
          <w:color w:val="222222"/>
          <w:sz w:val="22"/>
        </w:rPr>
        <w:t xml:space="preserve"> key opportunities “to reform the global</w:t>
      </w:r>
      <w:r w:rsidRPr="00DF2EAB">
        <w:rPr>
          <w:rFonts w:ascii="Verdana" w:eastAsia="Times New Roman" w:hAnsi="Verdana" w:cs="Times New Roman"/>
          <w:color w:val="222222"/>
          <w:sz w:val="22"/>
        </w:rPr>
        <w:t xml:space="preserve"> financial architecture</w:t>
      </w:r>
      <w:r w:rsidR="00A5163B">
        <w:rPr>
          <w:rFonts w:ascii="Verdana" w:eastAsia="Times New Roman" w:hAnsi="Verdana" w:cs="Times New Roman"/>
          <w:color w:val="222222"/>
          <w:sz w:val="22"/>
        </w:rPr>
        <w:t>”</w:t>
      </w:r>
      <w:r w:rsidRPr="00DF2EAB">
        <w:rPr>
          <w:rFonts w:ascii="Verdana" w:eastAsia="Times New Roman" w:hAnsi="Verdana" w:cs="Times New Roman"/>
          <w:color w:val="222222"/>
          <w:sz w:val="22"/>
        </w:rPr>
        <w:t>.</w:t>
      </w:r>
      <w:r w:rsidR="00BB1A5D">
        <w:rPr>
          <w:rFonts w:ascii="Verdana" w:eastAsia="Times New Roman" w:hAnsi="Verdana" w:cs="Times New Roman"/>
          <w:color w:val="222222"/>
          <w:sz w:val="22"/>
        </w:rPr>
        <w:t xml:space="preserve"> </w:t>
      </w:r>
    </w:p>
    <w:p w14:paraId="63F252CE" w14:textId="77777777" w:rsidR="00CF572F" w:rsidRPr="00D72F88" w:rsidRDefault="00BB1A5D" w:rsidP="00A5163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222222"/>
          <w:sz w:val="22"/>
        </w:rPr>
      </w:pPr>
      <w:r w:rsidRPr="00BB1A5D">
        <w:rPr>
          <w:rFonts w:ascii="Verdana" w:eastAsia="Times New Roman" w:hAnsi="Verdana" w:cs="Times New Roman"/>
          <w:color w:val="222222"/>
          <w:sz w:val="22"/>
        </w:rPr>
        <w:t>Achieving the economic transitions needed to reach the SDGs</w:t>
      </w:r>
      <w:r>
        <w:rPr>
          <w:rFonts w:ascii="Verdana" w:eastAsia="Times New Roman" w:hAnsi="Verdana" w:cs="Times New Roman"/>
          <w:color w:val="222222"/>
          <w:sz w:val="22"/>
        </w:rPr>
        <w:t xml:space="preserve"> </w:t>
      </w:r>
      <w:r w:rsidRPr="00BB1A5D">
        <w:rPr>
          <w:rFonts w:ascii="Verdana" w:eastAsia="Times New Roman" w:hAnsi="Verdana" w:cs="Times New Roman"/>
          <w:color w:val="222222"/>
          <w:sz w:val="22"/>
        </w:rPr>
        <w:t>will require investments at unpre</w:t>
      </w:r>
      <w:r w:rsidR="00305DA4">
        <w:rPr>
          <w:rFonts w:ascii="Verdana" w:eastAsia="Times New Roman" w:hAnsi="Verdana" w:cs="Times New Roman"/>
          <w:color w:val="222222"/>
          <w:sz w:val="22"/>
        </w:rPr>
        <w:t xml:space="preserve">cedented scale, as </w:t>
      </w:r>
      <w:r w:rsidR="009C1945" w:rsidRPr="00DF2EAB">
        <w:rPr>
          <w:rFonts w:ascii="Verdana" w:hAnsi="Verdana"/>
          <w:color w:val="222222"/>
          <w:sz w:val="22"/>
        </w:rPr>
        <w:t>the SDG financing gap for developing countries has reached USD 4 trillion annually due to global shocks such as the COVID-19 pandemic, geopolitical conf</w:t>
      </w:r>
      <w:r w:rsidR="00AB1C4D">
        <w:rPr>
          <w:rFonts w:ascii="Verdana" w:hAnsi="Verdana"/>
          <w:color w:val="222222"/>
          <w:sz w:val="22"/>
        </w:rPr>
        <w:t>licts, and economic instability.</w:t>
      </w:r>
      <w:r w:rsidR="000E3ADF" w:rsidRPr="000E3ADF">
        <w:rPr>
          <w:rFonts w:ascii="Verdana" w:hAnsi="Verdana"/>
          <w:color w:val="222222"/>
          <w:sz w:val="22"/>
        </w:rPr>
        <w:t xml:space="preserve"> </w:t>
      </w:r>
      <w:r w:rsidR="000E3ADF">
        <w:rPr>
          <w:rFonts w:ascii="Verdana" w:hAnsi="Verdana"/>
          <w:color w:val="222222"/>
          <w:sz w:val="22"/>
        </w:rPr>
        <w:t xml:space="preserve">Climate change adversely affects sustainable development prospects globally as it exacerbates water scarcity, increases the probability of </w:t>
      </w:r>
      <w:r w:rsidR="00A9031C">
        <w:rPr>
          <w:rFonts w:ascii="Verdana" w:hAnsi="Verdana"/>
          <w:color w:val="222222"/>
          <w:sz w:val="22"/>
        </w:rPr>
        <w:t>dro</w:t>
      </w:r>
      <w:r w:rsidR="000E3ADF">
        <w:rPr>
          <w:rFonts w:ascii="Verdana" w:hAnsi="Verdana"/>
          <w:color w:val="222222"/>
          <w:sz w:val="22"/>
        </w:rPr>
        <w:t>ughts, reduces agricultural output, causes rising sea levels and</w:t>
      </w:r>
      <w:r w:rsidR="00A9031C">
        <w:rPr>
          <w:rFonts w:ascii="Verdana" w:hAnsi="Verdana"/>
          <w:color w:val="222222"/>
          <w:sz w:val="22"/>
        </w:rPr>
        <w:t xml:space="preserve"> imperils</w:t>
      </w:r>
      <w:r w:rsidR="000E3ADF">
        <w:rPr>
          <w:rFonts w:ascii="Verdana" w:hAnsi="Verdana"/>
          <w:color w:val="222222"/>
          <w:sz w:val="22"/>
        </w:rPr>
        <w:t xml:space="preserve"> public health.</w:t>
      </w:r>
      <w:r w:rsidR="00AB1C4D">
        <w:rPr>
          <w:rFonts w:ascii="Verdana" w:hAnsi="Verdana"/>
          <w:color w:val="222222"/>
          <w:sz w:val="22"/>
        </w:rPr>
        <w:t xml:space="preserve"> D</w:t>
      </w:r>
      <w:r w:rsidR="009C1945" w:rsidRPr="00DF2EAB">
        <w:rPr>
          <w:rFonts w:ascii="Verdana" w:hAnsi="Verdana"/>
          <w:color w:val="222222"/>
          <w:sz w:val="22"/>
        </w:rPr>
        <w:t xml:space="preserve">ebt challenges have led to increases in poverty and inequality, putting the SDGs at risk. </w:t>
      </w:r>
      <w:r w:rsidR="00CF572F" w:rsidRPr="00BB1A5D">
        <w:rPr>
          <w:rFonts w:ascii="Verdana" w:eastAsia="Times New Roman" w:hAnsi="Verdana" w:cs="Times New Roman"/>
          <w:color w:val="222222"/>
          <w:sz w:val="22"/>
        </w:rPr>
        <w:t>Y</w:t>
      </w:r>
      <w:r w:rsidR="00CF572F">
        <w:rPr>
          <w:rFonts w:ascii="Verdana" w:eastAsia="Times New Roman" w:hAnsi="Verdana" w:cs="Times New Roman"/>
          <w:color w:val="222222"/>
          <w:sz w:val="22"/>
        </w:rPr>
        <w:t xml:space="preserve">et, the costs of inaction, both </w:t>
      </w:r>
      <w:r w:rsidR="00CF572F" w:rsidRPr="00BB1A5D">
        <w:rPr>
          <w:rFonts w:ascii="Verdana" w:eastAsia="Times New Roman" w:hAnsi="Verdana" w:cs="Times New Roman"/>
          <w:color w:val="222222"/>
          <w:sz w:val="22"/>
        </w:rPr>
        <w:t>economic</w:t>
      </w:r>
      <w:r w:rsidR="00CF572F">
        <w:rPr>
          <w:rFonts w:ascii="Verdana" w:eastAsia="Times New Roman" w:hAnsi="Verdana" w:cs="Times New Roman"/>
          <w:color w:val="222222"/>
          <w:sz w:val="22"/>
        </w:rPr>
        <w:t>, environmental</w:t>
      </w:r>
      <w:r w:rsidR="00CF572F" w:rsidRPr="00BB1A5D">
        <w:rPr>
          <w:rFonts w:ascii="Verdana" w:eastAsia="Times New Roman" w:hAnsi="Verdana" w:cs="Times New Roman"/>
          <w:color w:val="222222"/>
          <w:sz w:val="22"/>
        </w:rPr>
        <w:t xml:space="preserve"> and social, would be far higher</w:t>
      </w:r>
      <w:r w:rsidR="00CF572F">
        <w:rPr>
          <w:rFonts w:ascii="Verdana" w:eastAsia="Times New Roman" w:hAnsi="Verdana" w:cs="Times New Roman"/>
          <w:color w:val="222222"/>
          <w:sz w:val="22"/>
        </w:rPr>
        <w:t>.</w:t>
      </w:r>
    </w:p>
    <w:p w14:paraId="625F8512" w14:textId="77777777" w:rsidR="009C1945" w:rsidRDefault="00A56DD1" w:rsidP="00A5163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222222"/>
          <w:sz w:val="22"/>
        </w:rPr>
      </w:pPr>
      <w:r w:rsidRPr="00A5163B">
        <w:rPr>
          <w:rFonts w:ascii="Verdana" w:eastAsia="Times New Roman" w:hAnsi="Verdana" w:cs="Times New Roman"/>
          <w:color w:val="222222"/>
          <w:sz w:val="22"/>
        </w:rPr>
        <w:t xml:space="preserve">Calls for systemic changes, for overhaul of the post-World War II system and </w:t>
      </w:r>
      <w:r w:rsidR="00305DA4">
        <w:rPr>
          <w:rFonts w:ascii="Verdana" w:eastAsia="Times New Roman" w:hAnsi="Verdana" w:cs="Times New Roman"/>
          <w:color w:val="222222"/>
          <w:sz w:val="22"/>
        </w:rPr>
        <w:t>modernization of</w:t>
      </w:r>
      <w:r w:rsidRPr="00A5163B">
        <w:rPr>
          <w:rFonts w:ascii="Verdana" w:eastAsia="Times New Roman" w:hAnsi="Verdana" w:cs="Times New Roman"/>
          <w:color w:val="222222"/>
          <w:sz w:val="22"/>
        </w:rPr>
        <w:t xml:space="preserve"> the Bretton Woods institutions and other Multilateral Development Banks</w:t>
      </w:r>
      <w:r w:rsidR="00AF3D28" w:rsidRPr="00A5163B">
        <w:rPr>
          <w:rFonts w:ascii="Verdana" w:eastAsia="Times New Roman" w:hAnsi="Verdana" w:cs="Times New Roman"/>
          <w:color w:val="222222"/>
          <w:sz w:val="22"/>
        </w:rPr>
        <w:t xml:space="preserve"> (MDBs)</w:t>
      </w:r>
      <w:r w:rsidRPr="00A5163B">
        <w:rPr>
          <w:rFonts w:ascii="Verdana" w:eastAsia="Times New Roman" w:hAnsi="Verdana" w:cs="Times New Roman"/>
          <w:color w:val="222222"/>
          <w:sz w:val="22"/>
        </w:rPr>
        <w:t>, demand reflection on how to respond to shifting power dynamics while ensuring the stability and efficiency of global financial governance.</w:t>
      </w:r>
    </w:p>
    <w:p w14:paraId="0580F463" w14:textId="77777777" w:rsidR="00A5163B" w:rsidRPr="00A5163B" w:rsidRDefault="00A5163B" w:rsidP="00A5163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222222"/>
          <w:sz w:val="22"/>
        </w:rPr>
      </w:pPr>
    </w:p>
    <w:p w14:paraId="3F2C1C35" w14:textId="77777777" w:rsidR="00061002" w:rsidRPr="00A5163B" w:rsidRDefault="00DF2EAB" w:rsidP="00A5163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222222"/>
          <w:sz w:val="22"/>
        </w:rPr>
      </w:pPr>
      <w:r w:rsidRPr="00A5163B">
        <w:rPr>
          <w:rFonts w:ascii="Verdana" w:eastAsia="Times New Roman" w:hAnsi="Verdana" w:cs="Times New Roman"/>
          <w:color w:val="222222"/>
          <w:sz w:val="22"/>
        </w:rPr>
        <w:t>We</w:t>
      </w:r>
      <w:r w:rsidR="00061002" w:rsidRPr="00A5163B">
        <w:rPr>
          <w:rFonts w:ascii="Verdana" w:eastAsia="Times New Roman" w:hAnsi="Verdana" w:cs="Times New Roman"/>
          <w:color w:val="222222"/>
          <w:sz w:val="22"/>
        </w:rPr>
        <w:t xml:space="preserve"> </w:t>
      </w:r>
      <w:r w:rsidR="002A5E29" w:rsidRPr="00A5163B">
        <w:rPr>
          <w:rFonts w:ascii="Verdana" w:eastAsia="Times New Roman" w:hAnsi="Verdana" w:cs="Times New Roman"/>
          <w:color w:val="222222"/>
          <w:sz w:val="22"/>
        </w:rPr>
        <w:t>should</w:t>
      </w:r>
      <w:r w:rsidRPr="00A5163B">
        <w:rPr>
          <w:rFonts w:ascii="Verdana" w:eastAsia="Times New Roman" w:hAnsi="Verdana" w:cs="Times New Roman"/>
          <w:color w:val="222222"/>
          <w:sz w:val="22"/>
        </w:rPr>
        <w:t xml:space="preserve"> try to address the financing for development</w:t>
      </w:r>
      <w:r w:rsidR="00AF3D28" w:rsidRPr="00A5163B">
        <w:rPr>
          <w:rFonts w:ascii="Verdana" w:eastAsia="Times New Roman" w:hAnsi="Verdana" w:cs="Times New Roman"/>
          <w:color w:val="222222"/>
          <w:sz w:val="22"/>
        </w:rPr>
        <w:t xml:space="preserve"> and below are some examples of the f</w:t>
      </w:r>
      <w:r w:rsidR="00A5163B">
        <w:rPr>
          <w:rFonts w:ascii="Verdana" w:eastAsia="Times New Roman" w:hAnsi="Verdana" w:cs="Times New Roman"/>
          <w:color w:val="222222"/>
          <w:sz w:val="22"/>
        </w:rPr>
        <w:t xml:space="preserve">ocus of work ahead of </w:t>
      </w:r>
      <w:r w:rsidR="00305DA4">
        <w:rPr>
          <w:rFonts w:ascii="Verdana" w:eastAsia="Times New Roman" w:hAnsi="Verdana" w:cs="Times New Roman"/>
          <w:color w:val="222222"/>
          <w:sz w:val="22"/>
        </w:rPr>
        <w:t>FFD-4</w:t>
      </w:r>
      <w:r w:rsidR="002A5E29" w:rsidRPr="00A5163B">
        <w:rPr>
          <w:rFonts w:ascii="Verdana" w:eastAsia="Times New Roman" w:hAnsi="Verdana" w:cs="Times New Roman"/>
          <w:color w:val="222222"/>
          <w:sz w:val="22"/>
        </w:rPr>
        <w:t>:</w:t>
      </w:r>
    </w:p>
    <w:p w14:paraId="1A42F778" w14:textId="77777777" w:rsidR="00423AA3" w:rsidRPr="00A5163B" w:rsidRDefault="00423AA3" w:rsidP="00A5163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Times New Roman"/>
          <w:color w:val="222222"/>
          <w:sz w:val="22"/>
        </w:rPr>
      </w:pPr>
    </w:p>
    <w:p w14:paraId="161C84BF" w14:textId="77777777" w:rsidR="00423AA3" w:rsidRPr="00305DA4" w:rsidRDefault="00061002" w:rsidP="00305DA4">
      <w:pPr>
        <w:pStyle w:val="a3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Verdana" w:hAnsi="Verdana"/>
          <w:sz w:val="22"/>
        </w:rPr>
      </w:pPr>
      <w:r w:rsidRPr="00305DA4">
        <w:rPr>
          <w:rFonts w:ascii="Verdana" w:hAnsi="Verdana"/>
          <w:sz w:val="22"/>
        </w:rPr>
        <w:t xml:space="preserve">Firstly, MDBs’ portfolios </w:t>
      </w:r>
      <w:r w:rsidR="00CE6C1D" w:rsidRPr="00305DA4">
        <w:rPr>
          <w:rFonts w:ascii="Verdana" w:hAnsi="Verdana"/>
          <w:sz w:val="22"/>
        </w:rPr>
        <w:t xml:space="preserve">could be </w:t>
      </w:r>
      <w:r w:rsidR="002A5E29" w:rsidRPr="00305DA4">
        <w:rPr>
          <w:rFonts w:ascii="Verdana" w:hAnsi="Verdana"/>
          <w:sz w:val="22"/>
        </w:rPr>
        <w:t>further fine-tuned to sustainable development</w:t>
      </w:r>
      <w:r w:rsidR="00CE6C1D" w:rsidRPr="00305DA4">
        <w:rPr>
          <w:rFonts w:ascii="Verdana" w:hAnsi="Verdana"/>
          <w:sz w:val="22"/>
        </w:rPr>
        <w:t>, as</w:t>
      </w:r>
      <w:r w:rsidRPr="00305DA4">
        <w:rPr>
          <w:rFonts w:ascii="Verdana" w:hAnsi="Verdana"/>
          <w:sz w:val="22"/>
        </w:rPr>
        <w:t xml:space="preserve"> MDBs </w:t>
      </w:r>
      <w:r w:rsidR="00CE6C1D" w:rsidRPr="00305DA4">
        <w:rPr>
          <w:rFonts w:ascii="Verdana" w:hAnsi="Verdana"/>
          <w:sz w:val="22"/>
        </w:rPr>
        <w:t xml:space="preserve">could </w:t>
      </w:r>
      <w:r w:rsidRPr="00305DA4">
        <w:rPr>
          <w:rFonts w:ascii="Verdana" w:hAnsi="Verdana"/>
          <w:sz w:val="22"/>
        </w:rPr>
        <w:t>adapt their project portfolios in a climate-informed, carbon-free way, while remaining faithful to their pro-poor orientation, in order to address global challenges and simultaneously contribute to poverty eradication. Additional finance may be needed for social sectors, such as health and education, currently underserved</w:t>
      </w:r>
      <w:r w:rsidR="00851461" w:rsidRPr="00305DA4">
        <w:rPr>
          <w:rFonts w:ascii="Verdana" w:hAnsi="Verdana"/>
          <w:sz w:val="22"/>
        </w:rPr>
        <w:t>, possibly</w:t>
      </w:r>
      <w:r w:rsidRPr="00305DA4">
        <w:rPr>
          <w:rFonts w:ascii="Verdana" w:hAnsi="Verdana"/>
          <w:sz w:val="22"/>
        </w:rPr>
        <w:t xml:space="preserve"> due to investors’ profitability concerns. </w:t>
      </w:r>
    </w:p>
    <w:p w14:paraId="5F1D582B" w14:textId="77777777" w:rsidR="00A56DD1" w:rsidRPr="00305DA4" w:rsidRDefault="00A56DD1" w:rsidP="00305DA4">
      <w:pPr>
        <w:pStyle w:val="a3"/>
        <w:spacing w:after="0" w:line="276" w:lineRule="auto"/>
        <w:ind w:left="284" w:hanging="284"/>
        <w:jc w:val="both"/>
        <w:rPr>
          <w:rFonts w:ascii="Verdana" w:hAnsi="Verdana"/>
          <w:sz w:val="22"/>
        </w:rPr>
      </w:pPr>
    </w:p>
    <w:p w14:paraId="03CC6016" w14:textId="77777777" w:rsidR="00950454" w:rsidRPr="00305DA4" w:rsidRDefault="00AB1C4D" w:rsidP="00305DA4">
      <w:pPr>
        <w:pStyle w:val="a3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Verdana" w:hAnsi="Verdana"/>
          <w:sz w:val="22"/>
        </w:rPr>
      </w:pPr>
      <w:r w:rsidRPr="00305DA4">
        <w:rPr>
          <w:rFonts w:ascii="Verdana" w:hAnsi="Verdana"/>
          <w:sz w:val="22"/>
        </w:rPr>
        <w:t>S</w:t>
      </w:r>
      <w:r w:rsidR="00DF2EAB" w:rsidRPr="00305DA4">
        <w:rPr>
          <w:rFonts w:ascii="Verdana" w:hAnsi="Verdana"/>
          <w:sz w:val="22"/>
        </w:rPr>
        <w:t>econd</w:t>
      </w:r>
      <w:r w:rsidR="00A56DD1" w:rsidRPr="00305DA4">
        <w:rPr>
          <w:rFonts w:ascii="Verdana" w:hAnsi="Verdana"/>
          <w:sz w:val="22"/>
        </w:rPr>
        <w:t>ly</w:t>
      </w:r>
      <w:r w:rsidR="00950454" w:rsidRPr="00305DA4">
        <w:rPr>
          <w:rFonts w:ascii="Verdana" w:hAnsi="Verdana"/>
          <w:sz w:val="22"/>
        </w:rPr>
        <w:t xml:space="preserve">, </w:t>
      </w:r>
      <w:r w:rsidR="0016209E" w:rsidRPr="00305DA4">
        <w:rPr>
          <w:rFonts w:ascii="Verdana" w:hAnsi="Verdana"/>
          <w:sz w:val="22"/>
        </w:rPr>
        <w:t xml:space="preserve">in terms of domestic resource mobilization, </w:t>
      </w:r>
      <w:r w:rsidR="0090193D" w:rsidRPr="00305DA4">
        <w:rPr>
          <w:rFonts w:ascii="Verdana" w:hAnsi="Verdana"/>
          <w:sz w:val="22"/>
        </w:rPr>
        <w:t xml:space="preserve">developing countries should be encouraged to introduce fair and effective tax systems, providing the right mixture </w:t>
      </w:r>
      <w:r w:rsidR="0090193D" w:rsidRPr="00305DA4">
        <w:rPr>
          <w:rFonts w:ascii="Verdana" w:hAnsi="Verdana"/>
          <w:sz w:val="22"/>
        </w:rPr>
        <w:lastRenderedPageBreak/>
        <w:t xml:space="preserve">of the ability to collect taxes, combatting tax evasion and tax avoidance and providing incentives </w:t>
      </w:r>
      <w:r w:rsidR="00851461" w:rsidRPr="00305DA4">
        <w:rPr>
          <w:rFonts w:ascii="Verdana" w:hAnsi="Verdana"/>
          <w:sz w:val="22"/>
        </w:rPr>
        <w:t xml:space="preserve">for investment </w:t>
      </w:r>
      <w:r w:rsidR="0090193D" w:rsidRPr="00305DA4">
        <w:rPr>
          <w:rFonts w:ascii="Verdana" w:hAnsi="Verdana"/>
          <w:sz w:val="22"/>
        </w:rPr>
        <w:t xml:space="preserve">and revenue for sustainable and inclusive growth. </w:t>
      </w:r>
      <w:r w:rsidR="00C14103" w:rsidRPr="00305DA4">
        <w:rPr>
          <w:rFonts w:ascii="Verdana" w:hAnsi="Verdana"/>
          <w:sz w:val="22"/>
        </w:rPr>
        <w:t xml:space="preserve">Strengthening international tax cooperation can serve to counter tax evasion, whilst there is also a need for continuous efforts to reduce and eventually eliminate illicit financial flows.  </w:t>
      </w:r>
      <w:r w:rsidR="0090193D" w:rsidRPr="00305DA4">
        <w:rPr>
          <w:rFonts w:ascii="Verdana" w:hAnsi="Verdana"/>
          <w:sz w:val="22"/>
        </w:rPr>
        <w:t xml:space="preserve"> </w:t>
      </w:r>
    </w:p>
    <w:p w14:paraId="528EE623" w14:textId="77777777" w:rsidR="00423AA3" w:rsidRPr="00305DA4" w:rsidRDefault="00423AA3" w:rsidP="00305DA4">
      <w:pPr>
        <w:spacing w:after="0" w:line="276" w:lineRule="auto"/>
        <w:ind w:left="284" w:hanging="284"/>
        <w:jc w:val="both"/>
        <w:rPr>
          <w:rFonts w:ascii="Verdana" w:hAnsi="Verdana"/>
          <w:sz w:val="22"/>
        </w:rPr>
      </w:pPr>
    </w:p>
    <w:p w14:paraId="4F1FA4C1" w14:textId="77777777" w:rsidR="00950454" w:rsidRPr="00305DA4" w:rsidRDefault="00AB1C4D" w:rsidP="00305DA4">
      <w:pPr>
        <w:pStyle w:val="a3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Verdana" w:hAnsi="Verdana"/>
          <w:sz w:val="22"/>
        </w:rPr>
      </w:pPr>
      <w:r w:rsidRPr="00305DA4">
        <w:rPr>
          <w:rFonts w:ascii="Verdana" w:hAnsi="Verdana"/>
          <w:sz w:val="22"/>
        </w:rPr>
        <w:t>Third</w:t>
      </w:r>
      <w:r w:rsidR="0090193D" w:rsidRPr="00305DA4">
        <w:rPr>
          <w:rFonts w:ascii="Verdana" w:hAnsi="Verdana"/>
          <w:sz w:val="22"/>
        </w:rPr>
        <w:t xml:space="preserve">ly, </w:t>
      </w:r>
      <w:r w:rsidR="009C1945" w:rsidRPr="00305DA4">
        <w:rPr>
          <w:rFonts w:ascii="Verdana" w:hAnsi="Verdana"/>
          <w:sz w:val="22"/>
        </w:rPr>
        <w:t xml:space="preserve">the </w:t>
      </w:r>
      <w:r w:rsidR="0090193D" w:rsidRPr="00305DA4">
        <w:rPr>
          <w:rFonts w:ascii="Verdana" w:hAnsi="Verdana"/>
          <w:sz w:val="22"/>
        </w:rPr>
        <w:t xml:space="preserve">key to sustainable development globally lies in mobilizing domestic and foreign private finance for investment in developing countries, </w:t>
      </w:r>
      <w:r w:rsidR="0023767B" w:rsidRPr="00305DA4">
        <w:rPr>
          <w:rFonts w:ascii="Verdana" w:hAnsi="Verdana"/>
          <w:sz w:val="22"/>
        </w:rPr>
        <w:t xml:space="preserve">through the promotion of a business environment conducive to investment and </w:t>
      </w:r>
      <w:r w:rsidR="0090193D" w:rsidRPr="00305DA4">
        <w:rPr>
          <w:rFonts w:ascii="Verdana" w:hAnsi="Verdana"/>
          <w:sz w:val="22"/>
        </w:rPr>
        <w:t>the provision of relevant grants, concessional loans and guarantees</w:t>
      </w:r>
      <w:r w:rsidR="0023767B" w:rsidRPr="00305DA4">
        <w:rPr>
          <w:rFonts w:ascii="Verdana" w:hAnsi="Verdana"/>
          <w:sz w:val="22"/>
        </w:rPr>
        <w:t xml:space="preserve">, as well as </w:t>
      </w:r>
      <w:r w:rsidR="0090193D" w:rsidRPr="00305DA4">
        <w:rPr>
          <w:rFonts w:ascii="Verdana" w:hAnsi="Verdana"/>
          <w:sz w:val="22"/>
        </w:rPr>
        <w:t xml:space="preserve">the transparent diffusion of information on relevant opportunities to potentially interested </w:t>
      </w:r>
      <w:r w:rsidR="00305DA4">
        <w:rPr>
          <w:rFonts w:ascii="Verdana" w:hAnsi="Verdana"/>
          <w:sz w:val="22"/>
        </w:rPr>
        <w:t>private sector entities throughout the world</w:t>
      </w:r>
      <w:r w:rsidR="0090193D" w:rsidRPr="00305DA4">
        <w:rPr>
          <w:rFonts w:ascii="Verdana" w:hAnsi="Verdana"/>
          <w:sz w:val="22"/>
        </w:rPr>
        <w:t>.</w:t>
      </w:r>
    </w:p>
    <w:p w14:paraId="0C006A5D" w14:textId="77777777" w:rsidR="00A5163B" w:rsidRPr="00305DA4" w:rsidRDefault="00A5163B" w:rsidP="00305DA4">
      <w:pPr>
        <w:pStyle w:val="a3"/>
        <w:spacing w:after="0" w:line="276" w:lineRule="auto"/>
        <w:ind w:left="284" w:hanging="284"/>
        <w:jc w:val="both"/>
        <w:rPr>
          <w:rFonts w:ascii="Verdana" w:hAnsi="Verdana"/>
          <w:sz w:val="22"/>
        </w:rPr>
      </w:pPr>
    </w:p>
    <w:p w14:paraId="06FD3AFE" w14:textId="77777777" w:rsidR="00CF572F" w:rsidRPr="00305DA4" w:rsidRDefault="00F53EF6" w:rsidP="00305DA4">
      <w:pPr>
        <w:pStyle w:val="a3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Verdana" w:hAnsi="Verdana"/>
          <w:sz w:val="22"/>
        </w:rPr>
      </w:pPr>
      <w:r w:rsidRPr="00305DA4">
        <w:rPr>
          <w:rFonts w:ascii="Verdana" w:hAnsi="Verdana"/>
          <w:sz w:val="22"/>
        </w:rPr>
        <w:t>Fourthly</w:t>
      </w:r>
      <w:r w:rsidR="00AF3D28" w:rsidRPr="00305DA4">
        <w:rPr>
          <w:rFonts w:ascii="Verdana" w:hAnsi="Verdana"/>
          <w:sz w:val="22"/>
        </w:rPr>
        <w:t>, the</w:t>
      </w:r>
      <w:r w:rsidRPr="00305DA4">
        <w:rPr>
          <w:rFonts w:ascii="Verdana" w:hAnsi="Verdana"/>
          <w:sz w:val="22"/>
        </w:rPr>
        <w:t xml:space="preserve"> FfD</w:t>
      </w:r>
      <w:r w:rsidR="00A5163B" w:rsidRPr="00305DA4">
        <w:rPr>
          <w:rFonts w:ascii="Verdana" w:hAnsi="Verdana"/>
          <w:sz w:val="22"/>
        </w:rPr>
        <w:t>-</w:t>
      </w:r>
      <w:r w:rsidRPr="00305DA4">
        <w:rPr>
          <w:rFonts w:ascii="Verdana" w:hAnsi="Verdana"/>
          <w:sz w:val="22"/>
        </w:rPr>
        <w:t>4 to be successful will have to respond</w:t>
      </w:r>
      <w:r w:rsidR="00AF3D28" w:rsidRPr="00305DA4">
        <w:rPr>
          <w:rFonts w:ascii="Verdana" w:hAnsi="Verdana"/>
          <w:sz w:val="22"/>
        </w:rPr>
        <w:t xml:space="preserve"> to the urgent debt challenges that a</w:t>
      </w:r>
      <w:r w:rsidRPr="00305DA4">
        <w:rPr>
          <w:rFonts w:ascii="Verdana" w:hAnsi="Verdana"/>
          <w:sz w:val="22"/>
        </w:rPr>
        <w:t>re currently overburdening</w:t>
      </w:r>
      <w:r w:rsidR="00AF3D28" w:rsidRPr="00305DA4">
        <w:rPr>
          <w:rFonts w:ascii="Verdana" w:hAnsi="Verdana"/>
          <w:sz w:val="22"/>
        </w:rPr>
        <w:t xml:space="preserve"> the developing world.</w:t>
      </w:r>
      <w:r w:rsidRPr="00305DA4">
        <w:rPr>
          <w:rFonts w:ascii="Verdana" w:hAnsi="Verdana"/>
          <w:sz w:val="22"/>
        </w:rPr>
        <w:t xml:space="preserve"> W</w:t>
      </w:r>
      <w:r w:rsidR="00AF3D28" w:rsidRPr="00305DA4">
        <w:rPr>
          <w:rFonts w:ascii="Verdana" w:hAnsi="Verdana"/>
          <w:sz w:val="22"/>
        </w:rPr>
        <w:t>e must find ways to provide additional fiscal space for countrie</w:t>
      </w:r>
      <w:r w:rsidRPr="00305DA4">
        <w:rPr>
          <w:rFonts w:ascii="Verdana" w:hAnsi="Verdana"/>
          <w:sz w:val="22"/>
        </w:rPr>
        <w:t xml:space="preserve">s </w:t>
      </w:r>
      <w:r w:rsidR="008B1605">
        <w:rPr>
          <w:rFonts w:ascii="Verdana" w:hAnsi="Verdana"/>
          <w:sz w:val="22"/>
        </w:rPr>
        <w:t>that have severe</w:t>
      </w:r>
      <w:r w:rsidR="00AF3D28" w:rsidRPr="00305DA4">
        <w:rPr>
          <w:rFonts w:ascii="Verdana" w:hAnsi="Verdana"/>
          <w:sz w:val="22"/>
        </w:rPr>
        <w:t xml:space="preserve"> liquidity challenges</w:t>
      </w:r>
      <w:r w:rsidRPr="00305DA4">
        <w:rPr>
          <w:rFonts w:ascii="Verdana" w:hAnsi="Verdana"/>
          <w:sz w:val="22"/>
        </w:rPr>
        <w:t>.</w:t>
      </w:r>
      <w:r w:rsidR="00AF3D28" w:rsidRPr="00305DA4">
        <w:rPr>
          <w:rFonts w:ascii="Verdana" w:hAnsi="Verdana"/>
          <w:sz w:val="22"/>
        </w:rPr>
        <w:t xml:space="preserve"> </w:t>
      </w:r>
    </w:p>
    <w:p w14:paraId="3BCCE782" w14:textId="77777777" w:rsidR="00A5163B" w:rsidRPr="00305DA4" w:rsidRDefault="00A5163B" w:rsidP="00305DA4">
      <w:pPr>
        <w:pStyle w:val="a3"/>
        <w:spacing w:after="0" w:line="276" w:lineRule="auto"/>
        <w:ind w:left="284" w:hanging="284"/>
        <w:jc w:val="both"/>
        <w:rPr>
          <w:rFonts w:ascii="Verdana" w:hAnsi="Verdana"/>
          <w:sz w:val="22"/>
        </w:rPr>
      </w:pPr>
    </w:p>
    <w:p w14:paraId="3EDA39C6" w14:textId="77777777" w:rsidR="00CF572F" w:rsidRPr="00305DA4" w:rsidRDefault="00F53EF6" w:rsidP="00305DA4">
      <w:pPr>
        <w:pStyle w:val="a3"/>
        <w:numPr>
          <w:ilvl w:val="0"/>
          <w:numId w:val="3"/>
        </w:numPr>
        <w:spacing w:after="0" w:line="276" w:lineRule="auto"/>
        <w:ind w:left="284" w:hanging="284"/>
        <w:jc w:val="both"/>
        <w:rPr>
          <w:rFonts w:ascii="Verdana" w:hAnsi="Verdana"/>
          <w:sz w:val="22"/>
        </w:rPr>
      </w:pPr>
      <w:r w:rsidRPr="00305DA4">
        <w:rPr>
          <w:rFonts w:ascii="Verdana" w:hAnsi="Verdana"/>
          <w:sz w:val="22"/>
        </w:rPr>
        <w:t>Fif</w:t>
      </w:r>
      <w:r w:rsidR="00AF3D28" w:rsidRPr="00305DA4">
        <w:rPr>
          <w:rFonts w:ascii="Verdana" w:hAnsi="Verdana"/>
          <w:sz w:val="22"/>
        </w:rPr>
        <w:t>thly</w:t>
      </w:r>
      <w:r w:rsidR="00CF572F" w:rsidRPr="00305DA4">
        <w:rPr>
          <w:rFonts w:ascii="Verdana" w:hAnsi="Verdana"/>
          <w:sz w:val="22"/>
        </w:rPr>
        <w:t xml:space="preserve">, despite the enormous funding gap, international aid is still rising, with official development assistance at an all-time high of 223.7 billion USD in 2023, according to the </w:t>
      </w:r>
      <w:hyperlink r:id="rId8" w:anchor=":~:text=International%20aid%20from%20official%20donors%20rose%20in%202023%20to%20a%20new%20all%2Dtime%20high%20of%20USD%20223.7%20billion%2C%20up%20from%20USD%20211%20billion%20in%202022" w:history="1">
        <w:r w:rsidR="00CF572F" w:rsidRPr="00305DA4">
          <w:rPr>
            <w:rFonts w:ascii="Verdana" w:hAnsi="Verdana"/>
            <w:sz w:val="22"/>
          </w:rPr>
          <w:t>OECD Development Assistance Committee</w:t>
        </w:r>
      </w:hyperlink>
      <w:r w:rsidR="00CF572F" w:rsidRPr="00305DA4">
        <w:rPr>
          <w:rFonts w:ascii="Verdana" w:hAnsi="Verdana"/>
          <w:sz w:val="22"/>
        </w:rPr>
        <w:t xml:space="preserve">. In this context, closer collaboration and coordination between development cooperation stakeholders is more important than ever. Ensuring development co-operation is effective by increasing the development impact of limited funds </w:t>
      </w:r>
      <w:r w:rsidR="00305DA4">
        <w:rPr>
          <w:rFonts w:ascii="Verdana" w:hAnsi="Verdana"/>
          <w:sz w:val="22"/>
        </w:rPr>
        <w:t xml:space="preserve">is also </w:t>
      </w:r>
      <w:r w:rsidR="00CF572F" w:rsidRPr="00305DA4">
        <w:rPr>
          <w:rFonts w:ascii="Verdana" w:hAnsi="Verdana"/>
          <w:sz w:val="22"/>
        </w:rPr>
        <w:t>required for achieving the 2030 Agenda.</w:t>
      </w:r>
    </w:p>
    <w:sectPr w:rsidR="00CF572F" w:rsidRPr="00305DA4" w:rsidSect="00423AA3">
      <w:footerReference w:type="default" r:id="rId9"/>
      <w:pgSz w:w="12240" w:h="15840"/>
      <w:pgMar w:top="1304" w:right="1304" w:bottom="130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239FA" w14:textId="77777777" w:rsidR="00A52865" w:rsidRDefault="00A52865" w:rsidP="00423AA3">
      <w:pPr>
        <w:spacing w:after="0" w:line="240" w:lineRule="auto"/>
      </w:pPr>
      <w:r>
        <w:separator/>
      </w:r>
    </w:p>
  </w:endnote>
  <w:endnote w:type="continuationSeparator" w:id="0">
    <w:p w14:paraId="56B52BDD" w14:textId="77777777" w:rsidR="00A52865" w:rsidRDefault="00A52865" w:rsidP="00423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7463247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2"/>
      </w:rPr>
    </w:sdtEndPr>
    <w:sdtContent>
      <w:p w14:paraId="1FA78029" w14:textId="77777777" w:rsidR="00423AA3" w:rsidRPr="00423AA3" w:rsidRDefault="00423AA3">
        <w:pPr>
          <w:pStyle w:val="a5"/>
          <w:jc w:val="right"/>
          <w:rPr>
            <w:rFonts w:ascii="Verdana" w:hAnsi="Verdana"/>
            <w:sz w:val="22"/>
          </w:rPr>
        </w:pPr>
        <w:r w:rsidRPr="00423AA3">
          <w:rPr>
            <w:rFonts w:ascii="Verdana" w:hAnsi="Verdana"/>
            <w:sz w:val="22"/>
          </w:rPr>
          <w:fldChar w:fldCharType="begin"/>
        </w:r>
        <w:r w:rsidRPr="00423AA3">
          <w:rPr>
            <w:rFonts w:ascii="Verdana" w:hAnsi="Verdana"/>
            <w:sz w:val="22"/>
          </w:rPr>
          <w:instrText xml:space="preserve"> PAGE   \* MERGEFORMAT </w:instrText>
        </w:r>
        <w:r w:rsidRPr="00423AA3">
          <w:rPr>
            <w:rFonts w:ascii="Verdana" w:hAnsi="Verdana"/>
            <w:sz w:val="22"/>
          </w:rPr>
          <w:fldChar w:fldCharType="separate"/>
        </w:r>
        <w:r w:rsidR="00BA5DB1">
          <w:rPr>
            <w:rFonts w:ascii="Verdana" w:hAnsi="Verdana"/>
            <w:noProof/>
            <w:sz w:val="22"/>
          </w:rPr>
          <w:t>2</w:t>
        </w:r>
        <w:r w:rsidRPr="00423AA3">
          <w:rPr>
            <w:rFonts w:ascii="Verdana" w:hAnsi="Verdana"/>
            <w:noProof/>
            <w:sz w:val="22"/>
          </w:rPr>
          <w:fldChar w:fldCharType="end"/>
        </w:r>
      </w:p>
    </w:sdtContent>
  </w:sdt>
  <w:p w14:paraId="77EC7105" w14:textId="77777777" w:rsidR="00423AA3" w:rsidRDefault="00423A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76EFAD" w14:textId="77777777" w:rsidR="00A52865" w:rsidRDefault="00A52865" w:rsidP="00423AA3">
      <w:pPr>
        <w:spacing w:after="0" w:line="240" w:lineRule="auto"/>
      </w:pPr>
      <w:r>
        <w:separator/>
      </w:r>
    </w:p>
  </w:footnote>
  <w:footnote w:type="continuationSeparator" w:id="0">
    <w:p w14:paraId="2DC874D2" w14:textId="77777777" w:rsidR="00A52865" w:rsidRDefault="00A52865" w:rsidP="00423A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A22AE"/>
    <w:multiLevelType w:val="multilevel"/>
    <w:tmpl w:val="34A28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4C6B7B"/>
    <w:multiLevelType w:val="hybridMultilevel"/>
    <w:tmpl w:val="59522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04E5E"/>
    <w:multiLevelType w:val="hybridMultilevel"/>
    <w:tmpl w:val="60341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5581147">
    <w:abstractNumId w:val="2"/>
  </w:num>
  <w:num w:numId="2" w16cid:durableId="662128086">
    <w:abstractNumId w:val="0"/>
  </w:num>
  <w:num w:numId="3" w16cid:durableId="781415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C25"/>
    <w:rsid w:val="00061002"/>
    <w:rsid w:val="000E3ADF"/>
    <w:rsid w:val="0016209E"/>
    <w:rsid w:val="0023767B"/>
    <w:rsid w:val="00245FF4"/>
    <w:rsid w:val="002A5E29"/>
    <w:rsid w:val="002C0BA4"/>
    <w:rsid w:val="00305DA4"/>
    <w:rsid w:val="00386E3C"/>
    <w:rsid w:val="00423AA3"/>
    <w:rsid w:val="00437315"/>
    <w:rsid w:val="005F5DB2"/>
    <w:rsid w:val="0060755C"/>
    <w:rsid w:val="007B51B2"/>
    <w:rsid w:val="00805133"/>
    <w:rsid w:val="00851461"/>
    <w:rsid w:val="008B1605"/>
    <w:rsid w:val="0090193D"/>
    <w:rsid w:val="00905CA7"/>
    <w:rsid w:val="00921FF3"/>
    <w:rsid w:val="00950454"/>
    <w:rsid w:val="009C1945"/>
    <w:rsid w:val="00A5163B"/>
    <w:rsid w:val="00A52865"/>
    <w:rsid w:val="00A56DD1"/>
    <w:rsid w:val="00A87820"/>
    <w:rsid w:val="00A9031C"/>
    <w:rsid w:val="00AB1C4D"/>
    <w:rsid w:val="00AF3D28"/>
    <w:rsid w:val="00B46659"/>
    <w:rsid w:val="00B46E3A"/>
    <w:rsid w:val="00B51EED"/>
    <w:rsid w:val="00B85CB5"/>
    <w:rsid w:val="00B97C25"/>
    <w:rsid w:val="00BA5DB1"/>
    <w:rsid w:val="00BB1A5D"/>
    <w:rsid w:val="00C14103"/>
    <w:rsid w:val="00CE6C1D"/>
    <w:rsid w:val="00CF572F"/>
    <w:rsid w:val="00D37FD6"/>
    <w:rsid w:val="00DD34B7"/>
    <w:rsid w:val="00DF2EAB"/>
    <w:rsid w:val="00E23979"/>
    <w:rsid w:val="00EC2970"/>
    <w:rsid w:val="00F53EF6"/>
    <w:rsid w:val="00FC7DC1"/>
    <w:rsid w:val="00FD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1DFB3"/>
  <w15:chartTrackingRefBased/>
  <w15:docId w15:val="{9FA92668-9D3F-414A-BBE3-A90F052A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AA3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2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23AA3"/>
  </w:style>
  <w:style w:type="paragraph" w:styleId="a5">
    <w:name w:val="footer"/>
    <w:basedOn w:val="a"/>
    <w:link w:val="Char0"/>
    <w:uiPriority w:val="99"/>
    <w:unhideWhenUsed/>
    <w:rsid w:val="00423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23AA3"/>
  </w:style>
  <w:style w:type="paragraph" w:styleId="Web">
    <w:name w:val="Normal (Web)"/>
    <w:basedOn w:val="a"/>
    <w:uiPriority w:val="99"/>
    <w:semiHidden/>
    <w:unhideWhenUsed/>
    <w:rsid w:val="009C194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9C1945"/>
    <w:rPr>
      <w:color w:val="0000FF"/>
      <w:u w:val="single"/>
    </w:rPr>
  </w:style>
  <w:style w:type="character" w:styleId="a6">
    <w:name w:val="Strong"/>
    <w:basedOn w:val="a0"/>
    <w:uiPriority w:val="22"/>
    <w:qFormat/>
    <w:rsid w:val="009C1945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0E3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0E3ADF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0E3ADF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0E3ADF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0E3ADF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0E3ADF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0E3A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98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cd.org/dac/financing-sustainable-development/development-finance-standards/official-development-assistance.htm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E67939E49F43488880277401A25400" ma:contentTypeVersion="31" ma:contentTypeDescription="Create a new document." ma:contentTypeScope="" ma:versionID="5f9ebd683d5a42ee7c4e1b97347134b7">
  <xsd:schema xmlns:xsd="http://www.w3.org/2001/XMLSchema" xmlns:xs="http://www.w3.org/2001/XMLSchema" xmlns:p="http://schemas.microsoft.com/office/2006/metadata/properties" xmlns:ns2="b49397d3-2376-4764-9b34-2b39112a7e40" xmlns:ns3="21881cb0-6faf-4934-ab2e-9444b6008124" xmlns:ns4="985ec44e-1bab-4c0b-9df0-6ba128686fc9" targetNamespace="http://schemas.microsoft.com/office/2006/metadata/properties" ma:root="true" ma:fieldsID="705f05fccd0d518d4859d8c6d0d5088b" ns2:_="" ns3:_="" ns4:_="">
    <xsd:import namespace="b49397d3-2376-4764-9b34-2b39112a7e40"/>
    <xsd:import namespace="21881cb0-6faf-4934-ab2e-9444b6008124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H_x002f_MDN" minOccurs="0"/>
                <xsd:element ref="ns2:Feedback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Country" minOccurs="0"/>
                <xsd:element ref="ns2:Topic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397d3-2376-4764-9b34-2b39112a7e40" elementFormDefault="qualified">
    <xsd:import namespace="http://schemas.microsoft.com/office/2006/documentManagement/types"/>
    <xsd:import namespace="http://schemas.microsoft.com/office/infopath/2007/PartnerControls"/>
    <xsd:element name="MH_x002f_MDN" ma:index="2" nillable="true" ma:displayName="MH/MDN" ma:format="Dropdown" ma:internalName="MH_x002f_MDN" ma:readOnly="false">
      <xsd:simpleType>
        <xsd:restriction base="dms:Text">
          <xsd:maxLength value="255"/>
        </xsd:restriction>
      </xsd:simpleType>
    </xsd:element>
    <xsd:element name="Feedback" ma:index="4" nillable="true" ma:displayName="Feedback" ma:format="Dropdown" ma:internalName="Feedback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Country" ma:index="27" nillable="true" ma:displayName="Country" ma:format="Dropdown" ma:internalName="Count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fghanistan"/>
                    <xsd:enumeration value="Albania"/>
                    <xsd:enumeration value="Algeria"/>
                    <xsd:enumeration value="Andorra"/>
                    <xsd:enumeration value="Angola"/>
                    <xsd:enumeration value="Antigua and Barbuda"/>
                    <xsd:enumeration value="Argentina"/>
                    <xsd:enumeration value="Armenia"/>
                    <xsd:enumeration value="Australia"/>
                    <xsd:enumeration value="Austria"/>
                    <xsd:enumeration value="Azerbaijan"/>
                    <xsd:enumeration value="Bahamas"/>
                    <xsd:enumeration value="Bahrain"/>
                    <xsd:enumeration value="Bangladesh"/>
                    <xsd:enumeration value="Barbados"/>
                    <xsd:enumeration value="Belarus"/>
                    <xsd:enumeration value="Belgium"/>
                    <xsd:enumeration value="Belize"/>
                    <xsd:enumeration value="Benin"/>
                    <xsd:enumeration value="Bhutan"/>
                    <xsd:enumeration value="Bolivia"/>
                    <xsd:enumeration value="Bosnia and Herzegovina"/>
                    <xsd:enumeration value="Botswana"/>
                    <xsd:enumeration value="Brazil"/>
                    <xsd:enumeration value="Brunei Darussalam"/>
                    <xsd:enumeration value="Bulgaria"/>
                    <xsd:enumeration value="Burkina Faso"/>
                    <xsd:enumeration value="Burundi"/>
                    <xsd:enumeration value="Cabo Verde"/>
                    <xsd:enumeration value="Cambodia"/>
                    <xsd:enumeration value="Cameroon"/>
                    <xsd:enumeration value="Canada"/>
                    <xsd:enumeration value="Central African Republic"/>
                    <xsd:enumeration value="Chad"/>
                    <xsd:enumeration value="Chile"/>
                    <xsd:enumeration value="China"/>
                    <xsd:enumeration value="Colombia"/>
                    <xsd:enumeration value="Comoros"/>
                    <xsd:enumeration value="Congo"/>
                    <xsd:enumeration value="Dem Rep of Congo"/>
                    <xsd:enumeration value="Costa Rica"/>
                    <xsd:enumeration value="Côte d'Ivoire"/>
                    <xsd:enumeration value="Croatia"/>
                    <xsd:enumeration value="Cuba"/>
                    <xsd:enumeration value="Cyprus"/>
                    <xsd:enumeration value="Czechia"/>
                    <xsd:enumeration value="Denmark"/>
                    <xsd:enumeration value="Djibouti"/>
                    <xsd:enumeration value="Dominica"/>
                    <xsd:enumeration value="Dominican Republic"/>
                    <xsd:enumeration value="Ecuador"/>
                    <xsd:enumeration value="Egypt"/>
                    <xsd:enumeration value="El Salvador"/>
                    <xsd:enumeration value="Equatorial Guinea"/>
                    <xsd:enumeration value="Eritrea"/>
                    <xsd:enumeration value="Estonia"/>
                    <xsd:enumeration value="Eswatini"/>
                    <xsd:enumeration value="Ethiopia"/>
                    <xsd:enumeration value="Fiji"/>
                    <xsd:enumeration value="Finland"/>
                    <xsd:enumeration value="France"/>
                    <xsd:enumeration value="Gabon"/>
                    <xsd:enumeration value="Gambia"/>
                    <xsd:enumeration value="Georgia"/>
                    <xsd:enumeration value="Germany"/>
                    <xsd:enumeration value="Ghana"/>
                    <xsd:enumeration value="Greece"/>
                    <xsd:enumeration value="Grenada"/>
                    <xsd:enumeration value="Guatemala"/>
                    <xsd:enumeration value="Guinea"/>
                    <xsd:enumeration value="Guinea-Bissau"/>
                    <xsd:enumeration value="Guyana"/>
                    <xsd:enumeration value="Haiti"/>
                    <xsd:enumeration value="Honduras"/>
                    <xsd:enumeration value="Hungary"/>
                    <xsd:enumeration value="Iceland"/>
                    <xsd:enumeration value="India"/>
                    <xsd:enumeration value="Indonesia"/>
                    <xsd:enumeration value="Iran"/>
                    <xsd:enumeration value="Iraq"/>
                    <xsd:enumeration value="Ireland"/>
                    <xsd:enumeration value="Israel"/>
                    <xsd:enumeration value="Italy"/>
                    <xsd:enumeration value="Jamaica"/>
                    <xsd:enumeration value="Japan"/>
                    <xsd:enumeration value="Jordan"/>
                    <xsd:enumeration value="Kazakhstan"/>
                    <xsd:enumeration value="Kenya"/>
                    <xsd:enumeration value="Kiribati"/>
                    <xsd:enumeration value="Kuwait"/>
                    <xsd:enumeration value="Kyrgyzstan"/>
                    <xsd:enumeration value="Laos"/>
                    <xsd:enumeration value="Latvia"/>
                    <xsd:enumeration value="Lebanon"/>
                    <xsd:enumeration value="Lesotho"/>
                    <xsd:enumeration value="Liberia"/>
                    <xsd:enumeration value="Libya"/>
                    <xsd:enumeration value="Liechtenstein"/>
                    <xsd:enumeration value="Lithuania"/>
                    <xsd:enumeration value="Luxembourg"/>
                    <xsd:enumeration value="Madagascar"/>
                    <xsd:enumeration value="Malawi"/>
                    <xsd:enumeration value="Malaysia"/>
                    <xsd:enumeration value="Maldives"/>
                    <xsd:enumeration value="Mali"/>
                    <xsd:enumeration value="Malta"/>
                    <xsd:enumeration value="Marshall Islands"/>
                    <xsd:enumeration value="Mauritania"/>
                    <xsd:enumeration value="Mauritius"/>
                    <xsd:enumeration value="Mexico"/>
                    <xsd:enumeration value="Micronesia"/>
                    <xsd:enumeration value="Moldova"/>
                    <xsd:enumeration value="Monaco"/>
                    <xsd:enumeration value="Mongolia"/>
                    <xsd:enumeration value="Montenegro"/>
                    <xsd:enumeration value="Morocco"/>
                    <xsd:enumeration value="Mozambique"/>
                    <xsd:enumeration value="Myanmar"/>
                    <xsd:enumeration value="Namibia"/>
                    <xsd:enumeration value="Nauru"/>
                    <xsd:enumeration value="Nepal"/>
                    <xsd:enumeration value="Netherlands"/>
                    <xsd:enumeration value="New Zealand"/>
                    <xsd:enumeration value="Nicaragua"/>
                    <xsd:enumeration value="Niger"/>
                    <xsd:enumeration value="Nigeria"/>
                    <xsd:enumeration value="North Korea"/>
                    <xsd:enumeration value="North Macedonia"/>
                    <xsd:enumeration value="Norway"/>
                    <xsd:enumeration value="Oman"/>
                    <xsd:enumeration value="Pakistan"/>
                    <xsd:enumeration value="Palau"/>
                    <xsd:enumeration value="Panama"/>
                    <xsd:enumeration value="Papua New Guinea"/>
                    <xsd:enumeration value="Paraguay"/>
                    <xsd:enumeration value="Peru"/>
                    <xsd:enumeration value="Philippines"/>
                    <xsd:enumeration value="Poland"/>
                    <xsd:enumeration value="Portugal"/>
                    <xsd:enumeration value="Qatar"/>
                    <xsd:enumeration value="Romania"/>
                    <xsd:enumeration value="Russia"/>
                    <xsd:enumeration value="Rwanda"/>
                    <xsd:enumeration value="Saint Kitts and Nevis"/>
                    <xsd:enumeration value="Saint Lucia"/>
                    <xsd:enumeration value="Saint Vincent and the Grenadines"/>
                    <xsd:enumeration value="Samoa"/>
                    <xsd:enumeration value="San Marino"/>
                    <xsd:enumeration value="Sao Tome and Principe"/>
                    <xsd:enumeration value="Saudi Arabia"/>
                    <xsd:enumeration value="Senegal"/>
                    <xsd:enumeration value="Serbia"/>
                    <xsd:enumeration value="Seychelles"/>
                    <xsd:enumeration value="Sierra Leone"/>
                    <xsd:enumeration value="Singapore"/>
                    <xsd:enumeration value="Slovakia"/>
                    <xsd:enumeration value="Slovenia"/>
                    <xsd:enumeration value="Solomon Islands"/>
                    <xsd:enumeration value="Somalia"/>
                    <xsd:enumeration value="South Africa"/>
                    <xsd:enumeration value="South Korea"/>
                    <xsd:enumeration value="South Sudan"/>
                    <xsd:enumeration value="Spain"/>
                    <xsd:enumeration value="Sri Lanka"/>
                    <xsd:enumeration value="Sudan"/>
                    <xsd:enumeration value="Suriname"/>
                    <xsd:enumeration value="Swaziland"/>
                    <xsd:enumeration value="Sweden"/>
                    <xsd:enumeration value="Switzerland"/>
                    <xsd:enumeration value="Syria"/>
                    <xsd:enumeration value="Tajikistan"/>
                    <xsd:enumeration value="Tanzania"/>
                    <xsd:enumeration value="Thailand"/>
                    <xsd:enumeration value="Timor-Leste"/>
                    <xsd:enumeration value="Togo"/>
                    <xsd:enumeration value="Tonga"/>
                    <xsd:enumeration value="Trinidad and Tobago"/>
                    <xsd:enumeration value="Tunisia"/>
                    <xsd:enumeration value="Turkey"/>
                    <xsd:enumeration value="Turkmenistan"/>
                    <xsd:enumeration value="Tuvalu"/>
                    <xsd:enumeration value="Uganda"/>
                    <xsd:enumeration value="Ukraine"/>
                    <xsd:enumeration value="United Arab Emirates"/>
                    <xsd:enumeration value="United Kingdom"/>
                    <xsd:enumeration value="United States"/>
                    <xsd:enumeration value="Uruguay"/>
                    <xsd:enumeration value="Uzbekistan"/>
                    <xsd:enumeration value="Vanuatu"/>
                    <xsd:enumeration value="Venezuela"/>
                    <xsd:enumeration value="Viet Nam"/>
                    <xsd:enumeration value="Yemen"/>
                    <xsd:enumeration value="Zambia"/>
                    <xsd:enumeration value="Zimbabwe"/>
                  </xsd:restriction>
                </xsd:simpleType>
              </xsd:element>
            </xsd:sequence>
          </xsd:extension>
        </xsd:complexContent>
      </xsd:complexType>
    </xsd:element>
    <xsd:element name="Topic" ma:index="28" nillable="true" ma:displayName="Topic" ma:format="Dropdown" ma:internalName="Top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io"/>
                    <xsd:enumeration value="Capacity Development"/>
                    <xsd:enumeration value="DCF"/>
                    <xsd:enumeration value="FACTI"/>
                    <xsd:enumeration value="FFD"/>
                    <xsd:enumeration value="GISD"/>
                    <xsd:enumeration value="Global Compact"/>
                    <xsd:enumeration value="IAM"/>
                    <xsd:enumeration value="IATF"/>
                    <xsd:enumeration value="IFA"/>
                    <xsd:enumeration value="IMF"/>
                    <xsd:enumeration value="INFF"/>
                    <xsd:enumeration value="SDGs"/>
                    <xsd:enumeration value="SDGI Fair"/>
                    <xsd:enumeration value="Tax Committee"/>
                  </xsd:restriction>
                </xsd:simpleType>
              </xsd:element>
            </xsd:sequence>
          </xsd:extension>
        </xsd:complexContent>
      </xsd:complex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cb0-6faf-4934-ab2e-9444b6008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78f06151-c7ba-4bdd-a020-f52e030700b8}" ma:internalName="TaxCatchAll" ma:readOnly="false" ma:showField="CatchAllData" ma:web="21881cb0-6faf-4934-ab2e-9444b60081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33E9F54-BDB9-4B01-BA3C-97CDFEC0E7FA}"/>
</file>

<file path=customXml/itemProps2.xml><?xml version="1.0" encoding="utf-8"?>
<ds:datastoreItem xmlns:ds="http://schemas.openxmlformats.org/officeDocument/2006/customXml" ds:itemID="{2989F350-A8EA-4E31-9E4D-2FC9167B15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ATH RIZ</cp:lastModifiedBy>
  <cp:revision>2</cp:revision>
  <cp:lastPrinted>2024-08-28T13:05:00Z</cp:lastPrinted>
  <dcterms:created xsi:type="dcterms:W3CDTF">2024-10-16T03:37:00Z</dcterms:created>
  <dcterms:modified xsi:type="dcterms:W3CDTF">2024-10-16T03:37:00Z</dcterms:modified>
</cp:coreProperties>
</file>