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98742" w14:textId="6DCD0152" w:rsidR="78F4E549" w:rsidRPr="00F0522E" w:rsidRDefault="78F4E549" w:rsidP="1DACEA4C">
      <w:pPr>
        <w:pStyle w:val="Heading1"/>
        <w:pBdr>
          <w:top w:val="nil"/>
          <w:left w:val="nil"/>
          <w:bottom w:val="nil"/>
          <w:right w:val="nil"/>
          <w:between w:val="nil"/>
        </w:pBdr>
        <w:spacing w:before="240" w:after="240"/>
        <w:jc w:val="center"/>
        <w:rPr>
          <w:rFonts w:ascii="Arial" w:eastAsia="Arial" w:hAnsi="Arial" w:cs="Arial"/>
          <w:i/>
          <w:iCs/>
          <w:color w:val="155366"/>
          <w:sz w:val="44"/>
          <w:szCs w:val="44"/>
        </w:rPr>
      </w:pPr>
    </w:p>
    <w:p w14:paraId="38792D02" w14:textId="159B6319" w:rsidR="78F4E549" w:rsidRPr="00F0522E" w:rsidRDefault="78F4E549" w:rsidP="1DACEA4C">
      <w:pPr>
        <w:pStyle w:val="Heading1"/>
        <w:pBdr>
          <w:top w:val="nil"/>
          <w:left w:val="nil"/>
          <w:bottom w:val="nil"/>
          <w:right w:val="nil"/>
          <w:between w:val="nil"/>
        </w:pBdr>
        <w:spacing w:before="240" w:after="240"/>
        <w:jc w:val="center"/>
        <w:rPr>
          <w:rFonts w:ascii="Arial" w:eastAsia="Arial" w:hAnsi="Arial" w:cs="Arial"/>
          <w:i/>
          <w:iCs/>
          <w:color w:val="155366"/>
          <w:sz w:val="44"/>
          <w:szCs w:val="44"/>
        </w:rPr>
      </w:pPr>
    </w:p>
    <w:p w14:paraId="20ED8AAC" w14:textId="20AB4605" w:rsidR="78F4E549" w:rsidRPr="00F0522E" w:rsidRDefault="78F4E549" w:rsidP="1DACEA4C">
      <w:pPr>
        <w:pStyle w:val="Heading1"/>
        <w:pBdr>
          <w:top w:val="nil"/>
          <w:left w:val="nil"/>
          <w:bottom w:val="nil"/>
          <w:right w:val="nil"/>
          <w:between w:val="nil"/>
        </w:pBdr>
        <w:spacing w:before="240" w:after="240"/>
        <w:jc w:val="center"/>
        <w:rPr>
          <w:rFonts w:ascii="Arial" w:eastAsia="Arial" w:hAnsi="Arial" w:cs="Arial"/>
          <w:i/>
          <w:iCs/>
          <w:color w:val="155366"/>
          <w:sz w:val="44"/>
          <w:szCs w:val="44"/>
        </w:rPr>
      </w:pPr>
    </w:p>
    <w:p w14:paraId="00062E2A" w14:textId="22CA0D96" w:rsidR="78F4E549" w:rsidRPr="00F0522E" w:rsidRDefault="0075047B" w:rsidP="1DACEA4C">
      <w:pPr>
        <w:pStyle w:val="Heading1"/>
        <w:pBdr>
          <w:top w:val="nil"/>
          <w:left w:val="nil"/>
          <w:bottom w:val="nil"/>
          <w:right w:val="nil"/>
          <w:between w:val="nil"/>
        </w:pBdr>
        <w:spacing w:before="240" w:after="240"/>
        <w:jc w:val="center"/>
        <w:rPr>
          <w:rFonts w:ascii="Arial" w:eastAsia="Arial" w:hAnsi="Arial" w:cs="Arial"/>
          <w:sz w:val="28"/>
          <w:szCs w:val="28"/>
        </w:rPr>
      </w:pPr>
      <w:r w:rsidRPr="00F0522E">
        <w:rPr>
          <w:rFonts w:ascii="Arial" w:eastAsia="Arial" w:hAnsi="Arial" w:cs="Arial"/>
          <w:i/>
          <w:iCs/>
          <w:color w:val="155366"/>
          <w:sz w:val="44"/>
          <w:szCs w:val="44"/>
        </w:rPr>
        <w:t>IATI inputs to Elements Paper on Financing for Development</w:t>
      </w:r>
    </w:p>
    <w:p w14:paraId="6588E1C6" w14:textId="4608E781" w:rsidR="0075047B" w:rsidRPr="00F0522E" w:rsidRDefault="0075047B" w:rsidP="0075047B">
      <w:pPr>
        <w:jc w:val="center"/>
        <w:rPr>
          <w:rFonts w:ascii="Arial" w:eastAsia="Arial" w:hAnsi="Arial" w:cs="Arial"/>
          <w:b/>
          <w:bCs/>
          <w:sz w:val="28"/>
          <w:szCs w:val="28"/>
        </w:rPr>
      </w:pPr>
    </w:p>
    <w:p w14:paraId="5E4B8993" w14:textId="4F9C963B" w:rsidR="0075047B" w:rsidRPr="00F0522E" w:rsidRDefault="0075047B" w:rsidP="0075047B">
      <w:pPr>
        <w:jc w:val="center"/>
        <w:rPr>
          <w:rFonts w:ascii="Arial" w:eastAsia="Arial" w:hAnsi="Arial" w:cs="Arial"/>
          <w:i/>
          <w:iCs/>
          <w:sz w:val="28"/>
          <w:szCs w:val="28"/>
        </w:rPr>
      </w:pPr>
      <w:r w:rsidRPr="00F0522E">
        <w:rPr>
          <w:rFonts w:ascii="Arial" w:eastAsia="Arial" w:hAnsi="Arial" w:cs="Arial"/>
          <w:i/>
          <w:iCs/>
          <w:sz w:val="28"/>
          <w:szCs w:val="28"/>
        </w:rPr>
        <w:t>to inform the Co-Facilitators of the FfD4 Outcome Document in their preparation of an elements paper</w:t>
      </w:r>
    </w:p>
    <w:p w14:paraId="35DA0138" w14:textId="40503775" w:rsidR="0075047B" w:rsidRPr="00F0522E" w:rsidRDefault="0075047B" w:rsidP="1DACEA4C">
      <w:pPr>
        <w:jc w:val="center"/>
        <w:rPr>
          <w:rFonts w:ascii="Arial" w:eastAsia="Arial" w:hAnsi="Arial" w:cs="Arial"/>
          <w:i/>
          <w:iCs/>
          <w:sz w:val="28"/>
          <w:szCs w:val="28"/>
        </w:rPr>
      </w:pPr>
    </w:p>
    <w:p w14:paraId="28E6FBD0" w14:textId="35FEEF8F" w:rsidR="5351A220" w:rsidRPr="00F0522E" w:rsidRDefault="5351A220" w:rsidP="1DACEA4C">
      <w:pPr>
        <w:jc w:val="center"/>
        <w:rPr>
          <w:rFonts w:ascii="Arial" w:eastAsia="Arial" w:hAnsi="Arial" w:cs="Arial"/>
          <w:i/>
          <w:iCs/>
          <w:sz w:val="28"/>
          <w:szCs w:val="28"/>
        </w:rPr>
      </w:pPr>
      <w:r w:rsidRPr="00F0522E">
        <w:rPr>
          <w:rFonts w:ascii="Arial" w:eastAsia="Arial" w:hAnsi="Arial" w:cs="Arial"/>
          <w:i/>
          <w:iCs/>
          <w:sz w:val="28"/>
          <w:szCs w:val="28"/>
        </w:rPr>
        <w:t>October 2024</w:t>
      </w:r>
    </w:p>
    <w:p w14:paraId="564538D8" w14:textId="441D4029" w:rsidR="6D6C9736" w:rsidRPr="00F0522E" w:rsidRDefault="6D6C9736" w:rsidP="1DACEA4C">
      <w:pPr>
        <w:jc w:val="center"/>
        <w:rPr>
          <w:rFonts w:ascii="Arial" w:eastAsia="Arial" w:hAnsi="Arial" w:cs="Arial"/>
          <w:i/>
          <w:iCs/>
          <w:sz w:val="28"/>
          <w:szCs w:val="28"/>
        </w:rPr>
      </w:pPr>
    </w:p>
    <w:p w14:paraId="4D69CBD6" w14:textId="45D81BC3" w:rsidR="6D6C9736" w:rsidRPr="00F0522E" w:rsidRDefault="6D6C9736" w:rsidP="1DACEA4C">
      <w:pPr>
        <w:jc w:val="center"/>
        <w:rPr>
          <w:rFonts w:ascii="Arial" w:eastAsia="Arial" w:hAnsi="Arial" w:cs="Arial"/>
          <w:b/>
          <w:bCs/>
          <w:sz w:val="28"/>
          <w:szCs w:val="28"/>
        </w:rPr>
      </w:pPr>
    </w:p>
    <w:p w14:paraId="56998982" w14:textId="102FBB39" w:rsidR="02A1F37F" w:rsidRPr="00F0522E" w:rsidRDefault="02A1F37F" w:rsidP="1DACEA4C">
      <w:pPr>
        <w:pStyle w:val="Heading3"/>
        <w:rPr>
          <w:rFonts w:ascii="Arial" w:eastAsia="Arial" w:hAnsi="Arial" w:cs="Arial"/>
        </w:rPr>
      </w:pPr>
    </w:p>
    <w:p w14:paraId="6366EFA4" w14:textId="2C563487" w:rsidR="6D6C9736" w:rsidRPr="00F0522E" w:rsidRDefault="6D6C9736" w:rsidP="1DACEA4C">
      <w:pPr>
        <w:rPr>
          <w:rFonts w:ascii="Arial" w:eastAsia="Arial" w:hAnsi="Arial" w:cs="Arial"/>
        </w:rPr>
      </w:pPr>
      <w:r w:rsidRPr="00F0522E">
        <w:rPr>
          <w:rFonts w:ascii="Arial" w:eastAsia="Arial" w:hAnsi="Arial" w:cs="Arial"/>
        </w:rPr>
        <w:br w:type="page"/>
      </w:r>
    </w:p>
    <w:p w14:paraId="58E1FC3E" w14:textId="3F1717AE" w:rsidR="5565C1FB" w:rsidRPr="00F0522E" w:rsidRDefault="5565C1FB" w:rsidP="1DACEA4C">
      <w:pPr>
        <w:pStyle w:val="Heading3"/>
        <w:rPr>
          <w:rFonts w:ascii="Arial" w:eastAsia="Arial" w:hAnsi="Arial" w:cs="Arial"/>
          <w:sz w:val="32"/>
          <w:szCs w:val="32"/>
        </w:rPr>
      </w:pPr>
      <w:r w:rsidRPr="00F0522E">
        <w:rPr>
          <w:rFonts w:ascii="Arial" w:eastAsia="Arial" w:hAnsi="Arial" w:cs="Arial"/>
        </w:rPr>
        <w:lastRenderedPageBreak/>
        <w:t>Executive Summary</w:t>
      </w:r>
    </w:p>
    <w:p w14:paraId="33BCF8F5" w14:textId="0F334B7D" w:rsidR="0B4080EF" w:rsidRPr="00F0522E" w:rsidRDefault="0B4080EF" w:rsidP="1DACEA4C">
      <w:pPr>
        <w:spacing w:after="240"/>
        <w:rPr>
          <w:rFonts w:ascii="Arial" w:eastAsia="Arial" w:hAnsi="Arial" w:cs="Arial"/>
          <w:sz w:val="24"/>
          <w:szCs w:val="24"/>
        </w:rPr>
      </w:pPr>
      <w:r w:rsidRPr="00F0522E">
        <w:rPr>
          <w:rFonts w:ascii="Arial" w:eastAsia="Arial" w:hAnsi="Arial" w:cs="Arial"/>
          <w:sz w:val="24"/>
          <w:szCs w:val="24"/>
        </w:rPr>
        <w:t xml:space="preserve">As the Fourth International Conference on Financing for Development (FfD4) approaches, the global financing landscape demands an ambitious and integrated framework. The complexities of financing global public goods—such as climate action, health systems, and digital infrastructure—require a radical shift from the traditional </w:t>
      </w:r>
      <w:r w:rsidR="7BB7DCC6" w:rsidRPr="00F0522E">
        <w:rPr>
          <w:rFonts w:ascii="Arial" w:eastAsia="Arial" w:hAnsi="Arial" w:cs="Arial"/>
          <w:sz w:val="24"/>
          <w:szCs w:val="24"/>
        </w:rPr>
        <w:t xml:space="preserve">focus </w:t>
      </w:r>
      <w:r w:rsidRPr="00F0522E">
        <w:rPr>
          <w:rFonts w:ascii="Arial" w:eastAsia="Arial" w:hAnsi="Arial" w:cs="Arial"/>
          <w:sz w:val="24"/>
          <w:szCs w:val="24"/>
        </w:rPr>
        <w:t>on Official Development Assistance (ODA). This evolving landscape presents an urgent need for transparency, accountability, and a commitment to innovation in tracking and mobilizing</w:t>
      </w:r>
      <w:r w:rsidR="40FE9BCC" w:rsidRPr="00F0522E">
        <w:rPr>
          <w:rFonts w:ascii="Arial" w:eastAsia="Arial" w:hAnsi="Arial" w:cs="Arial"/>
          <w:sz w:val="24"/>
          <w:szCs w:val="24"/>
        </w:rPr>
        <w:t xml:space="preserve"> </w:t>
      </w:r>
      <w:r w:rsidRPr="00F0522E">
        <w:rPr>
          <w:rFonts w:ascii="Arial" w:eastAsia="Arial" w:hAnsi="Arial" w:cs="Arial"/>
          <w:sz w:val="24"/>
          <w:szCs w:val="24"/>
        </w:rPr>
        <w:t>diverse financial flows.</w:t>
      </w:r>
    </w:p>
    <w:p w14:paraId="2F2AD484" w14:textId="2DA61731" w:rsidR="0B4080EF" w:rsidRPr="00F0522E" w:rsidRDefault="0B4080EF" w:rsidP="1DACEA4C">
      <w:pPr>
        <w:spacing w:before="240" w:after="240"/>
        <w:rPr>
          <w:rFonts w:ascii="Arial" w:eastAsia="Arial" w:hAnsi="Arial" w:cs="Arial"/>
          <w:sz w:val="24"/>
          <w:szCs w:val="24"/>
        </w:rPr>
      </w:pPr>
      <w:r w:rsidRPr="00F0522E">
        <w:rPr>
          <w:rFonts w:ascii="Arial" w:eastAsia="Arial" w:hAnsi="Arial" w:cs="Arial"/>
          <w:sz w:val="24"/>
          <w:szCs w:val="24"/>
        </w:rPr>
        <w:t xml:space="preserve">The International Aid Transparency Initiative (IATI) has a central role in this transformation. By providing a robust platform for reporting and tracking international financing, IATI </w:t>
      </w:r>
      <w:r w:rsidR="3DD15F66" w:rsidRPr="00F0522E">
        <w:rPr>
          <w:rFonts w:ascii="Arial" w:eastAsia="Arial" w:hAnsi="Arial" w:cs="Arial"/>
          <w:sz w:val="24"/>
          <w:szCs w:val="24"/>
        </w:rPr>
        <w:t xml:space="preserve">can help </w:t>
      </w:r>
      <w:r w:rsidRPr="00F0522E">
        <w:rPr>
          <w:rFonts w:ascii="Arial" w:eastAsia="Arial" w:hAnsi="Arial" w:cs="Arial"/>
          <w:sz w:val="24"/>
          <w:szCs w:val="24"/>
        </w:rPr>
        <w:t xml:space="preserve">ensure that financial flows align with the Sustainable Development Goals (SDGs), creating accountability and fostering informed decision-making across multiple stakeholders. IATI's open data standards, capable of tracking investments from public, private, and non-governmental actors, can serve as the backbone for </w:t>
      </w:r>
      <w:r w:rsidR="5DF8B026" w:rsidRPr="00F0522E">
        <w:rPr>
          <w:rFonts w:ascii="Arial" w:eastAsia="Arial" w:hAnsi="Arial" w:cs="Arial"/>
          <w:sz w:val="24"/>
          <w:szCs w:val="24"/>
        </w:rPr>
        <w:t xml:space="preserve">a more </w:t>
      </w:r>
      <w:r w:rsidRPr="00F0522E">
        <w:rPr>
          <w:rFonts w:ascii="Arial" w:eastAsia="Arial" w:hAnsi="Arial" w:cs="Arial"/>
          <w:sz w:val="24"/>
          <w:szCs w:val="24"/>
        </w:rPr>
        <w:t>transparent</w:t>
      </w:r>
      <w:r w:rsidR="3EBEFC94" w:rsidRPr="00F0522E">
        <w:rPr>
          <w:rFonts w:ascii="Arial" w:eastAsia="Arial" w:hAnsi="Arial" w:cs="Arial"/>
          <w:sz w:val="24"/>
          <w:szCs w:val="24"/>
        </w:rPr>
        <w:t xml:space="preserve"> and effective</w:t>
      </w:r>
      <w:r w:rsidRPr="00F0522E">
        <w:rPr>
          <w:rFonts w:ascii="Arial" w:eastAsia="Arial" w:hAnsi="Arial" w:cs="Arial"/>
          <w:sz w:val="24"/>
          <w:szCs w:val="24"/>
        </w:rPr>
        <w:t xml:space="preserve"> </w:t>
      </w:r>
      <w:r w:rsidR="4B0DE17A" w:rsidRPr="00F0522E">
        <w:rPr>
          <w:rFonts w:ascii="Arial" w:eastAsia="Arial" w:hAnsi="Arial" w:cs="Arial"/>
          <w:sz w:val="24"/>
          <w:szCs w:val="24"/>
        </w:rPr>
        <w:t>development system</w:t>
      </w:r>
      <w:r w:rsidRPr="00F0522E">
        <w:rPr>
          <w:rFonts w:ascii="Arial" w:eastAsia="Arial" w:hAnsi="Arial" w:cs="Arial"/>
          <w:sz w:val="24"/>
          <w:szCs w:val="24"/>
        </w:rPr>
        <w:t>.</w:t>
      </w:r>
    </w:p>
    <w:p w14:paraId="45D0E2A3" w14:textId="58DA8C24" w:rsidR="40C828EB" w:rsidRPr="00F0522E" w:rsidRDefault="446D23D5" w:rsidP="1DACEA4C">
      <w:pPr>
        <w:spacing w:before="240" w:after="240"/>
        <w:rPr>
          <w:rFonts w:ascii="Arial" w:eastAsia="Arial" w:hAnsi="Arial" w:cs="Arial"/>
          <w:sz w:val="24"/>
          <w:szCs w:val="24"/>
        </w:rPr>
      </w:pPr>
      <w:r w:rsidRPr="00F0522E">
        <w:rPr>
          <w:rFonts w:ascii="Arial" w:eastAsia="Arial" w:hAnsi="Arial" w:cs="Arial"/>
          <w:sz w:val="24"/>
          <w:szCs w:val="24"/>
        </w:rPr>
        <w:t xml:space="preserve">IATI </w:t>
      </w:r>
      <w:r w:rsidR="5ABCB2E2" w:rsidRPr="00F0522E">
        <w:rPr>
          <w:rFonts w:ascii="Arial" w:eastAsia="Arial" w:hAnsi="Arial" w:cs="Arial"/>
          <w:sz w:val="24"/>
          <w:szCs w:val="24"/>
        </w:rPr>
        <w:t xml:space="preserve">offers </w:t>
      </w:r>
      <w:r w:rsidRPr="00F0522E">
        <w:rPr>
          <w:rFonts w:ascii="Arial" w:eastAsia="Arial" w:hAnsi="Arial" w:cs="Arial"/>
          <w:sz w:val="24"/>
          <w:szCs w:val="24"/>
        </w:rPr>
        <w:t>the operational experience and multilateral p</w:t>
      </w:r>
      <w:r w:rsidR="61A672D9" w:rsidRPr="00F0522E">
        <w:rPr>
          <w:rFonts w:ascii="Arial" w:eastAsia="Arial" w:hAnsi="Arial" w:cs="Arial"/>
          <w:sz w:val="24"/>
          <w:szCs w:val="24"/>
        </w:rPr>
        <w:t xml:space="preserve">latform </w:t>
      </w:r>
      <w:r w:rsidRPr="00F0522E">
        <w:rPr>
          <w:rFonts w:ascii="Arial" w:eastAsia="Arial" w:hAnsi="Arial" w:cs="Arial"/>
          <w:sz w:val="24"/>
          <w:szCs w:val="24"/>
        </w:rPr>
        <w:t xml:space="preserve">to </w:t>
      </w:r>
      <w:r w:rsidR="466AF9D8" w:rsidRPr="00F0522E">
        <w:rPr>
          <w:rFonts w:ascii="Arial" w:eastAsia="Arial" w:hAnsi="Arial" w:cs="Arial"/>
          <w:sz w:val="24"/>
          <w:szCs w:val="24"/>
        </w:rPr>
        <w:t>be</w:t>
      </w:r>
      <w:r w:rsidRPr="00F0522E">
        <w:rPr>
          <w:rFonts w:ascii="Arial" w:eastAsia="Arial" w:hAnsi="Arial" w:cs="Arial"/>
          <w:sz w:val="24"/>
          <w:szCs w:val="24"/>
        </w:rPr>
        <w:t xml:space="preserve"> pivotal in </w:t>
      </w:r>
      <w:r w:rsidR="1C5EF777" w:rsidRPr="00F0522E">
        <w:rPr>
          <w:rFonts w:ascii="Arial" w:eastAsia="Arial" w:hAnsi="Arial" w:cs="Arial"/>
          <w:sz w:val="24"/>
          <w:szCs w:val="24"/>
        </w:rPr>
        <w:t xml:space="preserve">operationalising </w:t>
      </w:r>
      <w:r w:rsidR="5774004B" w:rsidRPr="00F0522E">
        <w:rPr>
          <w:rFonts w:ascii="Arial" w:eastAsia="Arial" w:hAnsi="Arial" w:cs="Arial"/>
          <w:sz w:val="24"/>
          <w:szCs w:val="24"/>
        </w:rPr>
        <w:t>I</w:t>
      </w:r>
      <w:r w:rsidR="5774004B" w:rsidRPr="00F0522E">
        <w:rPr>
          <w:rFonts w:ascii="Arial" w:eastAsia="Arial" w:hAnsi="Arial" w:cs="Arial"/>
        </w:rPr>
        <w:t>ntegrated National Financing Frameworks (INFFs). B</w:t>
      </w:r>
      <w:r w:rsidRPr="00F0522E">
        <w:rPr>
          <w:rFonts w:ascii="Arial" w:eastAsia="Arial" w:hAnsi="Arial" w:cs="Arial"/>
          <w:sz w:val="24"/>
          <w:szCs w:val="24"/>
        </w:rPr>
        <w:t xml:space="preserve">y providing </w:t>
      </w:r>
      <w:r w:rsidR="7034404C" w:rsidRPr="00F0522E">
        <w:rPr>
          <w:rFonts w:ascii="Arial" w:eastAsia="Arial" w:hAnsi="Arial" w:cs="Arial"/>
          <w:sz w:val="24"/>
          <w:szCs w:val="24"/>
        </w:rPr>
        <w:t xml:space="preserve">the </w:t>
      </w:r>
      <w:r w:rsidRPr="00F0522E">
        <w:rPr>
          <w:rFonts w:ascii="Arial" w:eastAsia="Arial" w:hAnsi="Arial" w:cs="Arial"/>
          <w:sz w:val="24"/>
          <w:szCs w:val="24"/>
        </w:rPr>
        <w:t xml:space="preserve">open, comprehensive data </w:t>
      </w:r>
      <w:r w:rsidR="69D89500" w:rsidRPr="00F0522E">
        <w:rPr>
          <w:rFonts w:ascii="Arial" w:eastAsia="Arial" w:hAnsi="Arial" w:cs="Arial"/>
          <w:sz w:val="24"/>
          <w:szCs w:val="24"/>
        </w:rPr>
        <w:t>for</w:t>
      </w:r>
      <w:r w:rsidRPr="00F0522E">
        <w:rPr>
          <w:rFonts w:ascii="Arial" w:eastAsia="Arial" w:hAnsi="Arial" w:cs="Arial"/>
          <w:sz w:val="24"/>
          <w:szCs w:val="24"/>
        </w:rPr>
        <w:t xml:space="preserve"> all</w:t>
      </w:r>
      <w:r w:rsidR="0011B038" w:rsidRPr="00F0522E">
        <w:rPr>
          <w:rFonts w:ascii="Arial" w:eastAsia="Arial" w:hAnsi="Arial" w:cs="Arial"/>
          <w:sz w:val="24"/>
          <w:szCs w:val="24"/>
        </w:rPr>
        <w:t xml:space="preserve"> international</w:t>
      </w:r>
      <w:r w:rsidRPr="00F0522E">
        <w:rPr>
          <w:rFonts w:ascii="Arial" w:eastAsia="Arial" w:hAnsi="Arial" w:cs="Arial"/>
          <w:sz w:val="24"/>
          <w:szCs w:val="24"/>
        </w:rPr>
        <w:t xml:space="preserve"> </w:t>
      </w:r>
      <w:r w:rsidR="05AE76FD" w:rsidRPr="00F0522E">
        <w:rPr>
          <w:rFonts w:ascii="Arial" w:eastAsia="Arial" w:hAnsi="Arial" w:cs="Arial"/>
          <w:sz w:val="24"/>
          <w:szCs w:val="24"/>
        </w:rPr>
        <w:t xml:space="preserve">development </w:t>
      </w:r>
      <w:r w:rsidRPr="00F0522E">
        <w:rPr>
          <w:rFonts w:ascii="Arial" w:eastAsia="Arial" w:hAnsi="Arial" w:cs="Arial"/>
          <w:sz w:val="24"/>
          <w:szCs w:val="24"/>
        </w:rPr>
        <w:t>financial flows in real-time</w:t>
      </w:r>
      <w:r w:rsidR="195FF0DF" w:rsidRPr="00F0522E">
        <w:rPr>
          <w:rFonts w:ascii="Arial" w:eastAsia="Arial" w:hAnsi="Arial" w:cs="Arial"/>
          <w:sz w:val="24"/>
          <w:szCs w:val="24"/>
        </w:rPr>
        <w:t xml:space="preserve">, </w:t>
      </w:r>
      <w:r w:rsidRPr="00F0522E">
        <w:rPr>
          <w:rFonts w:ascii="Arial" w:eastAsia="Arial" w:hAnsi="Arial" w:cs="Arial"/>
          <w:sz w:val="24"/>
          <w:szCs w:val="24"/>
        </w:rPr>
        <w:t>IATI’s open data standard ensures that governments can integrate all international resources—whether traditional ODA, private sector investments, climate finance, or South-South cooperation—into their financing frameworks</w:t>
      </w:r>
      <w:r w:rsidR="60E07CA4" w:rsidRPr="00F0522E">
        <w:rPr>
          <w:rFonts w:ascii="Arial" w:eastAsia="Arial" w:hAnsi="Arial" w:cs="Arial"/>
          <w:sz w:val="24"/>
          <w:szCs w:val="24"/>
        </w:rPr>
        <w:t>.</w:t>
      </w:r>
      <w:r w:rsidRPr="00F0522E">
        <w:rPr>
          <w:rFonts w:ascii="Arial" w:eastAsia="Arial" w:hAnsi="Arial" w:cs="Arial"/>
          <w:sz w:val="24"/>
          <w:szCs w:val="24"/>
        </w:rPr>
        <w:t xml:space="preserve"> This enhanced transparency fosters accountability, strengthens governance, and empowers countries to take full ownership of their development agendas, all while ensuring alignment with global public goods</w:t>
      </w:r>
      <w:r w:rsidR="33E4D7B1" w:rsidRPr="00F0522E">
        <w:rPr>
          <w:rFonts w:ascii="Arial" w:eastAsia="Arial" w:hAnsi="Arial" w:cs="Arial"/>
          <w:sz w:val="24"/>
          <w:szCs w:val="24"/>
        </w:rPr>
        <w:t xml:space="preserve"> (</w:t>
      </w:r>
      <w:r w:rsidR="5A04B190" w:rsidRPr="00F0522E">
        <w:rPr>
          <w:rFonts w:ascii="Arial" w:eastAsia="Arial" w:hAnsi="Arial" w:cs="Arial"/>
          <w:sz w:val="24"/>
          <w:szCs w:val="24"/>
        </w:rPr>
        <w:t>which can be reported under SDG 17.3.1</w:t>
      </w:r>
      <w:r w:rsidR="04BA54A6" w:rsidRPr="00F0522E">
        <w:rPr>
          <w:rFonts w:ascii="Arial" w:eastAsia="Arial" w:hAnsi="Arial" w:cs="Arial"/>
          <w:sz w:val="24"/>
          <w:szCs w:val="24"/>
        </w:rPr>
        <w:t>)</w:t>
      </w:r>
      <w:r w:rsidRPr="00F0522E">
        <w:rPr>
          <w:rFonts w:ascii="Arial" w:eastAsia="Arial" w:hAnsi="Arial" w:cs="Arial"/>
          <w:sz w:val="24"/>
          <w:szCs w:val="24"/>
        </w:rPr>
        <w:t>.</w:t>
      </w:r>
      <w:r w:rsidR="6902413C" w:rsidRPr="00F0522E">
        <w:rPr>
          <w:rFonts w:ascii="Arial" w:eastAsia="Arial" w:hAnsi="Arial" w:cs="Arial"/>
          <w:sz w:val="24"/>
          <w:szCs w:val="24"/>
        </w:rPr>
        <w:t xml:space="preserve">  IATI data is already being reported on climate action and the IATI Standard has been utilised in previous reporting frameworks, including the United Nations system-wide reporting of financial data and the Grand Bargain’s reporting of humanitarian financing. </w:t>
      </w:r>
    </w:p>
    <w:p w14:paraId="59C91285" w14:textId="32C0A412" w:rsidR="40C828EB" w:rsidRPr="00F0522E" w:rsidRDefault="681A3A15" w:rsidP="1DACEA4C">
      <w:pPr>
        <w:spacing w:before="240" w:after="240"/>
        <w:rPr>
          <w:rFonts w:ascii="Arial" w:eastAsia="Arial" w:hAnsi="Arial" w:cs="Arial"/>
          <w:sz w:val="24"/>
          <w:szCs w:val="24"/>
        </w:rPr>
      </w:pPr>
      <w:r w:rsidRPr="00F0522E">
        <w:rPr>
          <w:rFonts w:ascii="Arial" w:eastAsia="Arial" w:hAnsi="Arial" w:cs="Arial"/>
          <w:sz w:val="24"/>
          <w:szCs w:val="24"/>
        </w:rPr>
        <w:t>There ar</w:t>
      </w:r>
      <w:r w:rsidR="0B4080EF" w:rsidRPr="00F0522E">
        <w:rPr>
          <w:rFonts w:ascii="Arial" w:eastAsia="Arial" w:hAnsi="Arial" w:cs="Arial"/>
          <w:sz w:val="24"/>
          <w:szCs w:val="24"/>
        </w:rPr>
        <w:t xml:space="preserve">e actionable reforms </w:t>
      </w:r>
      <w:r w:rsidR="1844453B" w:rsidRPr="00F0522E">
        <w:rPr>
          <w:rFonts w:ascii="Arial" w:eastAsia="Arial" w:hAnsi="Arial" w:cs="Arial"/>
          <w:sz w:val="24"/>
          <w:szCs w:val="24"/>
        </w:rPr>
        <w:t>for the international community to consider</w:t>
      </w:r>
      <w:r w:rsidR="0B4080EF" w:rsidRPr="00F0522E">
        <w:rPr>
          <w:rFonts w:ascii="Arial" w:eastAsia="Arial" w:hAnsi="Arial" w:cs="Arial"/>
          <w:sz w:val="24"/>
          <w:szCs w:val="24"/>
        </w:rPr>
        <w:t>.</w:t>
      </w:r>
      <w:r w:rsidR="7FF96811" w:rsidRPr="00F0522E">
        <w:rPr>
          <w:rFonts w:ascii="Arial" w:eastAsia="Arial" w:hAnsi="Arial" w:cs="Arial"/>
          <w:sz w:val="24"/>
          <w:szCs w:val="24"/>
        </w:rPr>
        <w:t xml:space="preserve"> </w:t>
      </w:r>
    </w:p>
    <w:p w14:paraId="19B613CA" w14:textId="0A9AA9A1" w:rsidR="40C828EB" w:rsidRPr="00F0522E" w:rsidRDefault="0991A6B0" w:rsidP="1DACEA4C">
      <w:pPr>
        <w:pStyle w:val="ListParagraph"/>
        <w:numPr>
          <w:ilvl w:val="0"/>
          <w:numId w:val="17"/>
        </w:numPr>
        <w:rPr>
          <w:rFonts w:ascii="Arial" w:eastAsia="Arial" w:hAnsi="Arial" w:cs="Arial"/>
          <w:sz w:val="24"/>
          <w:szCs w:val="24"/>
        </w:rPr>
      </w:pPr>
      <w:r w:rsidRPr="00F0522E">
        <w:rPr>
          <w:rFonts w:ascii="Arial" w:eastAsia="Arial" w:hAnsi="Arial" w:cs="Arial"/>
          <w:b/>
          <w:bCs/>
          <w:sz w:val="24"/>
          <w:szCs w:val="24"/>
        </w:rPr>
        <w:t xml:space="preserve">A new commitment is needed to ensure all international resources for sustainable development and global public goods are transparent. </w:t>
      </w:r>
      <w:r w:rsidRPr="00F0522E">
        <w:rPr>
          <w:rFonts w:ascii="Arial" w:eastAsia="Arial" w:hAnsi="Arial" w:cs="Arial"/>
          <w:sz w:val="24"/>
          <w:szCs w:val="24"/>
        </w:rPr>
        <w:t>Since 2015, the complexity of the international financing landscape has grown exponentially, requiring greater transparency to enhance effectiveness and trust in international cooperation.</w:t>
      </w:r>
    </w:p>
    <w:p w14:paraId="05EC60E6" w14:textId="0311A98A" w:rsidR="2E29703C" w:rsidRPr="00F0522E" w:rsidRDefault="2E29703C" w:rsidP="2E29703C">
      <w:pPr>
        <w:pStyle w:val="ListParagraph"/>
        <w:rPr>
          <w:rFonts w:ascii="Arial" w:eastAsia="Arial" w:hAnsi="Arial" w:cs="Arial"/>
          <w:sz w:val="24"/>
          <w:szCs w:val="24"/>
        </w:rPr>
      </w:pPr>
    </w:p>
    <w:p w14:paraId="5107DB43" w14:textId="738F8F57" w:rsidR="40C828EB" w:rsidRPr="00F0522E" w:rsidRDefault="0991A6B0" w:rsidP="2E29703C">
      <w:pPr>
        <w:pStyle w:val="ListParagraph"/>
        <w:numPr>
          <w:ilvl w:val="0"/>
          <w:numId w:val="17"/>
        </w:numPr>
        <w:rPr>
          <w:rFonts w:ascii="Arial" w:eastAsia="Arial" w:hAnsi="Arial" w:cs="Arial"/>
        </w:rPr>
      </w:pPr>
      <w:r w:rsidRPr="00F0522E">
        <w:rPr>
          <w:rFonts w:ascii="Arial" w:eastAsia="Arial" w:hAnsi="Arial" w:cs="Arial"/>
        </w:rPr>
        <w:t>T</w:t>
      </w:r>
      <w:r w:rsidRPr="00F0522E">
        <w:rPr>
          <w:rFonts w:ascii="Arial" w:eastAsia="Arial" w:hAnsi="Arial" w:cs="Arial"/>
          <w:b/>
          <w:bCs/>
        </w:rPr>
        <w:t>he global community should commit to publishing data on all international resources via the International Aid Transparency Initiative (IATI).</w:t>
      </w:r>
      <w:r w:rsidRPr="00F0522E">
        <w:rPr>
          <w:rFonts w:ascii="Arial" w:eastAsia="Arial" w:hAnsi="Arial" w:cs="Arial"/>
        </w:rPr>
        <w:t xml:space="preserve"> Already, 1,700 entities—including governments, MDBs, foundations and investment funds—have endorsed IATI’s data Standard by publishing $3.5 trillion. Their efforts have extended transparency beyond traditional ODA reporting.</w:t>
      </w:r>
    </w:p>
    <w:p w14:paraId="5B3564C6" w14:textId="2FC6433B" w:rsidR="2E29703C" w:rsidRPr="00F0522E" w:rsidRDefault="2E29703C" w:rsidP="2E29703C">
      <w:pPr>
        <w:pStyle w:val="ListParagraph"/>
        <w:rPr>
          <w:rFonts w:ascii="Arial" w:eastAsia="Arial" w:hAnsi="Arial" w:cs="Arial"/>
        </w:rPr>
      </w:pPr>
    </w:p>
    <w:p w14:paraId="12163EBF" w14:textId="13FFDCE4" w:rsidR="40C828EB" w:rsidRPr="00F0522E" w:rsidRDefault="0991A6B0" w:rsidP="2E29703C">
      <w:pPr>
        <w:pStyle w:val="ListParagraph"/>
        <w:numPr>
          <w:ilvl w:val="0"/>
          <w:numId w:val="17"/>
        </w:numPr>
        <w:rPr>
          <w:rFonts w:ascii="Arial" w:eastAsia="Arial" w:hAnsi="Arial" w:cs="Arial"/>
        </w:rPr>
      </w:pPr>
      <w:r w:rsidRPr="00F0522E">
        <w:rPr>
          <w:rFonts w:ascii="Arial" w:eastAsia="Arial" w:hAnsi="Arial" w:cs="Arial"/>
          <w:b/>
          <w:bCs/>
        </w:rPr>
        <w:t>By publishing to IATI, governments gain greater visibility of resources at the country level through a single, comparable standard.</w:t>
      </w:r>
      <w:r w:rsidRPr="00F0522E">
        <w:rPr>
          <w:rFonts w:ascii="Arial" w:eastAsia="Arial" w:hAnsi="Arial" w:cs="Arial"/>
        </w:rPr>
        <w:t xml:space="preserve"> Every year more governments leverage IATI’s unparalleled timely, forward-looking and project-level </w:t>
      </w:r>
      <w:r w:rsidRPr="00F0522E">
        <w:rPr>
          <w:rFonts w:ascii="Arial" w:eastAsia="Arial" w:hAnsi="Arial" w:cs="Arial"/>
        </w:rPr>
        <w:lastRenderedPageBreak/>
        <w:t xml:space="preserve">dataset for budgeting and development planning. IATI data also offers value for informing Integrated National Financing Frameworks (INFFs). </w:t>
      </w:r>
    </w:p>
    <w:p w14:paraId="3C79932F" w14:textId="7027C394" w:rsidR="2E29703C" w:rsidRPr="00F0522E" w:rsidRDefault="2E29703C" w:rsidP="2E29703C">
      <w:pPr>
        <w:pStyle w:val="ListParagraph"/>
        <w:rPr>
          <w:rFonts w:ascii="Arial" w:eastAsia="Arial" w:hAnsi="Arial" w:cs="Arial"/>
        </w:rPr>
      </w:pPr>
    </w:p>
    <w:p w14:paraId="400DB173" w14:textId="32199FD7" w:rsidR="40C828EB" w:rsidRPr="00F0522E" w:rsidRDefault="0991A6B0" w:rsidP="2E29703C">
      <w:pPr>
        <w:pStyle w:val="ListParagraph"/>
        <w:numPr>
          <w:ilvl w:val="0"/>
          <w:numId w:val="17"/>
        </w:numPr>
        <w:rPr>
          <w:rFonts w:ascii="Arial" w:eastAsia="Arial" w:hAnsi="Arial" w:cs="Arial"/>
        </w:rPr>
      </w:pPr>
      <w:r w:rsidRPr="00F0522E">
        <w:rPr>
          <w:rFonts w:ascii="Arial" w:eastAsia="Arial" w:hAnsi="Arial" w:cs="Arial"/>
          <w:b/>
          <w:bCs/>
        </w:rPr>
        <w:t>IATI’s flexible open data Standard provides a framework for tracking financing for global public goods, which can be reported under SDG 17.3.1.</w:t>
      </w:r>
      <w:r w:rsidRPr="00F0522E">
        <w:rPr>
          <w:rFonts w:ascii="Arial" w:eastAsia="Arial" w:hAnsi="Arial" w:cs="Arial"/>
        </w:rPr>
        <w:t xml:space="preserve"> IATI data is already being reported on climate action and the IATI Standard has been utilised in previous reporting frameworks, including the United Nations system-wide reporting of financial data and the Grand Bargain’s reporting of humanitarian financing.</w:t>
      </w:r>
    </w:p>
    <w:p w14:paraId="18D93FEF" w14:textId="6006C1A1" w:rsidR="40C828EB" w:rsidRPr="00F0522E" w:rsidRDefault="40C828EB" w:rsidP="1DACEA4C">
      <w:pPr>
        <w:rPr>
          <w:rFonts w:ascii="Arial" w:eastAsia="Arial" w:hAnsi="Arial" w:cs="Arial"/>
          <w:b/>
          <w:bCs/>
        </w:rPr>
      </w:pPr>
    </w:p>
    <w:p w14:paraId="639B9D0A" w14:textId="2F9F2207" w:rsidR="40C828EB" w:rsidRPr="00F0522E" w:rsidRDefault="61B2191F" w:rsidP="1DACEA4C">
      <w:pPr>
        <w:pStyle w:val="Heading3"/>
        <w:numPr>
          <w:ilvl w:val="0"/>
          <w:numId w:val="10"/>
        </w:numPr>
        <w:rPr>
          <w:rFonts w:ascii="Arial" w:eastAsia="Arial" w:hAnsi="Arial" w:cs="Arial"/>
          <w:sz w:val="32"/>
          <w:szCs w:val="32"/>
        </w:rPr>
      </w:pPr>
      <w:r w:rsidRPr="00F0522E">
        <w:rPr>
          <w:rFonts w:ascii="Arial" w:eastAsia="Arial" w:hAnsi="Arial" w:cs="Arial"/>
          <w:sz w:val="32"/>
          <w:szCs w:val="32"/>
        </w:rPr>
        <w:t>A global financing framework</w:t>
      </w:r>
    </w:p>
    <w:p w14:paraId="3C673F42" w14:textId="45F380BD" w:rsidR="40C828EB" w:rsidRPr="00F0522E" w:rsidRDefault="40C828EB" w:rsidP="1DACEA4C">
      <w:pPr>
        <w:rPr>
          <w:rFonts w:ascii="Arial" w:eastAsia="Arial" w:hAnsi="Arial" w:cs="Arial"/>
          <w:sz w:val="24"/>
          <w:szCs w:val="24"/>
        </w:rPr>
      </w:pPr>
      <w:r w:rsidRPr="00F0522E">
        <w:rPr>
          <w:rFonts w:ascii="Arial" w:eastAsia="Arial" w:hAnsi="Arial" w:cs="Arial"/>
          <w:sz w:val="24"/>
          <w:szCs w:val="24"/>
        </w:rPr>
        <w:t>The 2024 Financing for Sustainable Development Report (FSDR) highlighted that the landscape of development finance has become more complex</w:t>
      </w:r>
      <w:r w:rsidR="1248E00E" w:rsidRPr="00F0522E">
        <w:rPr>
          <w:rFonts w:ascii="Arial" w:eastAsia="Arial" w:hAnsi="Arial" w:cs="Arial"/>
          <w:sz w:val="24"/>
          <w:szCs w:val="24"/>
        </w:rPr>
        <w:t>.</w:t>
      </w:r>
      <w:r w:rsidRPr="00F0522E">
        <w:rPr>
          <w:rFonts w:ascii="Arial" w:eastAsia="Arial" w:hAnsi="Arial" w:cs="Arial"/>
          <w:sz w:val="24"/>
          <w:szCs w:val="24"/>
        </w:rPr>
        <w:t xml:space="preserve"> As new actors and diverse funding sources enter the development space, the need for reliable, high-quality data on financial flows has become critical. </w:t>
      </w:r>
    </w:p>
    <w:p w14:paraId="6F47D55A" w14:textId="5CE4B99B" w:rsidR="40C828EB" w:rsidRPr="00F0522E" w:rsidRDefault="40C828EB" w:rsidP="1DACEA4C">
      <w:pPr>
        <w:spacing w:before="240" w:after="240"/>
        <w:rPr>
          <w:rFonts w:ascii="Arial" w:eastAsia="Arial" w:hAnsi="Arial" w:cs="Arial"/>
          <w:sz w:val="24"/>
          <w:szCs w:val="24"/>
        </w:rPr>
      </w:pPr>
      <w:r w:rsidRPr="00F0522E">
        <w:rPr>
          <w:rFonts w:ascii="Arial" w:eastAsia="Arial" w:hAnsi="Arial" w:cs="Arial"/>
          <w:sz w:val="24"/>
          <w:szCs w:val="24"/>
        </w:rPr>
        <w:t xml:space="preserve">Although the AAAA Outcome Document recognised the importance of transparency and the publication of “timely, comprehensive and forward-looking information on development activities in a common, open, electronic format”, governments still lack access to this </w:t>
      </w:r>
      <w:r w:rsidR="350629A6" w:rsidRPr="00F0522E">
        <w:rPr>
          <w:rFonts w:ascii="Arial" w:eastAsia="Arial" w:hAnsi="Arial" w:cs="Arial"/>
          <w:sz w:val="24"/>
          <w:szCs w:val="24"/>
        </w:rPr>
        <w:t xml:space="preserve">critical </w:t>
      </w:r>
      <w:r w:rsidRPr="00F0522E">
        <w:rPr>
          <w:rFonts w:ascii="Arial" w:eastAsia="Arial" w:hAnsi="Arial" w:cs="Arial"/>
          <w:sz w:val="24"/>
          <w:szCs w:val="24"/>
        </w:rPr>
        <w:t xml:space="preserve">data. </w:t>
      </w:r>
    </w:p>
    <w:p w14:paraId="1582AF49" w14:textId="5B338711" w:rsidR="40C828EB" w:rsidRPr="00F0522E" w:rsidRDefault="40C828EB" w:rsidP="1DACEA4C">
      <w:pPr>
        <w:spacing w:before="240" w:after="240"/>
        <w:rPr>
          <w:rFonts w:ascii="Arial" w:eastAsia="Arial" w:hAnsi="Arial" w:cs="Arial"/>
          <w:sz w:val="24"/>
          <w:szCs w:val="24"/>
        </w:rPr>
      </w:pPr>
      <w:r w:rsidRPr="00F0522E">
        <w:rPr>
          <w:rFonts w:ascii="Arial" w:eastAsia="Arial" w:hAnsi="Arial" w:cs="Arial"/>
          <w:sz w:val="24"/>
          <w:szCs w:val="24"/>
        </w:rPr>
        <w:t xml:space="preserve">Furthermore the 2024 Financing for Sustainable Development Report (FSDR)—highlighted that “there has been limited progress on country ownership” and said this agenda along with the effectiveness agenda needed to be revitalised. Without governments knowing what resources are coming into their countries, when and for what purposes, they lack </w:t>
      </w:r>
      <w:r w:rsidR="0EA326B0" w:rsidRPr="00F0522E">
        <w:rPr>
          <w:rFonts w:ascii="Arial" w:eastAsia="Arial" w:hAnsi="Arial" w:cs="Arial"/>
          <w:sz w:val="24"/>
          <w:szCs w:val="24"/>
        </w:rPr>
        <w:t>the</w:t>
      </w:r>
      <w:r w:rsidRPr="00F0522E">
        <w:rPr>
          <w:rFonts w:ascii="Arial" w:eastAsia="Arial" w:hAnsi="Arial" w:cs="Arial"/>
          <w:sz w:val="24"/>
          <w:szCs w:val="24"/>
        </w:rPr>
        <w:t xml:space="preserve"> information to align them with domestic resources and national development priorities, undermining the principles of country ownership and effectiveness. </w:t>
      </w:r>
    </w:p>
    <w:p w14:paraId="78F1045A" w14:textId="31069B67" w:rsidR="40C828EB" w:rsidRPr="00F0522E" w:rsidRDefault="40C828EB" w:rsidP="1DACEA4C">
      <w:pPr>
        <w:spacing w:before="240" w:after="240"/>
        <w:rPr>
          <w:rFonts w:ascii="Arial" w:eastAsia="Arial" w:hAnsi="Arial" w:cs="Arial"/>
          <w:sz w:val="24"/>
          <w:szCs w:val="24"/>
        </w:rPr>
      </w:pPr>
      <w:r w:rsidRPr="00F0522E">
        <w:rPr>
          <w:rFonts w:ascii="Arial" w:eastAsia="Arial" w:hAnsi="Arial" w:cs="Arial"/>
          <w:sz w:val="24"/>
          <w:szCs w:val="24"/>
        </w:rPr>
        <w:t>Resources for global public goods is growing, with innovative instruments being used to mobilise such financing. These resources need to be visible to governments at the country level and transparent for public scrutiny to build trust in this emerging form of international cooperation.</w:t>
      </w:r>
    </w:p>
    <w:p w14:paraId="304819A9" w14:textId="1E0DFB3A" w:rsidR="7668E7BC" w:rsidRPr="00F0522E" w:rsidRDefault="7668E7BC" w:rsidP="1DACEA4C">
      <w:pPr>
        <w:spacing w:after="240"/>
        <w:rPr>
          <w:rFonts w:ascii="Arial" w:eastAsia="Arial" w:hAnsi="Arial" w:cs="Arial"/>
          <w:sz w:val="24"/>
          <w:szCs w:val="24"/>
        </w:rPr>
      </w:pPr>
      <w:r w:rsidRPr="00F0522E">
        <w:rPr>
          <w:rFonts w:ascii="Arial" w:eastAsia="Arial" w:hAnsi="Arial" w:cs="Arial"/>
          <w:sz w:val="24"/>
          <w:szCs w:val="24"/>
        </w:rPr>
        <w:t>For governments to effectively align these resources with their national development priorities, they need reliable, real-time data on financial flows. INFFs serve as the backbone for this coordination by allowing countries to manage, plan, and monitor financing from both public and private sources, including international development cooperation, domestic resources, and global public goods. However, without transparency, the alignment of these resources becomes a significant challenge.</w:t>
      </w:r>
    </w:p>
    <w:p w14:paraId="4678CB31" w14:textId="71A74A85" w:rsidR="26F4AAFB" w:rsidRPr="00F0522E" w:rsidRDefault="26F4AAFB" w:rsidP="1DACEA4C">
      <w:pPr>
        <w:rPr>
          <w:rFonts w:ascii="Arial" w:eastAsia="Arial" w:hAnsi="Arial" w:cs="Arial"/>
          <w:sz w:val="28"/>
          <w:szCs w:val="28"/>
        </w:rPr>
      </w:pPr>
      <w:r w:rsidRPr="00F0522E">
        <w:rPr>
          <w:rFonts w:ascii="Arial" w:eastAsia="Arial" w:hAnsi="Arial" w:cs="Arial"/>
          <w:sz w:val="24"/>
          <w:szCs w:val="24"/>
        </w:rPr>
        <w:t xml:space="preserve">IATI encourages all organisations involved in providing and implementing international resources to address poverty and crises—such as donor governments, development finance institutions, and foundations—to publish data throughout international delivery chains. This data is shared using the IATI Standard, a framework designed to ensure that development and humanitarian information is </w:t>
      </w:r>
      <w:r w:rsidRPr="00F0522E">
        <w:rPr>
          <w:rFonts w:ascii="Arial" w:eastAsia="Arial" w:hAnsi="Arial" w:cs="Arial"/>
          <w:sz w:val="24"/>
          <w:szCs w:val="24"/>
        </w:rPr>
        <w:lastRenderedPageBreak/>
        <w:t>useful and accessible. Once published, IATI data is freely available online for anyone to access.</w:t>
      </w:r>
    </w:p>
    <w:p w14:paraId="3F7509D1" w14:textId="0BAB1287" w:rsidR="7668E7BC" w:rsidRPr="00F0522E" w:rsidRDefault="7668E7BC" w:rsidP="1DACEA4C">
      <w:pPr>
        <w:spacing w:before="240" w:after="240"/>
        <w:rPr>
          <w:rFonts w:ascii="Arial" w:eastAsia="Arial" w:hAnsi="Arial" w:cs="Arial"/>
          <w:sz w:val="24"/>
          <w:szCs w:val="24"/>
        </w:rPr>
      </w:pPr>
      <w:r w:rsidRPr="00F0522E">
        <w:rPr>
          <w:rFonts w:ascii="Arial" w:eastAsia="Arial" w:hAnsi="Arial" w:cs="Arial"/>
          <w:sz w:val="24"/>
          <w:szCs w:val="24"/>
        </w:rPr>
        <w:t>IATI's data platform offers a solution. By adopting IATI's open data standards, countries can incorporate all international financial flows into their INFFs, providing greater visibility and oversight at the country level. IATI ensures that data is timely, forward-looking, and project-specific, enabling governments to track how resources are allocated and ensure they align with national development strategies. This transparency is critical to revitalizing the AAAA agenda, particularly in fragile and conflict-affected contexts where resource allocation needs to be closely monitored to ensure impact.</w:t>
      </w:r>
    </w:p>
    <w:p w14:paraId="59DA53C0" w14:textId="76C72625" w:rsidR="561D7132" w:rsidRPr="00F0522E" w:rsidRDefault="561D7132" w:rsidP="1DACEA4C">
      <w:pPr>
        <w:pStyle w:val="Heading3"/>
        <w:rPr>
          <w:rFonts w:ascii="Arial" w:eastAsia="Arial" w:hAnsi="Arial" w:cs="Arial"/>
          <w:sz w:val="32"/>
          <w:szCs w:val="32"/>
        </w:rPr>
      </w:pPr>
      <w:r w:rsidRPr="00F0522E">
        <w:rPr>
          <w:rFonts w:ascii="Arial" w:eastAsia="Arial" w:hAnsi="Arial" w:cs="Arial"/>
        </w:rPr>
        <w:t>II. Action Areas</w:t>
      </w:r>
    </w:p>
    <w:p w14:paraId="6ED0CE96" w14:textId="428648BD" w:rsidR="561D7132" w:rsidRPr="00F0522E" w:rsidRDefault="561D7132" w:rsidP="1DACEA4C">
      <w:pPr>
        <w:spacing w:before="240" w:after="240"/>
        <w:rPr>
          <w:rFonts w:ascii="Arial" w:eastAsia="Arial" w:hAnsi="Arial" w:cs="Arial"/>
          <w:b/>
          <w:bCs/>
        </w:rPr>
      </w:pPr>
      <w:r w:rsidRPr="00F0522E">
        <w:rPr>
          <w:rFonts w:ascii="Arial" w:eastAsia="Arial" w:hAnsi="Arial" w:cs="Arial"/>
          <w:b/>
          <w:bCs/>
        </w:rPr>
        <w:t>A) Domestic Resources</w:t>
      </w:r>
    </w:p>
    <w:p w14:paraId="06AA717C" w14:textId="3CE229D5" w:rsidR="561D7132" w:rsidRPr="00F0522E" w:rsidRDefault="561D7132" w:rsidP="1DACEA4C">
      <w:pPr>
        <w:spacing w:before="240" w:after="240"/>
        <w:rPr>
          <w:rFonts w:ascii="Arial" w:eastAsia="Arial" w:hAnsi="Arial" w:cs="Arial"/>
        </w:rPr>
      </w:pPr>
      <w:r w:rsidRPr="00F0522E">
        <w:rPr>
          <w:rFonts w:ascii="Arial" w:eastAsia="Arial" w:hAnsi="Arial" w:cs="Arial"/>
        </w:rPr>
        <w:t xml:space="preserve">Countries </w:t>
      </w:r>
      <w:r w:rsidR="5AA91DE3" w:rsidRPr="00F0522E">
        <w:rPr>
          <w:rFonts w:ascii="Arial" w:eastAsia="Arial" w:hAnsi="Arial" w:cs="Arial"/>
        </w:rPr>
        <w:t xml:space="preserve">will be able to </w:t>
      </w:r>
      <w:r w:rsidR="2D090FD8" w:rsidRPr="00F0522E">
        <w:rPr>
          <w:rFonts w:ascii="Arial" w:eastAsia="Arial" w:hAnsi="Arial" w:cs="Arial"/>
        </w:rPr>
        <w:t xml:space="preserve">make better informed </w:t>
      </w:r>
      <w:r w:rsidR="33BB46A0" w:rsidRPr="00F0522E">
        <w:rPr>
          <w:rFonts w:ascii="Arial" w:eastAsia="Arial" w:hAnsi="Arial" w:cs="Arial"/>
        </w:rPr>
        <w:t>decisions</w:t>
      </w:r>
      <w:r w:rsidR="2D090FD8" w:rsidRPr="00F0522E">
        <w:rPr>
          <w:rFonts w:ascii="Arial" w:eastAsia="Arial" w:hAnsi="Arial" w:cs="Arial"/>
        </w:rPr>
        <w:t xml:space="preserve"> on their </w:t>
      </w:r>
      <w:r w:rsidRPr="00F0522E">
        <w:rPr>
          <w:rFonts w:ascii="Arial" w:eastAsia="Arial" w:hAnsi="Arial" w:cs="Arial"/>
        </w:rPr>
        <w:t xml:space="preserve">domestic resource mobilization efforts </w:t>
      </w:r>
      <w:r w:rsidR="4FC8B39C" w:rsidRPr="00F0522E">
        <w:rPr>
          <w:rFonts w:ascii="Arial" w:eastAsia="Arial" w:hAnsi="Arial" w:cs="Arial"/>
        </w:rPr>
        <w:t xml:space="preserve">by </w:t>
      </w:r>
      <w:r w:rsidR="6A65B7EE" w:rsidRPr="00F0522E">
        <w:rPr>
          <w:rFonts w:ascii="Arial" w:eastAsia="Arial" w:hAnsi="Arial" w:cs="Arial"/>
        </w:rPr>
        <w:t>having</w:t>
      </w:r>
      <w:r w:rsidR="4FC8B39C" w:rsidRPr="00F0522E">
        <w:rPr>
          <w:rFonts w:ascii="Arial" w:eastAsia="Arial" w:hAnsi="Arial" w:cs="Arial"/>
        </w:rPr>
        <w:t xml:space="preserve"> access to accurate, timely and comprehensive </w:t>
      </w:r>
      <w:r w:rsidR="141E9BB4" w:rsidRPr="00F0522E">
        <w:rPr>
          <w:rFonts w:ascii="Arial" w:eastAsia="Arial" w:hAnsi="Arial" w:cs="Arial"/>
        </w:rPr>
        <w:t>international</w:t>
      </w:r>
      <w:r w:rsidR="4FC8B39C" w:rsidRPr="00F0522E">
        <w:rPr>
          <w:rFonts w:ascii="Arial" w:eastAsia="Arial" w:hAnsi="Arial" w:cs="Arial"/>
        </w:rPr>
        <w:t xml:space="preserve"> financing data</w:t>
      </w:r>
      <w:r w:rsidRPr="00F0522E">
        <w:rPr>
          <w:rFonts w:ascii="Arial" w:eastAsia="Arial" w:hAnsi="Arial" w:cs="Arial"/>
        </w:rPr>
        <w:t>.</w:t>
      </w:r>
      <w:r w:rsidR="4D1B3F4C" w:rsidRPr="00F0522E">
        <w:rPr>
          <w:rFonts w:ascii="Arial" w:eastAsia="Arial" w:hAnsi="Arial" w:cs="Arial"/>
        </w:rPr>
        <w:t xml:space="preserve"> </w:t>
      </w:r>
      <w:r w:rsidR="449DCE71" w:rsidRPr="00F0522E">
        <w:rPr>
          <w:rFonts w:ascii="Arial" w:eastAsia="Arial" w:hAnsi="Arial" w:cs="Arial"/>
        </w:rPr>
        <w:t>Ensuring</w:t>
      </w:r>
      <w:r w:rsidR="4D1B3F4C" w:rsidRPr="00F0522E">
        <w:rPr>
          <w:rFonts w:ascii="Arial" w:eastAsia="Arial" w:hAnsi="Arial" w:cs="Arial"/>
        </w:rPr>
        <w:t xml:space="preserve"> the publication of international financial flows</w:t>
      </w:r>
      <w:r w:rsidR="6148555E" w:rsidRPr="00F0522E">
        <w:rPr>
          <w:rFonts w:ascii="Arial" w:eastAsia="Arial" w:hAnsi="Arial" w:cs="Arial"/>
        </w:rPr>
        <w:t>, public and private,</w:t>
      </w:r>
      <w:r w:rsidR="4D1B3F4C" w:rsidRPr="00F0522E">
        <w:rPr>
          <w:rFonts w:ascii="Arial" w:eastAsia="Arial" w:hAnsi="Arial" w:cs="Arial"/>
        </w:rPr>
        <w:t xml:space="preserve"> to the IATI Standard is</w:t>
      </w:r>
      <w:r w:rsidR="04E84970" w:rsidRPr="00F0522E">
        <w:rPr>
          <w:rFonts w:ascii="Arial" w:eastAsia="Arial" w:hAnsi="Arial" w:cs="Arial"/>
        </w:rPr>
        <w:t xml:space="preserve"> a critical part of</w:t>
      </w:r>
      <w:r w:rsidR="7E417266" w:rsidRPr="00F0522E">
        <w:rPr>
          <w:rFonts w:ascii="Arial" w:eastAsia="Arial" w:hAnsi="Arial" w:cs="Arial"/>
        </w:rPr>
        <w:t xml:space="preserve"> supporting countries in the decision-making processes for the strategic planning</w:t>
      </w:r>
      <w:r w:rsidR="30A73B66" w:rsidRPr="00F0522E">
        <w:rPr>
          <w:rFonts w:ascii="Arial" w:eastAsia="Arial" w:hAnsi="Arial" w:cs="Arial"/>
        </w:rPr>
        <w:t>, management</w:t>
      </w:r>
      <w:r w:rsidR="7E417266" w:rsidRPr="00F0522E">
        <w:rPr>
          <w:rFonts w:ascii="Arial" w:eastAsia="Arial" w:hAnsi="Arial" w:cs="Arial"/>
        </w:rPr>
        <w:t xml:space="preserve"> and mobilization of domestic public resources.</w:t>
      </w:r>
      <w:r w:rsidR="04E84970" w:rsidRPr="00F0522E">
        <w:rPr>
          <w:rFonts w:ascii="Arial" w:eastAsia="Arial" w:hAnsi="Arial" w:cs="Arial"/>
        </w:rPr>
        <w:t xml:space="preserve"> </w:t>
      </w:r>
    </w:p>
    <w:p w14:paraId="2F6BA1CF" w14:textId="371B359D" w:rsidR="561D7132" w:rsidRPr="00F0522E" w:rsidRDefault="561D7132" w:rsidP="1DACEA4C">
      <w:pPr>
        <w:spacing w:before="240" w:after="240"/>
        <w:rPr>
          <w:rFonts w:ascii="Arial" w:eastAsia="Arial" w:hAnsi="Arial" w:cs="Arial"/>
          <w:b/>
          <w:bCs/>
        </w:rPr>
      </w:pPr>
      <w:r w:rsidRPr="00F0522E">
        <w:rPr>
          <w:rFonts w:ascii="Arial" w:eastAsia="Arial" w:hAnsi="Arial" w:cs="Arial"/>
          <w:b/>
          <w:bCs/>
        </w:rPr>
        <w:t xml:space="preserve">B) </w:t>
      </w:r>
      <w:r w:rsidR="26571878" w:rsidRPr="00F0522E">
        <w:rPr>
          <w:rFonts w:ascii="Arial" w:eastAsia="Arial" w:hAnsi="Arial" w:cs="Arial"/>
          <w:b/>
          <w:bCs/>
        </w:rPr>
        <w:t>I</w:t>
      </w:r>
      <w:r w:rsidRPr="00F0522E">
        <w:rPr>
          <w:rFonts w:ascii="Arial" w:eastAsia="Arial" w:hAnsi="Arial" w:cs="Arial"/>
          <w:b/>
          <w:bCs/>
        </w:rPr>
        <w:t>nternational Private Business and Finance</w:t>
      </w:r>
    </w:p>
    <w:p w14:paraId="64A7BB78" w14:textId="595BD21E" w:rsidR="561D7132" w:rsidRPr="00F0522E" w:rsidRDefault="561D7132" w:rsidP="1DACEA4C">
      <w:pPr>
        <w:spacing w:before="240" w:after="240"/>
        <w:rPr>
          <w:rFonts w:ascii="Arial" w:eastAsia="Arial" w:hAnsi="Arial" w:cs="Arial"/>
        </w:rPr>
      </w:pPr>
      <w:r w:rsidRPr="00F0522E">
        <w:rPr>
          <w:rFonts w:ascii="Arial" w:eastAsia="Arial" w:hAnsi="Arial" w:cs="Arial"/>
        </w:rPr>
        <w:t>Encouraging private sector participation in development financing is essential. This includes fostering an enabling environment for businesses to invest in sustainable initiatives, supporting blended finance mechanisms, and aligning corporate social responsibility with national development goals</w:t>
      </w:r>
      <w:r w:rsidR="133827EE" w:rsidRPr="00F0522E">
        <w:rPr>
          <w:rFonts w:ascii="Arial" w:eastAsia="Arial" w:hAnsi="Arial" w:cs="Arial"/>
        </w:rPr>
        <w:t xml:space="preserve"> and bridging the SDG financing gap</w:t>
      </w:r>
      <w:r w:rsidRPr="00F0522E">
        <w:rPr>
          <w:rFonts w:ascii="Arial" w:eastAsia="Arial" w:hAnsi="Arial" w:cs="Arial"/>
        </w:rPr>
        <w:t xml:space="preserve">. By </w:t>
      </w:r>
      <w:r w:rsidR="6DF0307E" w:rsidRPr="00F0522E">
        <w:rPr>
          <w:rFonts w:ascii="Arial" w:eastAsia="Arial" w:hAnsi="Arial" w:cs="Arial"/>
        </w:rPr>
        <w:t xml:space="preserve">publishing and demonstrating the impact of </w:t>
      </w:r>
      <w:r w:rsidRPr="00F0522E">
        <w:rPr>
          <w:rFonts w:ascii="Arial" w:eastAsia="Arial" w:hAnsi="Arial" w:cs="Arial"/>
        </w:rPr>
        <w:t>private investments through IATI, stakeholders can assess their contributions to</w:t>
      </w:r>
      <w:r w:rsidR="355C33F9" w:rsidRPr="00F0522E">
        <w:rPr>
          <w:rFonts w:ascii="Arial" w:eastAsia="Arial" w:hAnsi="Arial" w:cs="Arial"/>
        </w:rPr>
        <w:t xml:space="preserve"> </w:t>
      </w:r>
      <w:r w:rsidRPr="00F0522E">
        <w:rPr>
          <w:rFonts w:ascii="Arial" w:eastAsia="Arial" w:hAnsi="Arial" w:cs="Arial"/>
        </w:rPr>
        <w:t>development objectives and ensure accountability</w:t>
      </w:r>
      <w:r w:rsidR="4AAE5A33" w:rsidRPr="00F0522E">
        <w:rPr>
          <w:rFonts w:ascii="Arial" w:eastAsia="Arial" w:hAnsi="Arial" w:cs="Arial"/>
        </w:rPr>
        <w:t>.</w:t>
      </w:r>
    </w:p>
    <w:p w14:paraId="6B9D956B" w14:textId="749C375C" w:rsidR="561D7132" w:rsidRPr="00F0522E" w:rsidRDefault="561D7132" w:rsidP="1DACEA4C">
      <w:pPr>
        <w:spacing w:before="240" w:after="240"/>
        <w:rPr>
          <w:rFonts w:ascii="Arial" w:eastAsia="Arial" w:hAnsi="Arial" w:cs="Arial"/>
          <w:b/>
          <w:bCs/>
        </w:rPr>
      </w:pPr>
      <w:bookmarkStart w:id="0" w:name="_Int_jupKcek2"/>
      <w:r w:rsidRPr="00F0522E">
        <w:rPr>
          <w:rFonts w:ascii="Arial" w:eastAsia="Arial" w:hAnsi="Arial" w:cs="Arial"/>
          <w:b/>
          <w:bCs/>
        </w:rPr>
        <w:t>C) International Development Cooperation</w:t>
      </w:r>
      <w:bookmarkEnd w:id="0"/>
    </w:p>
    <w:p w14:paraId="0CA5EBC0" w14:textId="1283B881" w:rsidR="561D7132" w:rsidRPr="00F0522E" w:rsidRDefault="1DEEFF2A" w:rsidP="1DACEA4C">
      <w:pPr>
        <w:spacing w:before="240" w:after="240"/>
        <w:rPr>
          <w:rFonts w:ascii="Arial" w:eastAsia="Arial" w:hAnsi="Arial" w:cs="Arial"/>
        </w:rPr>
      </w:pPr>
      <w:r w:rsidRPr="00F0522E">
        <w:rPr>
          <w:rFonts w:ascii="Arial" w:eastAsia="Arial" w:hAnsi="Arial" w:cs="Arial"/>
        </w:rPr>
        <w:t>A</w:t>
      </w:r>
      <w:r w:rsidR="21570927" w:rsidRPr="00F0522E">
        <w:rPr>
          <w:rFonts w:ascii="Arial" w:eastAsia="Arial" w:hAnsi="Arial" w:cs="Arial"/>
        </w:rPr>
        <w:t xml:space="preserve"> </w:t>
      </w:r>
      <w:r w:rsidR="561D7132" w:rsidRPr="00F0522E">
        <w:rPr>
          <w:rFonts w:ascii="Arial" w:eastAsia="Arial" w:hAnsi="Arial" w:cs="Arial"/>
        </w:rPr>
        <w:t>new era of international development cooperation</w:t>
      </w:r>
      <w:r w:rsidR="4054D5D6" w:rsidRPr="00F0522E">
        <w:rPr>
          <w:rFonts w:ascii="Arial" w:eastAsia="Arial" w:hAnsi="Arial" w:cs="Arial"/>
        </w:rPr>
        <w:t xml:space="preserve"> will</w:t>
      </w:r>
      <w:r w:rsidR="561D7132" w:rsidRPr="00F0522E">
        <w:rPr>
          <w:rFonts w:ascii="Arial" w:eastAsia="Arial" w:hAnsi="Arial" w:cs="Arial"/>
        </w:rPr>
        <w:t xml:space="preserve"> depend on a common platform to ensure the quality of cooperation and its impact across traditional development assistance, humanitarian assistance, and in delivering global public goods, including novel planetary and digital public goods.</w:t>
      </w:r>
    </w:p>
    <w:p w14:paraId="445B93C6" w14:textId="51133AFC" w:rsidR="561D7132" w:rsidRPr="00F0522E" w:rsidRDefault="2761693E" w:rsidP="1DACEA4C">
      <w:pPr>
        <w:spacing w:before="240" w:after="240"/>
        <w:rPr>
          <w:rFonts w:ascii="Arial" w:eastAsia="Arial" w:hAnsi="Arial" w:cs="Arial"/>
        </w:rPr>
      </w:pPr>
      <w:r w:rsidRPr="00F0522E">
        <w:rPr>
          <w:rFonts w:ascii="Arial" w:eastAsia="Arial" w:hAnsi="Arial" w:cs="Arial"/>
        </w:rPr>
        <w:t>Already, 1,700 entities—including governments, MDBs, foundations and investment funds—have endorsed IATI’s data Standard by publishing $3.5 trillion and extending transparency beyond traditional ODA. By publishing to IATI, governments gain greater visibility of resources at the country level through a single, comparable standard. Every year more governments leverage IATI’s unparalleled timely, forward-looking and project-level dataset for budgeting and development planning.  IATI’s flexible open data Standard provides a framework for tracking financing for global public goods, which can be reported under SDG 17.3.1.</w:t>
      </w:r>
    </w:p>
    <w:p w14:paraId="562E62CE" w14:textId="080BC5EC" w:rsidR="561D7132" w:rsidRPr="00F0522E" w:rsidRDefault="2761693E" w:rsidP="1DACEA4C">
      <w:pPr>
        <w:spacing w:before="240" w:after="240"/>
        <w:rPr>
          <w:rFonts w:ascii="Arial" w:eastAsia="Arial" w:hAnsi="Arial" w:cs="Arial"/>
        </w:rPr>
      </w:pPr>
      <w:r w:rsidRPr="00F0522E">
        <w:rPr>
          <w:rFonts w:ascii="Arial" w:eastAsia="Arial" w:hAnsi="Arial" w:cs="Arial"/>
        </w:rPr>
        <w:t>I</w:t>
      </w:r>
      <w:r w:rsidR="561D7132" w:rsidRPr="00F0522E">
        <w:rPr>
          <w:rFonts w:ascii="Arial" w:eastAsia="Arial" w:hAnsi="Arial" w:cs="Arial"/>
        </w:rPr>
        <w:t>n-country dialogues on effective development cooperation that are evidence-based and multi-stakeholder</w:t>
      </w:r>
      <w:r w:rsidR="47BCA673" w:rsidRPr="00F0522E">
        <w:rPr>
          <w:rFonts w:ascii="Arial" w:eastAsia="Arial" w:hAnsi="Arial" w:cs="Arial"/>
        </w:rPr>
        <w:t xml:space="preserve"> can strengthen </w:t>
      </w:r>
      <w:r w:rsidR="561D7132" w:rsidRPr="00F0522E">
        <w:rPr>
          <w:rFonts w:ascii="Arial" w:eastAsia="Arial" w:hAnsi="Arial" w:cs="Arial"/>
        </w:rPr>
        <w:t xml:space="preserve">planning, budgeting, implementation, and allocation decisions. Integrated National Financing Frameworks (INFFs) </w:t>
      </w:r>
      <w:r w:rsidR="1F91B1CD" w:rsidRPr="00F0522E">
        <w:rPr>
          <w:rFonts w:ascii="Arial" w:eastAsia="Arial" w:hAnsi="Arial" w:cs="Arial"/>
        </w:rPr>
        <w:t xml:space="preserve">are </w:t>
      </w:r>
      <w:r w:rsidR="561D7132" w:rsidRPr="00F0522E">
        <w:rPr>
          <w:rFonts w:ascii="Arial" w:eastAsia="Arial" w:hAnsi="Arial" w:cs="Arial"/>
        </w:rPr>
        <w:t xml:space="preserve">crucial tools for enhancing effective development finance. </w:t>
      </w:r>
      <w:r w:rsidR="1FC91870" w:rsidRPr="00F0522E">
        <w:rPr>
          <w:rFonts w:ascii="Arial" w:eastAsia="Arial" w:hAnsi="Arial" w:cs="Arial"/>
        </w:rPr>
        <w:t>IATI</w:t>
      </w:r>
      <w:r w:rsidR="561D7132" w:rsidRPr="00F0522E">
        <w:rPr>
          <w:rFonts w:ascii="Arial" w:eastAsia="Arial" w:hAnsi="Arial" w:cs="Arial"/>
        </w:rPr>
        <w:t xml:space="preserve"> provides an open data standard and platform for </w:t>
      </w:r>
      <w:r w:rsidR="561D7132" w:rsidRPr="00F0522E">
        <w:rPr>
          <w:rFonts w:ascii="Arial" w:eastAsia="Arial" w:hAnsi="Arial" w:cs="Arial"/>
        </w:rPr>
        <w:lastRenderedPageBreak/>
        <w:t>anchoring effective development cooperation across all forms of international financing, fully aligned with INFFs to increase the impact of all types of development cooperation.</w:t>
      </w:r>
    </w:p>
    <w:p w14:paraId="2B41A25C" w14:textId="0466A2A1" w:rsidR="561D7132" w:rsidRPr="00F0522E" w:rsidRDefault="561D7132" w:rsidP="1DACEA4C">
      <w:pPr>
        <w:spacing w:before="240" w:after="240"/>
        <w:rPr>
          <w:rFonts w:ascii="Arial" w:eastAsia="Arial" w:hAnsi="Arial" w:cs="Arial"/>
        </w:rPr>
      </w:pPr>
      <w:r w:rsidRPr="00F0522E">
        <w:rPr>
          <w:rFonts w:ascii="Arial" w:eastAsia="Arial" w:hAnsi="Arial" w:cs="Arial"/>
          <w:b/>
          <w:bCs/>
        </w:rPr>
        <w:t>Proposed Targets</w:t>
      </w:r>
      <w:r w:rsidRPr="00F0522E">
        <w:rPr>
          <w:rFonts w:ascii="Arial" w:eastAsia="Arial" w:hAnsi="Arial" w:cs="Arial"/>
        </w:rPr>
        <w:t xml:space="preserve">: </w:t>
      </w:r>
    </w:p>
    <w:p w14:paraId="50D837E6" w14:textId="6119A66B" w:rsidR="561D7132" w:rsidRPr="00F0522E" w:rsidRDefault="561D7132" w:rsidP="1DACEA4C">
      <w:pPr>
        <w:pStyle w:val="ListParagraph"/>
        <w:numPr>
          <w:ilvl w:val="0"/>
          <w:numId w:val="18"/>
        </w:numPr>
        <w:spacing w:before="240" w:after="240"/>
        <w:rPr>
          <w:rFonts w:ascii="Arial" w:eastAsia="Arial" w:hAnsi="Arial" w:cs="Arial"/>
        </w:rPr>
      </w:pPr>
      <w:r w:rsidRPr="00F0522E">
        <w:rPr>
          <w:rFonts w:ascii="Arial" w:eastAsia="Arial" w:hAnsi="Arial" w:cs="Arial"/>
        </w:rPr>
        <w:t xml:space="preserve">100% of existing and new Integrated National Financing Frameworks (INFFs) reference IATI data as a source of information. </w:t>
      </w:r>
    </w:p>
    <w:p w14:paraId="6CE36776" w14:textId="3303041E" w:rsidR="561D7132" w:rsidRPr="00F0522E" w:rsidRDefault="561D7132" w:rsidP="1DACEA4C">
      <w:pPr>
        <w:pStyle w:val="ListParagraph"/>
        <w:numPr>
          <w:ilvl w:val="0"/>
          <w:numId w:val="18"/>
        </w:numPr>
        <w:spacing w:before="240" w:after="240"/>
        <w:rPr>
          <w:rFonts w:ascii="Arial" w:eastAsia="Arial" w:hAnsi="Arial" w:cs="Arial"/>
        </w:rPr>
      </w:pPr>
      <w:r w:rsidRPr="00F0522E">
        <w:rPr>
          <w:rFonts w:ascii="Arial" w:eastAsia="Arial" w:hAnsi="Arial" w:cs="Arial"/>
        </w:rPr>
        <w:t>All international financial resources must be published according to the International Aid Transparency Initiative (IATI)</w:t>
      </w:r>
      <w:r w:rsidR="150C4FC8" w:rsidRPr="00F0522E">
        <w:rPr>
          <w:rFonts w:ascii="Arial" w:eastAsia="Arial" w:hAnsi="Arial" w:cs="Arial"/>
        </w:rPr>
        <w:t xml:space="preserve"> standard</w:t>
      </w:r>
      <w:r w:rsidRPr="00F0522E">
        <w:rPr>
          <w:rFonts w:ascii="Arial" w:eastAsia="Arial" w:hAnsi="Arial" w:cs="Arial"/>
        </w:rPr>
        <w:t>.</w:t>
      </w:r>
    </w:p>
    <w:p w14:paraId="4E09D824" w14:textId="7AAFF89B" w:rsidR="561D7132" w:rsidRPr="00F0522E" w:rsidRDefault="561D7132" w:rsidP="1DACEA4C">
      <w:pPr>
        <w:rPr>
          <w:rFonts w:ascii="Arial" w:eastAsia="Arial" w:hAnsi="Arial" w:cs="Arial"/>
          <w:b/>
          <w:bCs/>
          <w:color w:val="0F4761" w:themeColor="accent1" w:themeShade="BF"/>
          <w:sz w:val="24"/>
          <w:szCs w:val="24"/>
        </w:rPr>
      </w:pPr>
      <w:r w:rsidRPr="00F0522E">
        <w:rPr>
          <w:rFonts w:ascii="Arial" w:eastAsia="Arial" w:hAnsi="Arial" w:cs="Arial"/>
          <w:b/>
          <w:bCs/>
        </w:rPr>
        <w:t>D) International Trade as an Engine for Development</w:t>
      </w:r>
    </w:p>
    <w:p w14:paraId="7FDED02D" w14:textId="0208991A" w:rsidR="6D6C9736" w:rsidRPr="00F0522E" w:rsidRDefault="561D7132" w:rsidP="1DACEA4C">
      <w:pPr>
        <w:spacing w:before="240" w:after="240"/>
        <w:rPr>
          <w:rFonts w:ascii="Arial" w:eastAsia="Arial" w:hAnsi="Arial" w:cs="Arial"/>
        </w:rPr>
      </w:pPr>
      <w:r w:rsidRPr="00F0522E">
        <w:rPr>
          <w:rFonts w:ascii="Arial" w:eastAsia="Arial" w:hAnsi="Arial" w:cs="Arial"/>
        </w:rPr>
        <w:t xml:space="preserve">International trade is a powerful driver of economic growth and poverty reduction. We must work toward enhancing trade capacities in developing countries, ensuring they can effectively participate in global value chains. This includes simplifying trade regulations, reducing tariffs, and addressing non-tariff barriers. Tracking trade-related financing through IATI </w:t>
      </w:r>
      <w:r w:rsidR="2FBF4DBC" w:rsidRPr="00F0522E">
        <w:rPr>
          <w:rFonts w:ascii="Arial" w:eastAsia="Arial" w:hAnsi="Arial" w:cs="Arial"/>
        </w:rPr>
        <w:t>data could be leveraged to generate insights</w:t>
      </w:r>
      <w:r w:rsidRPr="00F0522E">
        <w:rPr>
          <w:rFonts w:ascii="Arial" w:eastAsia="Arial" w:hAnsi="Arial" w:cs="Arial"/>
        </w:rPr>
        <w:t xml:space="preserve"> into how </w:t>
      </w:r>
      <w:r w:rsidR="6F4275B9" w:rsidRPr="00F0522E">
        <w:rPr>
          <w:rFonts w:ascii="Arial" w:eastAsia="Arial" w:hAnsi="Arial" w:cs="Arial"/>
        </w:rPr>
        <w:t xml:space="preserve">trade </w:t>
      </w:r>
      <w:r w:rsidR="3BE1BAAA" w:rsidRPr="00F0522E">
        <w:rPr>
          <w:rFonts w:ascii="Arial" w:eastAsia="Arial" w:hAnsi="Arial" w:cs="Arial"/>
        </w:rPr>
        <w:t>contributes</w:t>
      </w:r>
      <w:r w:rsidRPr="00F0522E">
        <w:rPr>
          <w:rFonts w:ascii="Arial" w:eastAsia="Arial" w:hAnsi="Arial" w:cs="Arial"/>
        </w:rPr>
        <w:t xml:space="preserve"> to sustainable development goals.</w:t>
      </w:r>
    </w:p>
    <w:p w14:paraId="692CB236" w14:textId="5ADC29C4" w:rsidR="561D7132" w:rsidRPr="00F0522E" w:rsidRDefault="561D7132" w:rsidP="1DACEA4C">
      <w:pPr>
        <w:spacing w:after="240"/>
        <w:rPr>
          <w:rFonts w:ascii="Arial" w:eastAsia="Arial" w:hAnsi="Arial" w:cs="Arial"/>
          <w:b/>
          <w:bCs/>
        </w:rPr>
      </w:pPr>
      <w:r w:rsidRPr="00F0522E">
        <w:rPr>
          <w:rFonts w:ascii="Arial" w:eastAsia="Arial" w:hAnsi="Arial" w:cs="Arial"/>
          <w:b/>
          <w:bCs/>
        </w:rPr>
        <w:t>E) Debt and Debt Sustainability</w:t>
      </w:r>
    </w:p>
    <w:p w14:paraId="62D7783B" w14:textId="551A4A36" w:rsidR="561D7132" w:rsidRPr="00F0522E" w:rsidRDefault="561D7132" w:rsidP="1DACEA4C">
      <w:pPr>
        <w:spacing w:before="240" w:after="240"/>
        <w:rPr>
          <w:rFonts w:ascii="Arial" w:eastAsia="Arial" w:hAnsi="Arial" w:cs="Arial"/>
        </w:rPr>
      </w:pPr>
      <w:r w:rsidRPr="00F0522E">
        <w:rPr>
          <w:rFonts w:ascii="Arial" w:eastAsia="Arial" w:hAnsi="Arial" w:cs="Arial"/>
        </w:rPr>
        <w:t xml:space="preserve">Addressing the challenges of debt sustainability is critical for many developing countries. We must prioritize transparent lending practices and ensure that debt is used to finance development rather than hinder it. Developing countries need access to debt relief mechanisms and financial tools that promote sustainable growth. IATI can provide </w:t>
      </w:r>
      <w:r w:rsidR="5147AAA2" w:rsidRPr="00F0522E">
        <w:rPr>
          <w:rFonts w:ascii="Arial" w:eastAsia="Arial" w:hAnsi="Arial" w:cs="Arial"/>
        </w:rPr>
        <w:t>a vital</w:t>
      </w:r>
      <w:r w:rsidRPr="00F0522E">
        <w:rPr>
          <w:rFonts w:ascii="Arial" w:eastAsia="Arial" w:hAnsi="Arial" w:cs="Arial"/>
        </w:rPr>
        <w:t xml:space="preserve"> </w:t>
      </w:r>
      <w:r w:rsidR="5540B4A4" w:rsidRPr="00F0522E">
        <w:rPr>
          <w:rFonts w:ascii="Arial" w:eastAsia="Arial" w:hAnsi="Arial" w:cs="Arial"/>
        </w:rPr>
        <w:t xml:space="preserve">platform to showcase international public investments that can be leveraged by the private sector to </w:t>
      </w:r>
      <w:r w:rsidRPr="00F0522E">
        <w:rPr>
          <w:rFonts w:ascii="Arial" w:eastAsia="Arial" w:hAnsi="Arial" w:cs="Arial"/>
        </w:rPr>
        <w:t>inform</w:t>
      </w:r>
      <w:r w:rsidR="2C6A8130" w:rsidRPr="00F0522E">
        <w:rPr>
          <w:rFonts w:ascii="Arial" w:eastAsia="Arial" w:hAnsi="Arial" w:cs="Arial"/>
        </w:rPr>
        <w:t xml:space="preserve"> concessional financing</w:t>
      </w:r>
      <w:r w:rsidRPr="00F0522E">
        <w:rPr>
          <w:rFonts w:ascii="Arial" w:eastAsia="Arial" w:hAnsi="Arial" w:cs="Arial"/>
        </w:rPr>
        <w:t>.</w:t>
      </w:r>
    </w:p>
    <w:p w14:paraId="473F0556" w14:textId="7D7683A7" w:rsidR="561D7132" w:rsidRPr="00F0522E" w:rsidRDefault="561D7132" w:rsidP="1DACEA4C">
      <w:pPr>
        <w:spacing w:after="240"/>
        <w:rPr>
          <w:rFonts w:ascii="Arial" w:eastAsia="Arial" w:hAnsi="Arial" w:cs="Arial"/>
          <w:b/>
          <w:bCs/>
        </w:rPr>
      </w:pPr>
      <w:r w:rsidRPr="00F0522E">
        <w:rPr>
          <w:rFonts w:ascii="Arial" w:eastAsia="Arial" w:hAnsi="Arial" w:cs="Arial"/>
          <w:b/>
          <w:bCs/>
        </w:rPr>
        <w:t>F) Addressing Systemic Issues</w:t>
      </w:r>
    </w:p>
    <w:p w14:paraId="42D5CE6A" w14:textId="5B473E70" w:rsidR="561D7132" w:rsidRPr="00F0522E" w:rsidRDefault="561D7132" w:rsidP="1DACEA4C">
      <w:pPr>
        <w:spacing w:before="240" w:after="240"/>
        <w:rPr>
          <w:rFonts w:ascii="Arial" w:eastAsia="Arial" w:hAnsi="Arial" w:cs="Arial"/>
        </w:rPr>
      </w:pPr>
      <w:r w:rsidRPr="00F0522E">
        <w:rPr>
          <w:rFonts w:ascii="Arial" w:eastAsia="Arial" w:hAnsi="Arial" w:cs="Arial"/>
        </w:rPr>
        <w:t>We must tackle systemic issues that hinder development finance</w:t>
      </w:r>
      <w:r w:rsidR="55E0894C" w:rsidRPr="00F0522E">
        <w:rPr>
          <w:rFonts w:ascii="Arial" w:eastAsia="Arial" w:hAnsi="Arial" w:cs="Arial"/>
        </w:rPr>
        <w:t xml:space="preserve">. This includes further increasing the voice and representation of developing countries in development financial institutions and </w:t>
      </w:r>
      <w:r w:rsidR="1C15593D" w:rsidRPr="00F0522E">
        <w:rPr>
          <w:rFonts w:ascii="Arial" w:eastAsia="Arial" w:hAnsi="Arial" w:cs="Arial"/>
        </w:rPr>
        <w:t>fora and</w:t>
      </w:r>
      <w:r w:rsidR="35CD446B" w:rsidRPr="00F0522E">
        <w:rPr>
          <w:rFonts w:ascii="Arial" w:eastAsia="Arial" w:hAnsi="Arial" w:cs="Arial"/>
        </w:rPr>
        <w:t xml:space="preserve"> strengthening accountability across all forms of development financing</w:t>
      </w:r>
      <w:r w:rsidR="55E0894C" w:rsidRPr="00F0522E">
        <w:rPr>
          <w:rFonts w:ascii="Arial" w:eastAsia="Arial" w:hAnsi="Arial" w:cs="Arial"/>
        </w:rPr>
        <w:t xml:space="preserve">. The </w:t>
      </w:r>
      <w:r w:rsidR="60E3BE5A" w:rsidRPr="00F0522E">
        <w:rPr>
          <w:rFonts w:ascii="Arial" w:eastAsia="Arial" w:hAnsi="Arial" w:cs="Arial"/>
        </w:rPr>
        <w:t>publication</w:t>
      </w:r>
      <w:r w:rsidR="55E0894C" w:rsidRPr="00F0522E">
        <w:rPr>
          <w:rFonts w:ascii="Arial" w:eastAsia="Arial" w:hAnsi="Arial" w:cs="Arial"/>
        </w:rPr>
        <w:t xml:space="preserve"> of </w:t>
      </w:r>
      <w:r w:rsidR="575B3D2A" w:rsidRPr="00F0522E">
        <w:rPr>
          <w:rFonts w:ascii="Arial" w:eastAsia="Arial" w:hAnsi="Arial" w:cs="Arial"/>
        </w:rPr>
        <w:t xml:space="preserve">financial </w:t>
      </w:r>
      <w:r w:rsidR="55E0894C" w:rsidRPr="00F0522E">
        <w:rPr>
          <w:rFonts w:ascii="Arial" w:eastAsia="Arial" w:hAnsi="Arial" w:cs="Arial"/>
        </w:rPr>
        <w:t xml:space="preserve">data </w:t>
      </w:r>
      <w:r w:rsidR="7F7E06A1" w:rsidRPr="00F0522E">
        <w:rPr>
          <w:rFonts w:ascii="Arial" w:eastAsia="Arial" w:hAnsi="Arial" w:cs="Arial"/>
        </w:rPr>
        <w:t>to</w:t>
      </w:r>
      <w:r w:rsidR="55E0894C" w:rsidRPr="00F0522E">
        <w:rPr>
          <w:rFonts w:ascii="Arial" w:eastAsia="Arial" w:hAnsi="Arial" w:cs="Arial"/>
        </w:rPr>
        <w:t xml:space="preserve"> the IATI Standard across </w:t>
      </w:r>
      <w:r w:rsidR="34F52FCE" w:rsidRPr="00F0522E">
        <w:rPr>
          <w:rFonts w:ascii="Arial" w:eastAsia="Arial" w:hAnsi="Arial" w:cs="Arial"/>
        </w:rPr>
        <w:t xml:space="preserve">the development finance ecosystem would ensure that recipients of development finance would be empowered with </w:t>
      </w:r>
      <w:r w:rsidR="5C03AFE6" w:rsidRPr="00F0522E">
        <w:rPr>
          <w:rFonts w:ascii="Arial" w:eastAsia="Arial" w:hAnsi="Arial" w:cs="Arial"/>
        </w:rPr>
        <w:t>more comprehensive, accurate, usable and timely data to inform their negotiations and multilateral engagement. The use of IATI</w:t>
      </w:r>
      <w:r w:rsidR="1D7BA750" w:rsidRPr="00F0522E">
        <w:rPr>
          <w:rFonts w:ascii="Arial" w:eastAsia="Arial" w:hAnsi="Arial" w:cs="Arial"/>
        </w:rPr>
        <w:t xml:space="preserve"> data</w:t>
      </w:r>
      <w:r w:rsidR="5C03AFE6" w:rsidRPr="00F0522E">
        <w:rPr>
          <w:rFonts w:ascii="Arial" w:eastAsia="Arial" w:hAnsi="Arial" w:cs="Arial"/>
        </w:rPr>
        <w:t xml:space="preserve"> also supports national and </w:t>
      </w:r>
      <w:r w:rsidR="41D6CBF5" w:rsidRPr="00F0522E">
        <w:rPr>
          <w:rFonts w:ascii="Arial" w:eastAsia="Arial" w:hAnsi="Arial" w:cs="Arial"/>
        </w:rPr>
        <w:t>international accountability</w:t>
      </w:r>
      <w:r w:rsidR="4E4E213E" w:rsidRPr="00F0522E">
        <w:rPr>
          <w:rFonts w:ascii="Arial" w:eastAsia="Arial" w:hAnsi="Arial" w:cs="Arial"/>
        </w:rPr>
        <w:t>, monitoring and follow-up processes.</w:t>
      </w:r>
    </w:p>
    <w:p w14:paraId="5FE9D24D" w14:textId="67706D93" w:rsidR="561D7132" w:rsidRPr="00F0522E" w:rsidRDefault="561D7132" w:rsidP="1DACEA4C">
      <w:pPr>
        <w:spacing w:before="240" w:after="240"/>
        <w:rPr>
          <w:rFonts w:ascii="Arial" w:eastAsia="Arial" w:hAnsi="Arial" w:cs="Arial"/>
          <w:b/>
          <w:bCs/>
        </w:rPr>
      </w:pPr>
      <w:r w:rsidRPr="00F0522E">
        <w:rPr>
          <w:rFonts w:ascii="Arial" w:eastAsia="Arial" w:hAnsi="Arial" w:cs="Arial"/>
          <w:b/>
          <w:bCs/>
        </w:rPr>
        <w:t>G) Science, Technology, Innovation, and Capacity Building</w:t>
      </w:r>
    </w:p>
    <w:p w14:paraId="31D63CEE" w14:textId="4B67F365" w:rsidR="561D7132" w:rsidRPr="00F0522E" w:rsidRDefault="561D7132" w:rsidP="1DACEA4C">
      <w:pPr>
        <w:spacing w:before="240" w:after="240"/>
        <w:rPr>
          <w:rFonts w:ascii="Arial" w:eastAsia="Arial" w:hAnsi="Arial" w:cs="Arial"/>
        </w:rPr>
      </w:pPr>
      <w:r w:rsidRPr="00F0522E">
        <w:rPr>
          <w:rFonts w:ascii="Arial" w:eastAsia="Arial" w:hAnsi="Arial" w:cs="Arial"/>
        </w:rPr>
        <w:t xml:space="preserve">Investing in science, technology, and innovation is essential for driving development and achieving the SDGs. This includes fostering partnerships between governments, academia, and the private sector to promote research and development. IATI </w:t>
      </w:r>
      <w:r w:rsidR="2F7DCBC7" w:rsidRPr="00F0522E">
        <w:rPr>
          <w:rFonts w:ascii="Arial" w:eastAsia="Arial" w:hAnsi="Arial" w:cs="Arial"/>
        </w:rPr>
        <w:t xml:space="preserve">data </w:t>
      </w:r>
      <w:r w:rsidRPr="00F0522E">
        <w:rPr>
          <w:rFonts w:ascii="Arial" w:eastAsia="Arial" w:hAnsi="Arial" w:cs="Arial"/>
        </w:rPr>
        <w:t>can play a vital role in t</w:t>
      </w:r>
      <w:r w:rsidR="01D707F7" w:rsidRPr="00F0522E">
        <w:rPr>
          <w:rFonts w:ascii="Arial" w:eastAsia="Arial" w:hAnsi="Arial" w:cs="Arial"/>
        </w:rPr>
        <w:t>hi</w:t>
      </w:r>
      <w:r w:rsidRPr="00F0522E">
        <w:rPr>
          <w:rFonts w:ascii="Arial" w:eastAsia="Arial" w:hAnsi="Arial" w:cs="Arial"/>
        </w:rPr>
        <w:t>s technology and innovation</w:t>
      </w:r>
      <w:r w:rsidR="0C8C0078" w:rsidRPr="00F0522E">
        <w:rPr>
          <w:rFonts w:ascii="Arial" w:eastAsia="Arial" w:hAnsi="Arial" w:cs="Arial"/>
        </w:rPr>
        <w:t xml:space="preserve"> ecosystem</w:t>
      </w:r>
      <w:r w:rsidRPr="00F0522E">
        <w:rPr>
          <w:rFonts w:ascii="Arial" w:eastAsia="Arial" w:hAnsi="Arial" w:cs="Arial"/>
        </w:rPr>
        <w:t xml:space="preserve">, </w:t>
      </w:r>
      <w:r w:rsidR="3FF9E228" w:rsidRPr="00F0522E">
        <w:rPr>
          <w:rFonts w:ascii="Arial" w:eastAsia="Arial" w:hAnsi="Arial" w:cs="Arial"/>
        </w:rPr>
        <w:t>supporting new tools with a multilaterally assured standard for interoperable data</w:t>
      </w:r>
      <w:r w:rsidRPr="00F0522E">
        <w:rPr>
          <w:rFonts w:ascii="Arial" w:eastAsia="Arial" w:hAnsi="Arial" w:cs="Arial"/>
        </w:rPr>
        <w:t>.</w:t>
      </w:r>
    </w:p>
    <w:p w14:paraId="50CB38CE" w14:textId="63163318" w:rsidR="02A1F37F" w:rsidRPr="00F0522E" w:rsidRDefault="02A1F37F" w:rsidP="1DACEA4C">
      <w:pPr>
        <w:spacing w:before="240" w:after="240"/>
        <w:rPr>
          <w:rFonts w:ascii="Arial" w:eastAsia="Arial" w:hAnsi="Arial" w:cs="Arial"/>
        </w:rPr>
      </w:pPr>
    </w:p>
    <w:p w14:paraId="78CD8222" w14:textId="25FD9D79" w:rsidR="561D7132" w:rsidRPr="00F0522E" w:rsidRDefault="561D7132" w:rsidP="1DACEA4C">
      <w:pPr>
        <w:pStyle w:val="Heading3"/>
        <w:spacing w:before="281" w:after="281"/>
        <w:rPr>
          <w:rFonts w:ascii="Arial" w:eastAsia="Arial" w:hAnsi="Arial" w:cs="Arial"/>
          <w:sz w:val="32"/>
          <w:szCs w:val="32"/>
        </w:rPr>
      </w:pPr>
      <w:r w:rsidRPr="00F0522E">
        <w:rPr>
          <w:rFonts w:ascii="Arial" w:eastAsia="Arial" w:hAnsi="Arial" w:cs="Arial"/>
        </w:rPr>
        <w:lastRenderedPageBreak/>
        <w:t>III. Emerging Issues</w:t>
      </w:r>
    </w:p>
    <w:p w14:paraId="7B7E19EB" w14:textId="29140507" w:rsidR="02A1F37F" w:rsidRPr="00F0522E" w:rsidRDefault="7A822AFC" w:rsidP="1DACEA4C">
      <w:pPr>
        <w:pStyle w:val="Heading4"/>
        <w:spacing w:before="0" w:after="319"/>
        <w:rPr>
          <w:rFonts w:ascii="Arial" w:eastAsia="Arial" w:hAnsi="Arial" w:cs="Arial"/>
          <w:sz w:val="24"/>
          <w:szCs w:val="24"/>
        </w:rPr>
      </w:pPr>
      <w:r w:rsidRPr="00F0522E">
        <w:rPr>
          <w:rFonts w:ascii="Arial" w:eastAsia="Arial" w:hAnsi="Arial" w:cs="Arial"/>
          <w:sz w:val="24"/>
          <w:szCs w:val="24"/>
        </w:rPr>
        <w:t xml:space="preserve">Scaling up </w:t>
      </w:r>
      <w:r w:rsidR="7D8C963E" w:rsidRPr="00F0522E">
        <w:rPr>
          <w:rFonts w:ascii="Arial" w:eastAsia="Arial" w:hAnsi="Arial" w:cs="Arial"/>
          <w:sz w:val="24"/>
          <w:szCs w:val="24"/>
        </w:rPr>
        <w:t>i</w:t>
      </w:r>
      <w:r w:rsidR="051B4347" w:rsidRPr="00F0522E">
        <w:rPr>
          <w:rFonts w:ascii="Arial" w:eastAsia="Arial" w:hAnsi="Arial" w:cs="Arial"/>
          <w:sz w:val="24"/>
          <w:szCs w:val="24"/>
        </w:rPr>
        <w:t>n</w:t>
      </w:r>
      <w:r w:rsidR="142B18E7" w:rsidRPr="00F0522E">
        <w:rPr>
          <w:rFonts w:ascii="Arial" w:eastAsia="Arial" w:hAnsi="Arial" w:cs="Arial"/>
          <w:sz w:val="24"/>
          <w:szCs w:val="24"/>
        </w:rPr>
        <w:t>t</w:t>
      </w:r>
      <w:r w:rsidR="051B4347" w:rsidRPr="00F0522E">
        <w:rPr>
          <w:rFonts w:ascii="Arial" w:eastAsia="Arial" w:hAnsi="Arial" w:cs="Arial"/>
          <w:sz w:val="24"/>
          <w:szCs w:val="24"/>
        </w:rPr>
        <w:t xml:space="preserve">egrated </w:t>
      </w:r>
      <w:r w:rsidR="6BC43519" w:rsidRPr="00F0522E">
        <w:rPr>
          <w:rFonts w:ascii="Arial" w:eastAsia="Arial" w:hAnsi="Arial" w:cs="Arial"/>
          <w:sz w:val="24"/>
          <w:szCs w:val="24"/>
        </w:rPr>
        <w:t>d</w:t>
      </w:r>
      <w:r w:rsidR="051B4347" w:rsidRPr="00F0522E">
        <w:rPr>
          <w:rFonts w:ascii="Arial" w:eastAsia="Arial" w:hAnsi="Arial" w:cs="Arial"/>
          <w:sz w:val="24"/>
          <w:szCs w:val="24"/>
        </w:rPr>
        <w:t xml:space="preserve">evelopment </w:t>
      </w:r>
      <w:r w:rsidR="4FCE6F43" w:rsidRPr="00F0522E">
        <w:rPr>
          <w:rFonts w:ascii="Arial" w:eastAsia="Arial" w:hAnsi="Arial" w:cs="Arial"/>
          <w:sz w:val="24"/>
          <w:szCs w:val="24"/>
        </w:rPr>
        <w:t>f</w:t>
      </w:r>
      <w:r w:rsidR="051B4347" w:rsidRPr="00F0522E">
        <w:rPr>
          <w:rFonts w:ascii="Arial" w:eastAsia="Arial" w:hAnsi="Arial" w:cs="Arial"/>
          <w:sz w:val="24"/>
          <w:szCs w:val="24"/>
        </w:rPr>
        <w:t>inanc</w:t>
      </w:r>
      <w:r w:rsidR="35EE3855" w:rsidRPr="00F0522E">
        <w:rPr>
          <w:rFonts w:ascii="Arial" w:eastAsia="Arial" w:hAnsi="Arial" w:cs="Arial"/>
          <w:sz w:val="24"/>
          <w:szCs w:val="24"/>
        </w:rPr>
        <w:t>ing</w:t>
      </w:r>
      <w:r w:rsidR="4CFD83E8" w:rsidRPr="00F0522E">
        <w:rPr>
          <w:rFonts w:ascii="Arial" w:eastAsia="Arial" w:hAnsi="Arial" w:cs="Arial"/>
          <w:sz w:val="24"/>
          <w:szCs w:val="24"/>
        </w:rPr>
        <w:t xml:space="preserve"> frameworks</w:t>
      </w:r>
    </w:p>
    <w:p w14:paraId="139A0FCA" w14:textId="6BBE653E" w:rsidR="02A1F37F" w:rsidRPr="00F0522E" w:rsidRDefault="12579751" w:rsidP="2E29703C">
      <w:pPr>
        <w:spacing w:before="240" w:after="240"/>
        <w:rPr>
          <w:rFonts w:ascii="Arial" w:eastAsia="Arial" w:hAnsi="Arial" w:cs="Arial"/>
          <w:sz w:val="24"/>
          <w:szCs w:val="24"/>
        </w:rPr>
      </w:pPr>
      <w:r w:rsidRPr="00F0522E">
        <w:rPr>
          <w:rStyle w:val="Emphasis"/>
          <w:rFonts w:ascii="Arial" w:eastAsia="Arial" w:hAnsi="Arial" w:cs="Arial"/>
          <w:i w:val="0"/>
          <w:iCs w:val="0"/>
          <w:sz w:val="24"/>
          <w:szCs w:val="24"/>
        </w:rPr>
        <w:t>Integrated national financing frameworks (INFFs) should be the primary financial planning tool at the centre of country-level efforts to deliver the FfD4 agenda, guiding public, private, domestic and international financing policy for sustainable development. The success that many countries have realised in mobilising and aligning financing for sustainable development through these frameworks since they were introduced by UN Member States in the Addis Ababa Action Agenda. Progress in strengthening the national financial architecture can reinforce and catalyse accelerated reform of the international financial architecture.</w:t>
      </w:r>
    </w:p>
    <w:p w14:paraId="224107BE" w14:textId="18F5A0EC" w:rsidR="02A1F37F" w:rsidRPr="00F0522E" w:rsidRDefault="051B4347" w:rsidP="1DACEA4C">
      <w:pPr>
        <w:pStyle w:val="Heading4"/>
        <w:spacing w:before="319" w:after="319"/>
        <w:rPr>
          <w:rFonts w:ascii="Arial" w:eastAsia="Arial" w:hAnsi="Arial" w:cs="Arial"/>
          <w:sz w:val="24"/>
          <w:szCs w:val="24"/>
        </w:rPr>
      </w:pPr>
      <w:r w:rsidRPr="00F0522E">
        <w:rPr>
          <w:rFonts w:ascii="Arial" w:eastAsia="Arial" w:hAnsi="Arial" w:cs="Arial"/>
          <w:sz w:val="24"/>
          <w:szCs w:val="24"/>
        </w:rPr>
        <w:t>Enhancing Development Effectiveness</w:t>
      </w:r>
    </w:p>
    <w:p w14:paraId="61E6B689" w14:textId="215E3A39" w:rsidR="02A1F37F" w:rsidRPr="00F0522E" w:rsidRDefault="3DF1B0CE" w:rsidP="1DACEA4C">
      <w:pPr>
        <w:spacing w:before="240" w:after="240"/>
        <w:rPr>
          <w:rFonts w:ascii="Arial" w:eastAsia="Arial" w:hAnsi="Arial" w:cs="Arial"/>
          <w:sz w:val="24"/>
          <w:szCs w:val="24"/>
        </w:rPr>
      </w:pPr>
      <w:r w:rsidRPr="00F0522E">
        <w:rPr>
          <w:rFonts w:ascii="Arial" w:eastAsia="Arial" w:hAnsi="Arial" w:cs="Arial"/>
          <w:sz w:val="24"/>
          <w:szCs w:val="24"/>
        </w:rPr>
        <w:t xml:space="preserve">FFD4 presents a unique opportunity to ensure that development effectiveness, a focus on quality and on countries’ leadership on their development strategies continue to be </w:t>
      </w:r>
      <w:r w:rsidR="7625181E" w:rsidRPr="00F0522E">
        <w:rPr>
          <w:rFonts w:ascii="Arial" w:eastAsia="Arial" w:hAnsi="Arial" w:cs="Arial"/>
          <w:sz w:val="24"/>
          <w:szCs w:val="24"/>
        </w:rPr>
        <w:t>recognized</w:t>
      </w:r>
      <w:r w:rsidRPr="00F0522E">
        <w:rPr>
          <w:rFonts w:ascii="Arial" w:eastAsia="Arial" w:hAnsi="Arial" w:cs="Arial"/>
          <w:sz w:val="24"/>
          <w:szCs w:val="24"/>
        </w:rPr>
        <w:t xml:space="preserve"> as important and integral parts of the broader discussion on development finance.  To embark on this new era of development effectiveness, FFD4 provides the opportunity to:</w:t>
      </w:r>
    </w:p>
    <w:p w14:paraId="2F72F2CD" w14:textId="1009BD2F" w:rsidR="02A1F37F" w:rsidRPr="00F0522E" w:rsidRDefault="3DF1B0CE" w:rsidP="2E29703C">
      <w:pPr>
        <w:pStyle w:val="ListParagraph"/>
        <w:numPr>
          <w:ilvl w:val="0"/>
          <w:numId w:val="9"/>
        </w:numPr>
        <w:spacing w:before="240" w:after="240"/>
        <w:rPr>
          <w:rFonts w:ascii="Arial" w:eastAsia="Arial" w:hAnsi="Arial" w:cs="Arial"/>
          <w:sz w:val="24"/>
          <w:szCs w:val="24"/>
        </w:rPr>
      </w:pPr>
      <w:r w:rsidRPr="00F0522E">
        <w:rPr>
          <w:rFonts w:ascii="Arial" w:eastAsia="Arial" w:hAnsi="Arial" w:cs="Arial"/>
          <w:sz w:val="24"/>
          <w:szCs w:val="24"/>
        </w:rPr>
        <w:t xml:space="preserve">Protect the integrity of and reaffirm commitment to the effectiveness principles. The internationally agreed development effectiveness principles - country ownership, focus on results, inclusive partnerships, transparency and mutual accountability - are foundational to long-lasting results amid changing needs and in an environment of scarce resources. They build on decades of experience of what works and are relevant to all types of development finance beyond Official Development Assistance (ODA). </w:t>
      </w:r>
    </w:p>
    <w:p w14:paraId="4DB09A63" w14:textId="6DFA4656" w:rsidR="02A1F37F" w:rsidRPr="00F0522E" w:rsidRDefault="3DF1B0CE" w:rsidP="2E29703C">
      <w:pPr>
        <w:pStyle w:val="ListParagraph"/>
        <w:numPr>
          <w:ilvl w:val="0"/>
          <w:numId w:val="9"/>
        </w:numPr>
        <w:spacing w:before="240" w:after="240"/>
        <w:rPr>
          <w:rFonts w:ascii="Arial" w:eastAsia="Arial" w:hAnsi="Arial" w:cs="Arial"/>
          <w:sz w:val="24"/>
          <w:szCs w:val="24"/>
        </w:rPr>
      </w:pPr>
      <w:r w:rsidRPr="00F0522E">
        <w:rPr>
          <w:rFonts w:ascii="Arial" w:eastAsia="Arial" w:hAnsi="Arial" w:cs="Arial"/>
          <w:sz w:val="24"/>
          <w:szCs w:val="24"/>
        </w:rPr>
        <w:t xml:space="preserve">Work towards providers converging around ambitions to improve impact and partnerships. Those engaged in aid/development effectiveness made similar, but slightly different commitments to providers of South-South Co-operation (e.g., in BAPA+40). Despite different histories, the challenges they face are similar. Recognizing differences and promoting a common understanding among various actors, could be a prelude for greater harmonization and donor coordination. </w:t>
      </w:r>
    </w:p>
    <w:p w14:paraId="50BE1469" w14:textId="3B1C8B25" w:rsidR="02A1F37F" w:rsidRPr="00F0522E" w:rsidRDefault="3DF1B0CE" w:rsidP="1DACEA4C">
      <w:pPr>
        <w:pStyle w:val="ListParagraph"/>
        <w:numPr>
          <w:ilvl w:val="0"/>
          <w:numId w:val="9"/>
        </w:numPr>
        <w:spacing w:before="240" w:after="240"/>
        <w:rPr>
          <w:rFonts w:ascii="Arial" w:eastAsia="Arial" w:hAnsi="Arial" w:cs="Arial"/>
          <w:sz w:val="24"/>
          <w:szCs w:val="24"/>
        </w:rPr>
      </w:pPr>
      <w:r w:rsidRPr="00F0522E">
        <w:rPr>
          <w:rFonts w:ascii="Arial" w:eastAsia="Arial" w:hAnsi="Arial" w:cs="Arial"/>
          <w:sz w:val="24"/>
          <w:szCs w:val="24"/>
        </w:rPr>
        <w:t>Further international dialogue on how to make development co-operation effective across priority sectors and policy areas. This could include in areas such as private sector engagement, climate action and finance, job creation and promoting marginalized groups, as well as on practical steps to ensure development cooperation aligns with priorities by local actors at country level and focuses on leaving no one behind.</w:t>
      </w:r>
    </w:p>
    <w:p w14:paraId="4402304B" w14:textId="76C4CEC3" w:rsidR="02A1F37F" w:rsidRPr="00F0522E" w:rsidRDefault="3DF1B0CE" w:rsidP="2E29703C">
      <w:pPr>
        <w:pStyle w:val="ListParagraph"/>
        <w:numPr>
          <w:ilvl w:val="0"/>
          <w:numId w:val="9"/>
        </w:numPr>
        <w:spacing w:before="240" w:after="240"/>
        <w:rPr>
          <w:rFonts w:ascii="Arial" w:eastAsia="Arial" w:hAnsi="Arial" w:cs="Arial"/>
          <w:sz w:val="24"/>
          <w:szCs w:val="24"/>
        </w:rPr>
      </w:pPr>
      <w:r w:rsidRPr="00F0522E">
        <w:rPr>
          <w:rFonts w:ascii="Arial" w:eastAsia="Arial" w:hAnsi="Arial" w:cs="Arial"/>
          <w:sz w:val="24"/>
          <w:szCs w:val="24"/>
        </w:rPr>
        <w:t xml:space="preserve">Evidence-based, multi-stakeholder dialogues in countries on effective development co-operation that are linked up to existing platforms and activities, and influence planning, budgeting, implementation and allocation decisions. Such dialogues at country level can in turn inform inclusive and </w:t>
      </w:r>
      <w:r w:rsidRPr="00F0522E">
        <w:rPr>
          <w:rFonts w:ascii="Arial" w:eastAsia="Arial" w:hAnsi="Arial" w:cs="Arial"/>
          <w:sz w:val="24"/>
          <w:szCs w:val="24"/>
        </w:rPr>
        <w:lastRenderedPageBreak/>
        <w:t xml:space="preserve">open global dialogue on emerging challenges and opportunities to increase the impact of all types of development co-operation. </w:t>
      </w:r>
    </w:p>
    <w:p w14:paraId="632BEB26" w14:textId="67F4B5D2" w:rsidR="02A1F37F" w:rsidRPr="00F0522E" w:rsidRDefault="051B4347" w:rsidP="1DACEA4C">
      <w:pPr>
        <w:spacing w:before="240" w:after="240"/>
        <w:rPr>
          <w:rFonts w:ascii="Arial" w:eastAsia="Arial" w:hAnsi="Arial" w:cs="Arial"/>
          <w:sz w:val="24"/>
          <w:szCs w:val="24"/>
        </w:rPr>
      </w:pPr>
      <w:r w:rsidRPr="00F0522E">
        <w:rPr>
          <w:rFonts w:ascii="Arial" w:eastAsia="Arial" w:hAnsi="Arial" w:cs="Arial"/>
          <w:sz w:val="24"/>
          <w:szCs w:val="24"/>
        </w:rPr>
        <w:t>Since 2015, significant improvements have been made in open data standards, with IATI emerging as a key player in publishing detailed, comparable financial data. Publishing all forms of international financial data through IATI will reinforce development accountability and effectiveness, particularly by connecting development assistance, humanitarian aid, and the financing of global public goods, including climate and digital public goods.</w:t>
      </w:r>
    </w:p>
    <w:p w14:paraId="27D09221" w14:textId="63CF207D" w:rsidR="2583A85D" w:rsidRPr="00F0522E" w:rsidRDefault="2583A85D" w:rsidP="1DACEA4C">
      <w:pPr>
        <w:pStyle w:val="Heading3"/>
        <w:rPr>
          <w:rFonts w:ascii="Arial" w:eastAsia="Arial" w:hAnsi="Arial" w:cs="Arial"/>
          <w:b/>
          <w:bCs/>
        </w:rPr>
      </w:pPr>
      <w:r w:rsidRPr="00F0522E">
        <w:rPr>
          <w:rFonts w:ascii="Arial" w:eastAsia="Arial" w:hAnsi="Arial" w:cs="Arial"/>
        </w:rPr>
        <w:t>IV. Data, Monitoring, and Follow-Up</w:t>
      </w:r>
    </w:p>
    <w:p w14:paraId="7C2DE996" w14:textId="0387399B" w:rsidR="2583A85D" w:rsidRPr="00F0522E" w:rsidRDefault="2583A85D" w:rsidP="1DACEA4C">
      <w:pPr>
        <w:spacing w:before="240" w:after="240"/>
        <w:rPr>
          <w:rFonts w:ascii="Arial" w:eastAsia="Arial" w:hAnsi="Arial" w:cs="Arial"/>
        </w:rPr>
      </w:pPr>
      <w:r w:rsidRPr="00F0522E">
        <w:rPr>
          <w:rFonts w:ascii="Arial" w:eastAsia="Arial" w:hAnsi="Arial" w:cs="Arial"/>
        </w:rPr>
        <w:t>The importance of robust data, effective monitoring mechanisms, and systematic follow-up processes cannot be overstated in the context of financing for development. As the global community mobilizes resources to achieve the Sustainable Development Goals (SDGs) and addresses the complexities of today’s challenges, the need for accurate, accessible, and actionable data is paramount. The International Aid Transparency Initiative (IATI) plays a crucial role in facilitating this data ecosystem by providing a framework that supports transparency, accountability, and evidence-based decision-making.</w:t>
      </w:r>
    </w:p>
    <w:p w14:paraId="6778FC7E" w14:textId="1D2A1E63" w:rsidR="2583A85D" w:rsidRPr="00F0522E" w:rsidRDefault="2583A85D" w:rsidP="1DACEA4C">
      <w:pPr>
        <w:pStyle w:val="Heading4"/>
        <w:spacing w:before="319" w:after="319"/>
        <w:rPr>
          <w:rFonts w:ascii="Arial" w:eastAsia="Arial" w:hAnsi="Arial" w:cs="Arial"/>
        </w:rPr>
      </w:pPr>
      <w:r w:rsidRPr="00F0522E">
        <w:rPr>
          <w:rFonts w:ascii="Arial" w:eastAsia="Arial" w:hAnsi="Arial" w:cs="Arial"/>
        </w:rPr>
        <w:t>A. Enhancing Data Accessibility</w:t>
      </w:r>
    </w:p>
    <w:p w14:paraId="4BB60409" w14:textId="1C210621" w:rsidR="2583A85D" w:rsidRPr="00F0522E" w:rsidRDefault="6875F7EC" w:rsidP="1DACEA4C">
      <w:pPr>
        <w:pStyle w:val="ListParagraph"/>
        <w:numPr>
          <w:ilvl w:val="0"/>
          <w:numId w:val="26"/>
        </w:numPr>
        <w:spacing w:before="240" w:after="240"/>
        <w:rPr>
          <w:rFonts w:ascii="Arial" w:eastAsia="Arial" w:hAnsi="Arial" w:cs="Arial"/>
        </w:rPr>
      </w:pPr>
      <w:r w:rsidRPr="00F0522E">
        <w:rPr>
          <w:rFonts w:ascii="Arial" w:eastAsia="Arial" w:hAnsi="Arial" w:cs="Arial"/>
          <w:b/>
          <w:bCs/>
        </w:rPr>
        <w:t xml:space="preserve">Promoting </w:t>
      </w:r>
      <w:r w:rsidR="2583A85D" w:rsidRPr="00F0522E">
        <w:rPr>
          <w:rFonts w:ascii="Arial" w:eastAsia="Arial" w:hAnsi="Arial" w:cs="Arial"/>
          <w:b/>
          <w:bCs/>
        </w:rPr>
        <w:t>Open Data Standards</w:t>
      </w:r>
      <w:r w:rsidR="2583A85D" w:rsidRPr="00F0522E">
        <w:rPr>
          <w:rFonts w:ascii="Arial" w:eastAsia="Arial" w:hAnsi="Arial" w:cs="Arial"/>
        </w:rPr>
        <w:t>: IATI promotes the use of open data standards to ensure that development finance information is accessible and usable by all stakeholders. By adopting the IATI Standard, development actors can publish their data in a consistent format that is easily comparable and interoperable with other reporting frameworks, such as the OECD's Development Assistance Committee (DAC) and the United Nations' Sustainable Development Goals (SDGs).</w:t>
      </w:r>
    </w:p>
    <w:p w14:paraId="73E30392" w14:textId="1C3C62D9" w:rsidR="2583A85D" w:rsidRPr="00F0522E" w:rsidRDefault="2583A85D" w:rsidP="1DACEA4C">
      <w:pPr>
        <w:pStyle w:val="ListParagraph"/>
        <w:spacing w:before="240" w:after="240"/>
        <w:rPr>
          <w:rFonts w:ascii="Arial" w:eastAsia="Arial" w:hAnsi="Arial" w:cs="Arial"/>
        </w:rPr>
      </w:pPr>
    </w:p>
    <w:p w14:paraId="55598C56" w14:textId="65C5ACD3" w:rsidR="2583A85D" w:rsidRPr="00F0522E" w:rsidRDefault="2583A85D" w:rsidP="2E29703C">
      <w:pPr>
        <w:pStyle w:val="ListParagraph"/>
        <w:spacing w:before="240" w:after="240"/>
        <w:rPr>
          <w:rFonts w:ascii="Arial" w:eastAsia="Arial" w:hAnsi="Arial" w:cs="Arial"/>
        </w:rPr>
      </w:pPr>
      <w:r w:rsidRPr="00F0522E">
        <w:rPr>
          <w:rFonts w:ascii="Arial" w:eastAsia="Arial" w:hAnsi="Arial" w:cs="Arial"/>
          <w:i/>
          <w:iCs/>
        </w:rPr>
        <w:t>Example:</w:t>
      </w:r>
      <w:r w:rsidRPr="00F0522E">
        <w:rPr>
          <w:rFonts w:ascii="Arial" w:eastAsia="Arial" w:hAnsi="Arial" w:cs="Arial"/>
          <w:i/>
          <w:iCs/>
          <w:color w:val="FF0000"/>
        </w:rPr>
        <w:t xml:space="preserve"> </w:t>
      </w:r>
      <w:r w:rsidR="7F2EEB6E" w:rsidRPr="00F0522E">
        <w:rPr>
          <w:rFonts w:ascii="Arial" w:eastAsia="Arial" w:hAnsi="Arial" w:cs="Arial"/>
        </w:rPr>
        <w:t>The United Kingdom's Foreign, Commonwealth &amp; Development Office (FCDO) publishes its aid data according to the IATI Standard, allowing for easy access to</w:t>
      </w:r>
      <w:r w:rsidR="782E524C" w:rsidRPr="00F0522E">
        <w:rPr>
          <w:rFonts w:ascii="Arial" w:eastAsia="Arial" w:hAnsi="Arial" w:cs="Arial"/>
        </w:rPr>
        <w:t xml:space="preserve"> </w:t>
      </w:r>
      <w:r w:rsidR="7F2EEB6E" w:rsidRPr="00F0522E">
        <w:rPr>
          <w:rFonts w:ascii="Arial" w:eastAsia="Arial" w:hAnsi="Arial" w:cs="Arial"/>
        </w:rPr>
        <w:t>information on funding flows, project details, and results achieved. Since 2012,</w:t>
      </w:r>
      <w:r w:rsidR="7F2EEB6E" w:rsidRPr="00F0522E">
        <w:rPr>
          <w:rFonts w:ascii="Arial" w:eastAsia="Arial" w:hAnsi="Arial" w:cs="Arial"/>
          <w:b/>
          <w:bCs/>
        </w:rPr>
        <w:t xml:space="preserve"> </w:t>
      </w:r>
      <w:r w:rsidR="00F0522E" w:rsidRPr="00F0522E">
        <w:rPr>
          <w:rFonts w:ascii="Arial" w:eastAsia="Arial" w:hAnsi="Arial" w:cs="Arial"/>
          <w:b/>
          <w:bCs/>
        </w:rPr>
        <w:t>r</w:t>
      </w:r>
      <w:r w:rsidRPr="00F0522E" w:rsidDel="7F2EEB6E">
        <w:rPr>
          <w:rFonts w:ascii="Arial" w:eastAsia="Arial" w:hAnsi="Arial" w:cs="Arial"/>
        </w:rPr>
        <w:t xml:space="preserve">ecipient </w:t>
      </w:r>
      <w:r w:rsidRPr="00F0522E" w:rsidDel="397BE2A7">
        <w:rPr>
          <w:rFonts w:ascii="Arial" w:eastAsia="Arial" w:hAnsi="Arial" w:cs="Arial"/>
        </w:rPr>
        <w:t>organisations</w:t>
      </w:r>
      <w:r w:rsidRPr="00F0522E" w:rsidDel="7F2EEB6E">
        <w:rPr>
          <w:rFonts w:ascii="Arial" w:eastAsia="Arial" w:hAnsi="Arial" w:cs="Arial"/>
        </w:rPr>
        <w:t xml:space="preserve"> of aid from the UK have </w:t>
      </w:r>
      <w:r w:rsidRPr="00F0522E" w:rsidDel="4B6C1C6D">
        <w:rPr>
          <w:rFonts w:ascii="Arial" w:eastAsia="Arial" w:hAnsi="Arial" w:cs="Arial"/>
        </w:rPr>
        <w:t xml:space="preserve">also </w:t>
      </w:r>
      <w:r w:rsidRPr="00F0522E" w:rsidDel="7F2EEB6E">
        <w:rPr>
          <w:rFonts w:ascii="Arial" w:eastAsia="Arial" w:hAnsi="Arial" w:cs="Arial"/>
        </w:rPr>
        <w:t>published</w:t>
      </w:r>
      <w:r w:rsidRPr="00F0522E">
        <w:rPr>
          <w:rFonts w:ascii="Arial" w:eastAsia="Arial" w:hAnsi="Arial" w:cs="Arial"/>
        </w:rPr>
        <w:t xml:space="preserve"> to the IATI </w:t>
      </w:r>
      <w:r w:rsidRPr="00F0522E" w:rsidDel="3BBB4761">
        <w:rPr>
          <w:rFonts w:ascii="Arial" w:eastAsia="Arial" w:hAnsi="Arial" w:cs="Arial"/>
        </w:rPr>
        <w:t>Standard</w:t>
      </w:r>
      <w:r w:rsidRPr="00F0522E" w:rsidDel="76150B76">
        <w:rPr>
          <w:rFonts w:ascii="Arial" w:eastAsia="Arial" w:hAnsi="Arial" w:cs="Arial"/>
        </w:rPr>
        <w:t>.</w:t>
      </w:r>
      <w:r w:rsidRPr="00F0522E">
        <w:rPr>
          <w:rStyle w:val="FootnoteReference"/>
          <w:rFonts w:ascii="Arial" w:eastAsia="Arial" w:hAnsi="Arial" w:cs="Arial"/>
        </w:rPr>
        <w:footnoteReference w:id="2"/>
      </w:r>
      <w:r w:rsidR="2D596466" w:rsidRPr="00F0522E">
        <w:rPr>
          <w:rFonts w:ascii="Arial" w:eastAsia="Arial" w:hAnsi="Arial" w:cs="Arial"/>
        </w:rPr>
        <w:t xml:space="preserve"> </w:t>
      </w:r>
      <w:r w:rsidRPr="00F0522E">
        <w:rPr>
          <w:rFonts w:ascii="Arial" w:eastAsia="Arial" w:hAnsi="Arial" w:cs="Arial"/>
        </w:rPr>
        <w:t>This transparency enables civil society organizations and local governments to track funding and hold development partners accountable.</w:t>
      </w:r>
    </w:p>
    <w:p w14:paraId="484ABC56" w14:textId="020E3CEF" w:rsidR="6D6C9736" w:rsidRPr="00F0522E" w:rsidRDefault="6D6C9736" w:rsidP="1DACEA4C">
      <w:pPr>
        <w:pStyle w:val="ListParagraph"/>
        <w:spacing w:before="240" w:after="240"/>
        <w:rPr>
          <w:rFonts w:ascii="Arial" w:eastAsia="Arial" w:hAnsi="Arial" w:cs="Arial"/>
        </w:rPr>
      </w:pPr>
    </w:p>
    <w:p w14:paraId="04244313" w14:textId="5737969B" w:rsidR="3B0037EE" w:rsidRPr="00F0522E" w:rsidRDefault="3B0037EE" w:rsidP="2E29703C">
      <w:pPr>
        <w:pStyle w:val="ListParagraph"/>
        <w:numPr>
          <w:ilvl w:val="0"/>
          <w:numId w:val="26"/>
        </w:numPr>
        <w:spacing w:before="240" w:after="240"/>
        <w:rPr>
          <w:rFonts w:ascii="Arial" w:eastAsia="Arial" w:hAnsi="Arial" w:cs="Arial"/>
        </w:rPr>
      </w:pPr>
      <w:commentRangeStart w:id="1"/>
      <w:r w:rsidRPr="00F0522E">
        <w:rPr>
          <w:rFonts w:ascii="Arial" w:eastAsia="Arial" w:hAnsi="Arial" w:cs="Arial"/>
          <w:b/>
          <w:bCs/>
        </w:rPr>
        <w:t xml:space="preserve">Enabling </w:t>
      </w:r>
      <w:r w:rsidR="2583A85D" w:rsidRPr="00F0522E">
        <w:rPr>
          <w:rFonts w:ascii="Arial" w:eastAsia="Arial" w:hAnsi="Arial" w:cs="Arial"/>
          <w:b/>
          <w:bCs/>
        </w:rPr>
        <w:t>Data Portals and Dashboards</w:t>
      </w:r>
      <w:r w:rsidR="2583A85D" w:rsidRPr="00F0522E">
        <w:rPr>
          <w:rFonts w:ascii="Arial" w:eastAsia="Arial" w:hAnsi="Arial" w:cs="Arial"/>
        </w:rPr>
        <w:t xml:space="preserve">: IATI </w:t>
      </w:r>
      <w:r w:rsidR="7A82F86A" w:rsidRPr="00F0522E">
        <w:rPr>
          <w:rFonts w:ascii="Arial" w:eastAsia="Arial" w:hAnsi="Arial" w:cs="Arial"/>
        </w:rPr>
        <w:t xml:space="preserve">enables </w:t>
      </w:r>
      <w:r w:rsidR="2583A85D" w:rsidRPr="00F0522E">
        <w:rPr>
          <w:rFonts w:ascii="Arial" w:eastAsia="Arial" w:hAnsi="Arial" w:cs="Arial"/>
        </w:rPr>
        <w:t>the development of data portals and dashboards</w:t>
      </w:r>
      <w:r w:rsidR="1D001B0C" w:rsidRPr="00F0522E">
        <w:rPr>
          <w:rFonts w:ascii="Arial" w:eastAsia="Arial" w:hAnsi="Arial" w:cs="Arial"/>
        </w:rPr>
        <w:t xml:space="preserve">, including </w:t>
      </w:r>
      <w:hyperlink r:id="rId7" w:anchor="view=search">
        <w:r w:rsidR="1D001B0C" w:rsidRPr="00F0522E">
          <w:rPr>
            <w:rStyle w:val="Hyperlink"/>
            <w:rFonts w:ascii="Arial" w:eastAsia="Arial" w:hAnsi="Arial" w:cs="Arial"/>
          </w:rPr>
          <w:t>d-portal.org</w:t>
        </w:r>
      </w:hyperlink>
      <w:r w:rsidR="2583A85D" w:rsidRPr="00F0522E">
        <w:rPr>
          <w:rFonts w:ascii="Arial" w:eastAsia="Arial" w:hAnsi="Arial" w:cs="Arial"/>
        </w:rPr>
        <w:t xml:space="preserve"> </w:t>
      </w:r>
      <w:r w:rsidR="4A4330B5" w:rsidRPr="00F0522E">
        <w:rPr>
          <w:rFonts w:ascii="Arial" w:eastAsia="Arial" w:hAnsi="Arial" w:cs="Arial"/>
        </w:rPr>
        <w:t xml:space="preserve">and </w:t>
      </w:r>
      <w:hyperlink r:id="rId8">
        <w:r w:rsidR="4A4330B5" w:rsidRPr="00F0522E">
          <w:rPr>
            <w:rStyle w:val="Hyperlink"/>
            <w:rFonts w:ascii="Arial" w:eastAsia="Arial" w:hAnsi="Arial" w:cs="Arial"/>
          </w:rPr>
          <w:t>Country Development Finance Data</w:t>
        </w:r>
      </w:hyperlink>
      <w:r w:rsidR="450A14EC" w:rsidRPr="00F0522E">
        <w:rPr>
          <w:rFonts w:ascii="Arial" w:eastAsia="Arial" w:hAnsi="Arial" w:cs="Arial"/>
        </w:rPr>
        <w:t xml:space="preserve"> t</w:t>
      </w:r>
      <w:r w:rsidR="2583A85D" w:rsidRPr="00F0522E">
        <w:rPr>
          <w:rFonts w:ascii="Arial" w:eastAsia="Arial" w:hAnsi="Arial" w:cs="Arial"/>
        </w:rPr>
        <w:t xml:space="preserve">hat visualize financial data and project outcomes. </w:t>
      </w:r>
      <w:r w:rsidR="482629C5" w:rsidRPr="00F0522E">
        <w:rPr>
          <w:rFonts w:ascii="Arial" w:eastAsia="Arial" w:hAnsi="Arial" w:cs="Arial"/>
        </w:rPr>
        <w:t xml:space="preserve">IATI manages its own </w:t>
      </w:r>
      <w:r w:rsidR="2583A85D" w:rsidRPr="00F0522E">
        <w:rPr>
          <w:rFonts w:ascii="Arial" w:eastAsia="Arial" w:hAnsi="Arial" w:cs="Arial"/>
        </w:rPr>
        <w:t>tools</w:t>
      </w:r>
      <w:r w:rsidR="5BDC7CB8" w:rsidRPr="00F0522E">
        <w:rPr>
          <w:rFonts w:ascii="Arial" w:eastAsia="Arial" w:hAnsi="Arial" w:cs="Arial"/>
        </w:rPr>
        <w:t xml:space="preserve"> and dashb</w:t>
      </w:r>
      <w:r w:rsidR="26087E93" w:rsidRPr="00F0522E">
        <w:rPr>
          <w:rFonts w:ascii="Arial" w:eastAsia="Arial" w:hAnsi="Arial" w:cs="Arial"/>
        </w:rPr>
        <w:t>oar</w:t>
      </w:r>
      <w:r w:rsidR="5BDC7CB8" w:rsidRPr="00F0522E">
        <w:rPr>
          <w:rFonts w:ascii="Arial" w:eastAsia="Arial" w:hAnsi="Arial" w:cs="Arial"/>
        </w:rPr>
        <w:t>d</w:t>
      </w:r>
      <w:r w:rsidR="549F4027" w:rsidRPr="00F0522E">
        <w:rPr>
          <w:rFonts w:ascii="Arial" w:eastAsia="Arial" w:hAnsi="Arial" w:cs="Arial"/>
        </w:rPr>
        <w:t>s</w:t>
      </w:r>
      <w:r w:rsidR="5BDC7CB8" w:rsidRPr="00F0522E">
        <w:rPr>
          <w:rFonts w:ascii="Arial" w:eastAsia="Arial" w:hAnsi="Arial" w:cs="Arial"/>
        </w:rPr>
        <w:t xml:space="preserve"> that</w:t>
      </w:r>
      <w:r w:rsidR="2583A85D" w:rsidRPr="00F0522E">
        <w:rPr>
          <w:rFonts w:ascii="Arial" w:eastAsia="Arial" w:hAnsi="Arial" w:cs="Arial"/>
        </w:rPr>
        <w:t xml:space="preserve"> empower stakeholders to </w:t>
      </w:r>
      <w:r w:rsidR="101331CD" w:rsidRPr="00F0522E">
        <w:rPr>
          <w:rFonts w:ascii="Arial" w:eastAsia="Arial" w:hAnsi="Arial" w:cs="Arial"/>
        </w:rPr>
        <w:t>analyse</w:t>
      </w:r>
      <w:r w:rsidR="2583A85D" w:rsidRPr="00F0522E">
        <w:rPr>
          <w:rFonts w:ascii="Arial" w:eastAsia="Arial" w:hAnsi="Arial" w:cs="Arial"/>
        </w:rPr>
        <w:t xml:space="preserve"> trends, assess the effectiveness of interventions, and identify gaps in funding.</w:t>
      </w:r>
      <w:commentRangeEnd w:id="1"/>
      <w:r w:rsidRPr="00F0522E">
        <w:rPr>
          <w:rStyle w:val="CommentReference"/>
        </w:rPr>
        <w:commentReference w:id="1"/>
      </w:r>
    </w:p>
    <w:p w14:paraId="77951632" w14:textId="18651344" w:rsidR="6D6C9736" w:rsidRPr="00F0522E" w:rsidRDefault="6D6C9736" w:rsidP="1DACEA4C">
      <w:pPr>
        <w:pStyle w:val="ListParagraph"/>
        <w:spacing w:before="240" w:after="240"/>
        <w:rPr>
          <w:rFonts w:ascii="Arial" w:eastAsia="Arial" w:hAnsi="Arial" w:cs="Arial"/>
        </w:rPr>
      </w:pPr>
    </w:p>
    <w:p w14:paraId="1E267E57" w14:textId="60E03BAC" w:rsidR="2583A85D" w:rsidRPr="00F0522E" w:rsidRDefault="2583A85D" w:rsidP="2E29703C">
      <w:pPr>
        <w:pStyle w:val="ListParagraph"/>
        <w:spacing w:before="240" w:after="240"/>
        <w:rPr>
          <w:rFonts w:ascii="Arial" w:eastAsia="Arial" w:hAnsi="Arial" w:cs="Arial"/>
        </w:rPr>
      </w:pPr>
      <w:r w:rsidRPr="00F0522E">
        <w:rPr>
          <w:rFonts w:ascii="Arial" w:eastAsia="Arial" w:hAnsi="Arial" w:cs="Arial"/>
          <w:i/>
          <w:iCs/>
        </w:rPr>
        <w:t>Example:</w:t>
      </w:r>
      <w:r w:rsidR="1525C7E5" w:rsidRPr="00F0522E">
        <w:rPr>
          <w:rFonts w:ascii="Arial" w:eastAsia="Arial" w:hAnsi="Arial" w:cs="Arial"/>
          <w:i/>
          <w:iCs/>
        </w:rPr>
        <w:t xml:space="preserve"> </w:t>
      </w:r>
      <w:r w:rsidRPr="00F0522E">
        <w:rPr>
          <w:rFonts w:ascii="Arial" w:eastAsia="Arial" w:hAnsi="Arial" w:cs="Arial"/>
          <w:color w:val="000000" w:themeColor="text1"/>
        </w:rPr>
        <w:t>The</w:t>
      </w:r>
      <w:r w:rsidR="5438143F" w:rsidRPr="00F0522E">
        <w:rPr>
          <w:rFonts w:ascii="Arial" w:eastAsia="Arial" w:hAnsi="Arial" w:cs="Arial"/>
          <w:color w:val="000000" w:themeColor="text1"/>
        </w:rPr>
        <w:t xml:space="preserve"> US Government’s data portal,</w:t>
      </w:r>
      <w:r w:rsidR="65BDD24D" w:rsidRPr="00F0522E">
        <w:rPr>
          <w:rFonts w:ascii="Arial" w:eastAsia="Arial" w:hAnsi="Arial" w:cs="Arial"/>
          <w:color w:val="000000" w:themeColor="text1"/>
        </w:rPr>
        <w:t xml:space="preserve"> </w:t>
      </w:r>
      <w:hyperlink r:id="rId13" w:anchor=":~:text=Explore%20what%20other%20development%20organizations%20are%20doing%20in%20a%20country%20(as%20reported%20in%20the%20International%20Aid%20Transparency%20Initiative).%20Data%20can%20be%20compared%20across%20sectors%2C%20organizations%2C%20and%20activities%20in%20a%20highly%20visual%20and%20interactive%20dashboard.">
        <w:r w:rsidR="6BF76CBB" w:rsidRPr="00F0522E">
          <w:rPr>
            <w:rStyle w:val="Hyperlink"/>
            <w:rFonts w:ascii="Arial" w:eastAsia="Arial" w:hAnsi="Arial" w:cs="Arial"/>
          </w:rPr>
          <w:t>Development Cooperation Landscape tool</w:t>
        </w:r>
        <w:r w:rsidR="1429B95B" w:rsidRPr="00F0522E">
          <w:rPr>
            <w:rStyle w:val="Hyperlink"/>
            <w:rFonts w:ascii="Arial" w:eastAsia="Arial" w:hAnsi="Arial" w:cs="Arial"/>
          </w:rPr>
          <w:t>,</w:t>
        </w:r>
      </w:hyperlink>
      <w:r w:rsidR="1429B95B" w:rsidRPr="00F0522E">
        <w:rPr>
          <w:rFonts w:ascii="Arial" w:eastAsia="Arial" w:hAnsi="Arial" w:cs="Arial"/>
          <w:color w:val="000000" w:themeColor="text1"/>
        </w:rPr>
        <w:t xml:space="preserve"> provided by USAID and the U.S Department of State</w:t>
      </w:r>
      <w:r w:rsidR="04AE2BF6" w:rsidRPr="00F0522E">
        <w:rPr>
          <w:rFonts w:ascii="Arial" w:eastAsia="Arial" w:hAnsi="Arial" w:cs="Arial"/>
          <w:color w:val="000000" w:themeColor="text1"/>
        </w:rPr>
        <w:t xml:space="preserve"> </w:t>
      </w:r>
      <w:r w:rsidR="1BBAEDCC" w:rsidRPr="00F0522E">
        <w:rPr>
          <w:rFonts w:ascii="Arial" w:eastAsia="Arial" w:hAnsi="Arial" w:cs="Arial"/>
          <w:color w:val="000000" w:themeColor="text1"/>
        </w:rPr>
        <w:t>s</w:t>
      </w:r>
      <w:r w:rsidR="1BBAEDCC" w:rsidRPr="00F0522E">
        <w:rPr>
          <w:rFonts w:ascii="Arial" w:eastAsia="Arial" w:hAnsi="Arial" w:cs="Arial"/>
        </w:rPr>
        <w:t xml:space="preserve">upports </w:t>
      </w:r>
      <w:r w:rsidR="4B3DF79D" w:rsidRPr="00F0522E">
        <w:rPr>
          <w:rFonts w:ascii="Arial" w:eastAsia="Arial" w:hAnsi="Arial" w:cs="Arial"/>
        </w:rPr>
        <w:t xml:space="preserve">government </w:t>
      </w:r>
      <w:r w:rsidR="1BBAEDCC" w:rsidRPr="00F0522E">
        <w:rPr>
          <w:rFonts w:ascii="Arial" w:eastAsia="Arial" w:hAnsi="Arial" w:cs="Arial"/>
        </w:rPr>
        <w:t xml:space="preserve">staff </w:t>
      </w:r>
      <w:r w:rsidR="70BF2BFC" w:rsidRPr="00F0522E">
        <w:rPr>
          <w:rFonts w:ascii="Arial" w:eastAsia="Arial" w:hAnsi="Arial" w:cs="Arial"/>
        </w:rPr>
        <w:t xml:space="preserve">to access </w:t>
      </w:r>
      <w:r w:rsidR="1BBAEDCC" w:rsidRPr="00F0522E">
        <w:rPr>
          <w:rFonts w:ascii="Arial" w:eastAsia="Arial" w:hAnsi="Arial" w:cs="Arial"/>
        </w:rPr>
        <w:t>IATI data on the spending and activities of other development organisations.</w:t>
      </w:r>
      <w:r w:rsidR="4705731A" w:rsidRPr="00F0522E">
        <w:rPr>
          <w:rFonts w:ascii="Arial" w:eastAsia="Arial" w:hAnsi="Arial" w:cs="Arial"/>
        </w:rPr>
        <w:t xml:space="preserve"> </w:t>
      </w:r>
      <w:r w:rsidR="5A800655" w:rsidRPr="00F0522E">
        <w:rPr>
          <w:rFonts w:ascii="Arial" w:eastAsia="Arial" w:hAnsi="Arial" w:cs="Arial"/>
        </w:rPr>
        <w:t>The</w:t>
      </w:r>
      <w:r w:rsidR="40C684C4" w:rsidRPr="00F0522E">
        <w:rPr>
          <w:rFonts w:ascii="Arial" w:eastAsia="Arial" w:hAnsi="Arial" w:cs="Arial"/>
        </w:rPr>
        <w:t xml:space="preserve">ir </w:t>
      </w:r>
      <w:r w:rsidR="4EBF42B5" w:rsidRPr="00F0522E">
        <w:rPr>
          <w:rFonts w:ascii="Arial" w:eastAsia="Arial" w:hAnsi="Arial" w:cs="Arial"/>
        </w:rPr>
        <w:t xml:space="preserve">online data portal aims to improve the collaboration of </w:t>
      </w:r>
      <w:r w:rsidR="18D0E9A7" w:rsidRPr="00F0522E">
        <w:rPr>
          <w:rFonts w:ascii="Arial" w:eastAsia="Arial" w:hAnsi="Arial" w:cs="Arial"/>
        </w:rPr>
        <w:t xml:space="preserve">US </w:t>
      </w:r>
      <w:r w:rsidR="18D0E9A7" w:rsidRPr="00F0522E">
        <w:rPr>
          <w:rFonts w:ascii="Arial" w:eastAsia="Arial" w:hAnsi="Arial" w:cs="Arial"/>
        </w:rPr>
        <w:lastRenderedPageBreak/>
        <w:t>agencies</w:t>
      </w:r>
      <w:r w:rsidR="4EBF42B5" w:rsidRPr="00F0522E">
        <w:rPr>
          <w:rFonts w:ascii="Arial" w:eastAsia="Arial" w:hAnsi="Arial" w:cs="Arial"/>
        </w:rPr>
        <w:t xml:space="preserve"> with other organisations delivering development activities within</w:t>
      </w:r>
      <w:r w:rsidR="370C4849" w:rsidRPr="00F0522E">
        <w:rPr>
          <w:rFonts w:ascii="Arial" w:eastAsia="Arial" w:hAnsi="Arial" w:cs="Arial"/>
        </w:rPr>
        <w:t xml:space="preserve"> </w:t>
      </w:r>
      <w:r w:rsidR="4EBF42B5" w:rsidRPr="00F0522E">
        <w:rPr>
          <w:rFonts w:ascii="Arial" w:eastAsia="Arial" w:hAnsi="Arial" w:cs="Arial"/>
        </w:rPr>
        <w:t>the same developing country</w:t>
      </w:r>
      <w:r w:rsidRPr="00F0522E">
        <w:rPr>
          <w:rStyle w:val="FootnoteReference"/>
          <w:rFonts w:ascii="Arial" w:eastAsia="Arial" w:hAnsi="Arial" w:cs="Arial"/>
        </w:rPr>
        <w:footnoteReference w:id="3"/>
      </w:r>
      <w:r w:rsidR="4EBF42B5" w:rsidRPr="00F0522E">
        <w:rPr>
          <w:rFonts w:ascii="Arial" w:eastAsia="Arial" w:hAnsi="Arial" w:cs="Arial"/>
        </w:rPr>
        <w:t>.</w:t>
      </w:r>
    </w:p>
    <w:p w14:paraId="4EFDDD92" w14:textId="258626C2" w:rsidR="2583A85D" w:rsidRPr="00F0522E" w:rsidRDefault="2583A85D" w:rsidP="1DACEA4C">
      <w:pPr>
        <w:pStyle w:val="Heading4"/>
        <w:spacing w:before="319" w:after="319"/>
        <w:rPr>
          <w:rFonts w:ascii="Arial" w:eastAsia="Arial" w:hAnsi="Arial" w:cs="Arial"/>
        </w:rPr>
      </w:pPr>
      <w:r w:rsidRPr="00F0522E">
        <w:rPr>
          <w:rFonts w:ascii="Arial" w:eastAsia="Arial" w:hAnsi="Arial" w:cs="Arial"/>
        </w:rPr>
        <w:t>B. Monitoring and Evaluating Development Outcomes</w:t>
      </w:r>
    </w:p>
    <w:p w14:paraId="5096C2F3" w14:textId="22C4F0AD" w:rsidR="2583A85D" w:rsidRPr="00F0522E" w:rsidRDefault="2583A85D" w:rsidP="1DACEA4C">
      <w:pPr>
        <w:pStyle w:val="ListParagraph"/>
        <w:numPr>
          <w:ilvl w:val="0"/>
          <w:numId w:val="26"/>
        </w:numPr>
        <w:spacing w:before="240" w:after="240"/>
        <w:rPr>
          <w:rFonts w:ascii="Arial" w:eastAsia="Arial" w:hAnsi="Arial" w:cs="Arial"/>
        </w:rPr>
      </w:pPr>
      <w:r w:rsidRPr="00F0522E">
        <w:rPr>
          <w:rFonts w:ascii="Arial" w:eastAsia="Arial" w:hAnsi="Arial" w:cs="Arial"/>
          <w:b/>
          <w:bCs/>
        </w:rPr>
        <w:t>Setting Indicators</w:t>
      </w:r>
      <w:r w:rsidRPr="00F0522E">
        <w:rPr>
          <w:rFonts w:ascii="Arial" w:eastAsia="Arial" w:hAnsi="Arial" w:cs="Arial"/>
        </w:rPr>
        <w:t>:</w:t>
      </w:r>
      <w:r w:rsidR="6716E4E3" w:rsidRPr="00F0522E">
        <w:rPr>
          <w:rFonts w:ascii="Arial" w:eastAsia="Arial" w:hAnsi="Arial" w:cs="Arial"/>
        </w:rPr>
        <w:t xml:space="preserve"> </w:t>
      </w:r>
      <w:r w:rsidRPr="00F0522E">
        <w:rPr>
          <w:rFonts w:ascii="Arial" w:eastAsia="Arial" w:hAnsi="Arial" w:cs="Arial"/>
        </w:rPr>
        <w:t xml:space="preserve">IATI encourages </w:t>
      </w:r>
      <w:r w:rsidR="502EBFA4" w:rsidRPr="00F0522E">
        <w:rPr>
          <w:rFonts w:ascii="Arial" w:eastAsia="Arial" w:hAnsi="Arial" w:cs="Arial"/>
        </w:rPr>
        <w:t>financing data to be</w:t>
      </w:r>
      <w:r w:rsidRPr="00F0522E">
        <w:rPr>
          <w:rFonts w:ascii="Arial" w:eastAsia="Arial" w:hAnsi="Arial" w:cs="Arial"/>
        </w:rPr>
        <w:t xml:space="preserve"> linked to the SDGs. By aligning financial data with specific outcomes, stakeholders can evaluate the effectiveness of investments and ensure that financing is directed toward achieving sustainable development.</w:t>
      </w:r>
    </w:p>
    <w:p w14:paraId="61F96639" w14:textId="41C3D855" w:rsidR="2583A85D" w:rsidRPr="00F0522E" w:rsidRDefault="2583A85D" w:rsidP="2E29703C">
      <w:pPr>
        <w:pStyle w:val="ListParagraph"/>
        <w:spacing w:before="240" w:after="240"/>
        <w:rPr>
          <w:rFonts w:ascii="Arial" w:eastAsia="Arial" w:hAnsi="Arial" w:cs="Arial"/>
          <w:i/>
          <w:iCs/>
        </w:rPr>
      </w:pPr>
    </w:p>
    <w:p w14:paraId="03C9DF38" w14:textId="30805610" w:rsidR="2583A85D" w:rsidRPr="00F0522E" w:rsidRDefault="2583A85D" w:rsidP="2E29703C">
      <w:pPr>
        <w:pStyle w:val="ListParagraph"/>
        <w:spacing w:before="240" w:after="240"/>
        <w:rPr>
          <w:rFonts w:ascii="Arial" w:eastAsia="Arial" w:hAnsi="Arial" w:cs="Arial"/>
        </w:rPr>
      </w:pPr>
      <w:r w:rsidRPr="00F0522E">
        <w:rPr>
          <w:rFonts w:ascii="Arial" w:eastAsia="Arial" w:hAnsi="Arial" w:cs="Arial"/>
          <w:i/>
          <w:iCs/>
        </w:rPr>
        <w:t xml:space="preserve">Example: </w:t>
      </w:r>
      <w:r w:rsidR="624AE137" w:rsidRPr="00F0522E">
        <w:rPr>
          <w:rFonts w:ascii="Arial" w:eastAsia="Arial" w:hAnsi="Arial" w:cs="Arial"/>
        </w:rPr>
        <w:t xml:space="preserve">The </w:t>
      </w:r>
      <w:r w:rsidR="624AE137" w:rsidRPr="00F0522E">
        <w:rPr>
          <w:rFonts w:ascii="Arial" w:eastAsia="Arial" w:hAnsi="Arial" w:cs="Arial"/>
          <w:color w:val="000000" w:themeColor="text1"/>
        </w:rPr>
        <w:t>African Development Bank</w:t>
      </w:r>
      <w:r w:rsidR="593CF5E2" w:rsidRPr="00F0522E">
        <w:rPr>
          <w:rFonts w:ascii="Arial" w:eastAsia="Arial" w:hAnsi="Arial" w:cs="Arial"/>
          <w:color w:val="000000" w:themeColor="text1"/>
        </w:rPr>
        <w:t xml:space="preserve"> </w:t>
      </w:r>
      <w:r w:rsidR="18B8109A" w:rsidRPr="00F0522E">
        <w:rPr>
          <w:rFonts w:ascii="Arial" w:eastAsia="Arial" w:hAnsi="Arial" w:cs="Arial"/>
          <w:color w:val="000000" w:themeColor="text1"/>
        </w:rPr>
        <w:t xml:space="preserve">has adopted </w:t>
      </w:r>
      <w:r w:rsidR="593CF5E2" w:rsidRPr="00F0522E">
        <w:rPr>
          <w:rFonts w:ascii="Arial" w:eastAsia="Arial" w:hAnsi="Arial" w:cs="Arial"/>
          <w:color w:val="000000" w:themeColor="text1"/>
        </w:rPr>
        <w:t>the IATI Standard to publish</w:t>
      </w:r>
      <w:r w:rsidR="28DDFCC8" w:rsidRPr="00F0522E">
        <w:rPr>
          <w:rFonts w:ascii="Arial" w:eastAsia="Arial" w:hAnsi="Arial" w:cs="Arial"/>
          <w:color w:val="000000" w:themeColor="text1"/>
        </w:rPr>
        <w:t xml:space="preserve"> </w:t>
      </w:r>
      <w:r w:rsidR="216BC6C9" w:rsidRPr="00F0522E">
        <w:rPr>
          <w:rFonts w:ascii="Arial" w:eastAsia="Arial" w:hAnsi="Arial" w:cs="Arial"/>
          <w:color w:val="000000" w:themeColor="text1"/>
        </w:rPr>
        <w:t xml:space="preserve">data on the </w:t>
      </w:r>
      <w:r w:rsidR="26392B70" w:rsidRPr="00F0522E">
        <w:rPr>
          <w:rFonts w:ascii="Arial" w:eastAsia="Arial" w:hAnsi="Arial" w:cs="Arial"/>
          <w:color w:val="000000" w:themeColor="text1"/>
        </w:rPr>
        <w:t>r</w:t>
      </w:r>
      <w:r w:rsidR="41024615" w:rsidRPr="00F0522E">
        <w:rPr>
          <w:rFonts w:ascii="Arial" w:eastAsia="Arial" w:hAnsi="Arial" w:cs="Arial"/>
          <w:color w:val="000000" w:themeColor="text1"/>
        </w:rPr>
        <w:t>esult</w:t>
      </w:r>
      <w:r w:rsidR="1AB7FBCB" w:rsidRPr="00F0522E">
        <w:rPr>
          <w:rFonts w:ascii="Arial" w:eastAsia="Arial" w:hAnsi="Arial" w:cs="Arial"/>
          <w:color w:val="000000" w:themeColor="text1"/>
        </w:rPr>
        <w:t xml:space="preserve"> of their development spending</w:t>
      </w:r>
      <w:r w:rsidR="41024615" w:rsidRPr="00F0522E">
        <w:rPr>
          <w:rFonts w:ascii="Arial" w:eastAsia="Arial" w:hAnsi="Arial" w:cs="Arial"/>
          <w:color w:val="000000" w:themeColor="text1"/>
        </w:rPr>
        <w:t xml:space="preserve"> </w:t>
      </w:r>
      <w:r w:rsidRPr="00F0522E">
        <w:rPr>
          <w:rStyle w:val="FootnoteReference"/>
          <w:rFonts w:ascii="Arial" w:eastAsia="Arial" w:hAnsi="Arial" w:cs="Arial"/>
          <w:color w:val="000000" w:themeColor="text1"/>
        </w:rPr>
        <w:footnoteReference w:id="4"/>
      </w:r>
      <w:r w:rsidR="3E740152" w:rsidRPr="00F0522E">
        <w:rPr>
          <w:rFonts w:ascii="Arial" w:eastAsia="Arial" w:hAnsi="Arial" w:cs="Arial"/>
          <w:color w:val="000000" w:themeColor="text1"/>
        </w:rPr>
        <w:t xml:space="preserve">. </w:t>
      </w:r>
      <w:r w:rsidR="372FF2EC" w:rsidRPr="00F0522E">
        <w:rPr>
          <w:rFonts w:ascii="Arial" w:eastAsia="Arial" w:hAnsi="Arial" w:cs="Arial"/>
          <w:color w:val="000000" w:themeColor="text1"/>
        </w:rPr>
        <w:t xml:space="preserve">The Bank’s data portal, </w:t>
      </w:r>
      <w:hyperlink r:id="rId14">
        <w:r w:rsidR="372FF2EC" w:rsidRPr="00F0522E">
          <w:rPr>
            <w:rStyle w:val="Hyperlink"/>
            <w:rFonts w:eastAsiaTheme="minorEastAsia"/>
          </w:rPr>
          <w:t>Map Africa</w:t>
        </w:r>
      </w:hyperlink>
      <w:r w:rsidR="372FF2EC" w:rsidRPr="00F0522E">
        <w:rPr>
          <w:rFonts w:ascii="Arial" w:eastAsia="Arial" w:hAnsi="Arial" w:cs="Arial"/>
          <w:color w:val="000000" w:themeColor="text1"/>
        </w:rPr>
        <w:t xml:space="preserve"> </w:t>
      </w:r>
      <w:r w:rsidR="34C4C254" w:rsidRPr="00F0522E">
        <w:rPr>
          <w:rFonts w:ascii="Arial" w:eastAsia="Arial" w:hAnsi="Arial" w:cs="Arial"/>
          <w:color w:val="000000" w:themeColor="text1"/>
        </w:rPr>
        <w:t xml:space="preserve">offers a clear view of how </w:t>
      </w:r>
      <w:r w:rsidR="372FF2EC" w:rsidRPr="00F0522E">
        <w:rPr>
          <w:rFonts w:ascii="Arial" w:eastAsia="Arial" w:hAnsi="Arial" w:cs="Arial"/>
          <w:color w:val="000000" w:themeColor="text1"/>
        </w:rPr>
        <w:t xml:space="preserve">IATI data </w:t>
      </w:r>
      <w:r w:rsidR="627EA2F4" w:rsidRPr="00F0522E">
        <w:rPr>
          <w:rFonts w:ascii="Arial" w:eastAsia="Arial" w:hAnsi="Arial" w:cs="Arial"/>
          <w:color w:val="000000" w:themeColor="text1"/>
        </w:rPr>
        <w:t xml:space="preserve">is being used to </w:t>
      </w:r>
      <w:r w:rsidR="372FF2EC" w:rsidRPr="00F0522E">
        <w:rPr>
          <w:rFonts w:ascii="Arial" w:eastAsia="Arial" w:hAnsi="Arial" w:cs="Arial"/>
          <w:color w:val="000000" w:themeColor="text1"/>
        </w:rPr>
        <w:t xml:space="preserve">monitor </w:t>
      </w:r>
      <w:r w:rsidR="7A0B756B" w:rsidRPr="00F0522E">
        <w:rPr>
          <w:rFonts w:ascii="Arial" w:eastAsia="Arial" w:hAnsi="Arial" w:cs="Arial"/>
          <w:color w:val="000000" w:themeColor="text1"/>
        </w:rPr>
        <w:t>the implementation of the</w:t>
      </w:r>
      <w:r w:rsidR="056F94FE" w:rsidRPr="00F0522E">
        <w:rPr>
          <w:rFonts w:ascii="Arial" w:eastAsia="Arial" w:hAnsi="Arial" w:cs="Arial"/>
          <w:color w:val="000000" w:themeColor="text1"/>
        </w:rPr>
        <w:t>ir</w:t>
      </w:r>
      <w:r w:rsidR="7A0B756B" w:rsidRPr="00F0522E">
        <w:rPr>
          <w:rFonts w:ascii="Arial" w:eastAsia="Arial" w:hAnsi="Arial" w:cs="Arial"/>
          <w:color w:val="000000" w:themeColor="text1"/>
        </w:rPr>
        <w:t xml:space="preserve"> </w:t>
      </w:r>
      <w:r w:rsidR="10571A91" w:rsidRPr="00F0522E">
        <w:rPr>
          <w:rFonts w:ascii="Arial" w:eastAsia="Arial" w:hAnsi="Arial" w:cs="Arial"/>
          <w:color w:val="000000" w:themeColor="text1"/>
        </w:rPr>
        <w:t>“High 5 Priority”</w:t>
      </w:r>
      <w:r w:rsidR="372FF2EC" w:rsidRPr="00F0522E">
        <w:rPr>
          <w:rFonts w:ascii="Arial" w:eastAsia="Arial" w:hAnsi="Arial" w:cs="Arial"/>
          <w:color w:val="000000" w:themeColor="text1"/>
        </w:rPr>
        <w:t xml:space="preserve"> development outcomes</w:t>
      </w:r>
      <w:r w:rsidR="0E2726D3" w:rsidRPr="00F0522E">
        <w:rPr>
          <w:rFonts w:ascii="Arial" w:eastAsia="Arial" w:hAnsi="Arial" w:cs="Arial"/>
          <w:color w:val="000000" w:themeColor="text1"/>
        </w:rPr>
        <w:t xml:space="preserve">: Light up and Power Africa, Feed Africa, Industrialize Africa, Integrate Africa, and Improve the Quality of Life for the People of Africa. </w:t>
      </w:r>
    </w:p>
    <w:p w14:paraId="089B0EE6" w14:textId="7DDD82F5" w:rsidR="1DACEA4C" w:rsidRPr="00F0522E" w:rsidRDefault="1DACEA4C" w:rsidP="1DACEA4C">
      <w:pPr>
        <w:pStyle w:val="ListParagraph"/>
        <w:spacing w:before="240" w:after="240"/>
        <w:rPr>
          <w:rFonts w:ascii="Arial" w:eastAsia="Arial" w:hAnsi="Arial" w:cs="Arial"/>
          <w:color w:val="000000" w:themeColor="text1"/>
        </w:rPr>
      </w:pPr>
    </w:p>
    <w:p w14:paraId="6D33EFC7" w14:textId="60EC1464" w:rsidR="2583A85D" w:rsidRPr="00F0522E" w:rsidRDefault="2583A85D" w:rsidP="2E29703C">
      <w:pPr>
        <w:pStyle w:val="ListParagraph"/>
        <w:numPr>
          <w:ilvl w:val="0"/>
          <w:numId w:val="26"/>
        </w:numPr>
        <w:spacing w:before="240" w:after="240"/>
        <w:rPr>
          <w:rFonts w:ascii="Arial" w:eastAsia="Arial" w:hAnsi="Arial" w:cs="Arial"/>
          <w:color w:val="000000" w:themeColor="text1"/>
        </w:rPr>
      </w:pPr>
      <w:r w:rsidRPr="00F0522E">
        <w:rPr>
          <w:rFonts w:ascii="Arial" w:eastAsia="Arial" w:hAnsi="Arial" w:cs="Arial"/>
          <w:b/>
          <w:bCs/>
        </w:rPr>
        <w:t>Real-Time Reporting</w:t>
      </w:r>
      <w:r w:rsidRPr="00F0522E">
        <w:rPr>
          <w:rFonts w:ascii="Arial" w:eastAsia="Arial" w:hAnsi="Arial" w:cs="Arial"/>
        </w:rPr>
        <w:t>: One of the strengths of IATI is its capability for real-time data reporting. Development actors can update their financial information regularly, allowing for timely assessments of funding flows and their impacts.</w:t>
      </w:r>
    </w:p>
    <w:p w14:paraId="3F395B9F" w14:textId="4BD03000" w:rsidR="1DACEA4C" w:rsidRPr="00F0522E" w:rsidRDefault="1DACEA4C" w:rsidP="1DACEA4C">
      <w:pPr>
        <w:pStyle w:val="ListParagraph"/>
        <w:spacing w:before="240" w:after="240"/>
        <w:rPr>
          <w:rFonts w:ascii="Arial" w:eastAsia="Arial" w:hAnsi="Arial" w:cs="Arial"/>
          <w:i/>
          <w:iCs/>
        </w:rPr>
      </w:pPr>
    </w:p>
    <w:p w14:paraId="5F6244A8" w14:textId="588953B3" w:rsidR="2583A85D" w:rsidRPr="00F0522E" w:rsidRDefault="2583A85D" w:rsidP="1DACEA4C">
      <w:pPr>
        <w:pStyle w:val="ListParagraph"/>
        <w:spacing w:before="240" w:after="240"/>
        <w:rPr>
          <w:rFonts w:ascii="Arial" w:eastAsia="Arial" w:hAnsi="Arial" w:cs="Arial"/>
          <w:color w:val="000000" w:themeColor="text1"/>
        </w:rPr>
      </w:pPr>
      <w:r w:rsidRPr="00F0522E">
        <w:rPr>
          <w:rFonts w:ascii="Arial" w:eastAsia="Arial" w:hAnsi="Arial" w:cs="Arial"/>
          <w:i/>
          <w:iCs/>
        </w:rPr>
        <w:t>Example:</w:t>
      </w:r>
      <w:r w:rsidR="60966D33" w:rsidRPr="00F0522E">
        <w:rPr>
          <w:rFonts w:ascii="Arial" w:eastAsia="Arial" w:hAnsi="Arial" w:cs="Arial"/>
          <w:i/>
          <w:iCs/>
        </w:rPr>
        <w:t xml:space="preserve"> </w:t>
      </w:r>
      <w:r w:rsidR="47104D5E" w:rsidRPr="00F0522E">
        <w:rPr>
          <w:rFonts w:ascii="Arial" w:eastAsia="Arial" w:hAnsi="Arial" w:cs="Arial"/>
        </w:rPr>
        <w:t>GAFS</w:t>
      </w:r>
      <w:r w:rsidR="47104D5E" w:rsidRPr="00F0522E">
        <w:rPr>
          <w:rFonts w:ascii="Arial" w:eastAsia="Arial" w:hAnsi="Arial" w:cs="Arial"/>
          <w:color w:val="001D35"/>
        </w:rPr>
        <w:t xml:space="preserve"> —</w:t>
      </w:r>
      <w:r w:rsidR="6D48835E" w:rsidRPr="00F0522E">
        <w:rPr>
          <w:rFonts w:ascii="Arial" w:eastAsia="Arial" w:hAnsi="Arial" w:cs="Arial"/>
          <w:color w:val="001D35"/>
        </w:rPr>
        <w:t xml:space="preserve"> </w:t>
      </w:r>
      <w:r w:rsidR="60966D33" w:rsidRPr="00F0522E">
        <w:rPr>
          <w:rFonts w:ascii="Arial" w:eastAsia="Arial" w:hAnsi="Arial" w:cs="Arial"/>
        </w:rPr>
        <w:t>The</w:t>
      </w:r>
      <w:r w:rsidR="5751027C" w:rsidRPr="00F0522E">
        <w:rPr>
          <w:rFonts w:ascii="Arial" w:eastAsia="Arial" w:hAnsi="Arial" w:cs="Arial"/>
        </w:rPr>
        <w:t xml:space="preserve"> </w:t>
      </w:r>
      <w:r w:rsidR="7A4EC4E2" w:rsidRPr="00F0522E">
        <w:rPr>
          <w:rFonts w:ascii="Arial" w:eastAsia="Arial" w:hAnsi="Arial" w:cs="Arial"/>
        </w:rPr>
        <w:t xml:space="preserve">Global Alliance for Food Security </w:t>
      </w:r>
      <w:r w:rsidR="5020B864" w:rsidRPr="00F0522E">
        <w:rPr>
          <w:rFonts w:ascii="Arial" w:eastAsia="Arial" w:hAnsi="Arial" w:cs="Arial"/>
        </w:rPr>
        <w:t>(jointly convened by the World Bank Group and the German G7 Presidency)</w:t>
      </w:r>
      <w:r w:rsidR="62ECE252" w:rsidRPr="00F0522E">
        <w:rPr>
          <w:rFonts w:ascii="Arial" w:eastAsia="Arial" w:hAnsi="Arial" w:cs="Arial"/>
        </w:rPr>
        <w:t xml:space="preserve"> </w:t>
      </w:r>
      <w:r w:rsidR="0112201D" w:rsidRPr="00F0522E">
        <w:rPr>
          <w:rFonts w:ascii="Arial" w:eastAsia="Arial" w:hAnsi="Arial" w:cs="Arial"/>
          <w:color w:val="001D35"/>
        </w:rPr>
        <w:t>—</w:t>
      </w:r>
      <w:r w:rsidR="5020B864" w:rsidRPr="00F0522E">
        <w:rPr>
          <w:rFonts w:ascii="Arial" w:eastAsia="Arial" w:hAnsi="Arial" w:cs="Arial"/>
        </w:rPr>
        <w:t xml:space="preserve"> is using IATI to access real-time data to act swiftly in response to emerging food crises.</w:t>
      </w:r>
      <w:r w:rsidR="13849CC2" w:rsidRPr="00F0522E">
        <w:rPr>
          <w:rFonts w:ascii="Arial" w:eastAsia="Arial" w:hAnsi="Arial" w:cs="Arial"/>
        </w:rPr>
        <w:t xml:space="preserve"> IATI provides</w:t>
      </w:r>
      <w:r w:rsidR="21D67E66" w:rsidRPr="00F0522E">
        <w:rPr>
          <w:rFonts w:ascii="Arial" w:eastAsia="Arial" w:hAnsi="Arial" w:cs="Arial"/>
        </w:rPr>
        <w:t xml:space="preserve"> weekly updates on</w:t>
      </w:r>
      <w:r w:rsidR="13849CC2" w:rsidRPr="00F0522E">
        <w:rPr>
          <w:rFonts w:ascii="Arial" w:eastAsia="Arial" w:hAnsi="Arial" w:cs="Arial"/>
        </w:rPr>
        <w:t xml:space="preserve"> data </w:t>
      </w:r>
      <w:r w:rsidR="1632895B" w:rsidRPr="00F0522E">
        <w:rPr>
          <w:rFonts w:ascii="Arial" w:eastAsia="Arial" w:hAnsi="Arial" w:cs="Arial"/>
        </w:rPr>
        <w:t xml:space="preserve">published </w:t>
      </w:r>
      <w:r w:rsidR="13849CC2" w:rsidRPr="00F0522E">
        <w:rPr>
          <w:rFonts w:ascii="Arial" w:eastAsia="Arial" w:hAnsi="Arial" w:cs="Arial"/>
        </w:rPr>
        <w:t xml:space="preserve">on </w:t>
      </w:r>
      <w:r w:rsidR="7B992204" w:rsidRPr="00F0522E">
        <w:rPr>
          <w:rFonts w:ascii="Arial" w:eastAsia="Arial" w:hAnsi="Arial" w:cs="Arial"/>
        </w:rPr>
        <w:t xml:space="preserve">the spending and activities of Food and Nutrition Security to GAFS </w:t>
      </w:r>
      <w:r w:rsidR="7B992204" w:rsidRPr="00F0522E">
        <w:rPr>
          <w:rFonts w:ascii="Arial" w:eastAsia="Arial" w:hAnsi="Arial" w:cs="Arial"/>
          <w:color w:val="000000" w:themeColor="text1"/>
        </w:rPr>
        <w:t>Global Food and Nutrition Security Dashboard</w:t>
      </w:r>
      <w:r w:rsidRPr="00F0522E">
        <w:rPr>
          <w:rStyle w:val="FootnoteReference"/>
          <w:rFonts w:ascii="Arial" w:eastAsia="Arial" w:hAnsi="Arial" w:cs="Arial"/>
        </w:rPr>
        <w:footnoteReference w:id="5"/>
      </w:r>
      <w:r w:rsidR="6932C8D3" w:rsidRPr="00F0522E">
        <w:rPr>
          <w:rFonts w:ascii="Arial" w:eastAsia="Arial" w:hAnsi="Arial" w:cs="Arial"/>
          <w:color w:val="000000" w:themeColor="text1"/>
        </w:rPr>
        <w:t xml:space="preserve">. GAFS is </w:t>
      </w:r>
      <w:r w:rsidR="22D36D92" w:rsidRPr="00F0522E">
        <w:rPr>
          <w:rFonts w:ascii="Arial" w:eastAsia="Arial" w:hAnsi="Arial" w:cs="Arial"/>
          <w:color w:val="000000" w:themeColor="text1"/>
        </w:rPr>
        <w:t>this</w:t>
      </w:r>
      <w:r w:rsidR="6932C8D3" w:rsidRPr="00F0522E">
        <w:rPr>
          <w:rFonts w:ascii="Arial" w:eastAsia="Arial" w:hAnsi="Arial" w:cs="Arial"/>
          <w:color w:val="000000" w:themeColor="text1"/>
        </w:rPr>
        <w:t xml:space="preserve"> data</w:t>
      </w:r>
      <w:r w:rsidR="0DEE33A2" w:rsidRPr="00F0522E">
        <w:rPr>
          <w:rFonts w:ascii="Arial" w:eastAsia="Arial" w:hAnsi="Arial" w:cs="Arial"/>
          <w:color w:val="000000" w:themeColor="text1"/>
        </w:rPr>
        <w:t xml:space="preserve"> to inform</w:t>
      </w:r>
      <w:r w:rsidR="621789CE" w:rsidRPr="00F0522E">
        <w:rPr>
          <w:rFonts w:ascii="Arial" w:eastAsia="Arial" w:hAnsi="Arial" w:cs="Arial"/>
          <w:color w:val="000000" w:themeColor="text1"/>
        </w:rPr>
        <w:t xml:space="preserve"> its</w:t>
      </w:r>
      <w:r w:rsidR="0DEE33A2" w:rsidRPr="00F0522E">
        <w:rPr>
          <w:rFonts w:ascii="Arial" w:eastAsia="Arial" w:hAnsi="Arial" w:cs="Arial"/>
          <w:color w:val="000000" w:themeColor="text1"/>
        </w:rPr>
        <w:t xml:space="preserve"> </w:t>
      </w:r>
      <w:r w:rsidR="6932C8D3" w:rsidRPr="00F0522E">
        <w:rPr>
          <w:rFonts w:ascii="Arial" w:eastAsia="Arial" w:hAnsi="Arial" w:cs="Arial"/>
          <w:color w:val="000000" w:themeColor="text1"/>
        </w:rPr>
        <w:t>Food Security Crisis Preparedness Plans (FSCPPs),</w:t>
      </w:r>
      <w:r w:rsidR="2263CDFB" w:rsidRPr="00F0522E">
        <w:rPr>
          <w:rFonts w:ascii="Arial" w:eastAsia="Arial" w:hAnsi="Arial" w:cs="Arial"/>
          <w:color w:val="000000" w:themeColor="text1"/>
        </w:rPr>
        <w:t xml:space="preserve"> which have already been created by 25 countries</w:t>
      </w:r>
      <w:r w:rsidRPr="00F0522E">
        <w:rPr>
          <w:rStyle w:val="FootnoteReference"/>
          <w:rFonts w:ascii="Arial" w:eastAsia="Arial" w:hAnsi="Arial" w:cs="Arial"/>
          <w:color w:val="000000" w:themeColor="text1"/>
        </w:rPr>
        <w:footnoteReference w:id="6"/>
      </w:r>
      <w:r w:rsidR="7F563DF5" w:rsidRPr="00F0522E">
        <w:rPr>
          <w:rFonts w:ascii="Arial" w:eastAsia="Arial" w:hAnsi="Arial" w:cs="Arial"/>
          <w:color w:val="000000" w:themeColor="text1"/>
        </w:rPr>
        <w:t xml:space="preserve"> and over 60 additional countries expected to develop plans by 2030.</w:t>
      </w:r>
    </w:p>
    <w:p w14:paraId="6CBF1108" w14:textId="728095A6" w:rsidR="2583A85D" w:rsidRPr="00F0522E" w:rsidRDefault="2583A85D" w:rsidP="1DACEA4C">
      <w:pPr>
        <w:pStyle w:val="Heading4"/>
        <w:spacing w:before="319" w:after="319"/>
        <w:rPr>
          <w:rFonts w:ascii="Arial" w:eastAsia="Arial" w:hAnsi="Arial" w:cs="Arial"/>
        </w:rPr>
      </w:pPr>
      <w:r w:rsidRPr="00F0522E">
        <w:rPr>
          <w:rFonts w:ascii="Arial" w:eastAsia="Arial" w:hAnsi="Arial" w:cs="Arial"/>
        </w:rPr>
        <w:t>C. Promoting Accountability</w:t>
      </w:r>
    </w:p>
    <w:p w14:paraId="65D942C5" w14:textId="383D619A" w:rsidR="2583A85D" w:rsidRPr="00F0522E" w:rsidRDefault="2583A85D" w:rsidP="1DACEA4C">
      <w:pPr>
        <w:pStyle w:val="ListParagraph"/>
        <w:numPr>
          <w:ilvl w:val="0"/>
          <w:numId w:val="26"/>
        </w:numPr>
        <w:spacing w:before="240" w:after="240"/>
        <w:rPr>
          <w:rFonts w:ascii="Arial" w:eastAsia="Arial" w:hAnsi="Arial" w:cs="Arial"/>
        </w:rPr>
      </w:pPr>
      <w:r w:rsidRPr="00F0522E">
        <w:rPr>
          <w:rFonts w:ascii="Arial" w:eastAsia="Arial" w:hAnsi="Arial" w:cs="Arial"/>
          <w:b/>
          <w:bCs/>
        </w:rPr>
        <w:t>Engagement with Stakeholders</w:t>
      </w:r>
      <w:r w:rsidRPr="00F0522E">
        <w:rPr>
          <w:rFonts w:ascii="Arial" w:eastAsia="Arial" w:hAnsi="Arial" w:cs="Arial"/>
        </w:rPr>
        <w:t>: IATI emphasizes the importance of engaging various stakeholders—governments, civil society organizations, the private sector, and local communities—in the monitoring and evaluation process. By involving diverse voices, the accountability framework is strengthened, and development actors are encouraged to align their efforts with local priorities.</w:t>
      </w:r>
    </w:p>
    <w:p w14:paraId="4569ACFD" w14:textId="1DFBE7BC" w:rsidR="2583A85D" w:rsidRPr="00F0522E" w:rsidRDefault="2583A85D" w:rsidP="1DACEA4C">
      <w:pPr>
        <w:pStyle w:val="ListParagraph"/>
        <w:spacing w:before="240" w:after="240"/>
        <w:rPr>
          <w:rFonts w:ascii="Arial" w:eastAsia="Arial" w:hAnsi="Arial" w:cs="Arial"/>
        </w:rPr>
      </w:pPr>
    </w:p>
    <w:p w14:paraId="097E651B" w14:textId="6E188938" w:rsidR="2583A85D" w:rsidRPr="00F0522E" w:rsidRDefault="2583A85D" w:rsidP="2E29703C">
      <w:pPr>
        <w:pStyle w:val="ListParagraph"/>
        <w:numPr>
          <w:ilvl w:val="0"/>
          <w:numId w:val="26"/>
        </w:numPr>
        <w:spacing w:before="240" w:after="240"/>
        <w:rPr>
          <w:rFonts w:ascii="Arial" w:eastAsia="Arial" w:hAnsi="Arial" w:cs="Arial"/>
        </w:rPr>
      </w:pPr>
      <w:r w:rsidRPr="00F0522E">
        <w:rPr>
          <w:rFonts w:ascii="Arial" w:eastAsia="Arial" w:hAnsi="Arial" w:cs="Arial"/>
          <w:b/>
          <w:bCs/>
        </w:rPr>
        <w:t>Feedback Mechanisms</w:t>
      </w:r>
      <w:r w:rsidRPr="00F0522E">
        <w:rPr>
          <w:rFonts w:ascii="Arial" w:eastAsia="Arial" w:hAnsi="Arial" w:cs="Arial"/>
        </w:rPr>
        <w:t>: Establishing feedback mechanisms allows stakeholders to provide input on the effectiveness of development interventions and the use of financial resources. IATI can facilitate these mechanisms through its data standards and reporting framework</w:t>
      </w:r>
      <w:r w:rsidR="500C2B87" w:rsidRPr="00F0522E">
        <w:rPr>
          <w:rFonts w:ascii="Arial" w:eastAsia="Arial" w:hAnsi="Arial" w:cs="Arial"/>
        </w:rPr>
        <w:t xml:space="preserve">. IATI </w:t>
      </w:r>
      <w:r w:rsidRPr="00F0522E">
        <w:rPr>
          <w:rFonts w:ascii="Arial" w:eastAsia="Arial" w:hAnsi="Arial" w:cs="Arial"/>
        </w:rPr>
        <w:t xml:space="preserve">encourages countries to implement citizen feedback tools that gather insights on the impact of development projects. </w:t>
      </w:r>
      <w:r w:rsidR="4C668810" w:rsidRPr="00F0522E">
        <w:rPr>
          <w:rFonts w:ascii="Arial" w:eastAsia="Arial" w:hAnsi="Arial" w:cs="Arial"/>
        </w:rPr>
        <w:t>F</w:t>
      </w:r>
      <w:r w:rsidRPr="00F0522E">
        <w:rPr>
          <w:rFonts w:ascii="Arial" w:eastAsia="Arial" w:hAnsi="Arial" w:cs="Arial"/>
        </w:rPr>
        <w:t xml:space="preserve">eedback </w:t>
      </w:r>
      <w:r w:rsidR="7A7BE5F1" w:rsidRPr="00F0522E">
        <w:rPr>
          <w:rFonts w:ascii="Arial" w:eastAsia="Arial" w:hAnsi="Arial" w:cs="Arial"/>
        </w:rPr>
        <w:t xml:space="preserve">from </w:t>
      </w:r>
      <w:r w:rsidR="7A7BE5F1" w:rsidRPr="00F0522E">
        <w:rPr>
          <w:rFonts w:ascii="Arial" w:eastAsia="Arial" w:hAnsi="Arial" w:cs="Arial"/>
        </w:rPr>
        <w:lastRenderedPageBreak/>
        <w:t>country dialogues can be</w:t>
      </w:r>
      <w:r w:rsidRPr="00F0522E">
        <w:rPr>
          <w:rFonts w:ascii="Arial" w:eastAsia="Arial" w:hAnsi="Arial" w:cs="Arial"/>
        </w:rPr>
        <w:t xml:space="preserve"> incorporated into future planning and budgeting processes, ensuring that development finance meets the needs of communities effectively.</w:t>
      </w:r>
    </w:p>
    <w:p w14:paraId="7B6B16E0" w14:textId="722FA2BE" w:rsidR="2583A85D" w:rsidRPr="00F0522E" w:rsidRDefault="2583A85D" w:rsidP="1DACEA4C">
      <w:pPr>
        <w:pStyle w:val="Heading4"/>
        <w:spacing w:before="319" w:after="319"/>
        <w:rPr>
          <w:rFonts w:ascii="Arial" w:eastAsia="Arial" w:hAnsi="Arial" w:cs="Arial"/>
        </w:rPr>
      </w:pPr>
      <w:r w:rsidRPr="00F0522E">
        <w:rPr>
          <w:rFonts w:ascii="Arial" w:eastAsia="Arial" w:hAnsi="Arial" w:cs="Arial"/>
        </w:rPr>
        <w:t>D. Supporting National Ownership of the 2030 Agenda</w:t>
      </w:r>
    </w:p>
    <w:p w14:paraId="0BFAF04E" w14:textId="79844D49" w:rsidR="2583A85D" w:rsidRPr="00F0522E" w:rsidRDefault="2583A85D" w:rsidP="2E29703C">
      <w:pPr>
        <w:pStyle w:val="ListParagraph"/>
        <w:numPr>
          <w:ilvl w:val="0"/>
          <w:numId w:val="26"/>
        </w:numPr>
        <w:spacing w:before="240" w:after="240"/>
        <w:rPr>
          <w:rFonts w:ascii="Arial" w:eastAsia="Arial" w:hAnsi="Arial" w:cs="Arial"/>
        </w:rPr>
      </w:pPr>
      <w:r w:rsidRPr="00F0522E">
        <w:rPr>
          <w:rFonts w:ascii="Arial" w:eastAsia="Arial" w:hAnsi="Arial" w:cs="Arial"/>
          <w:b/>
          <w:bCs/>
        </w:rPr>
        <w:t>Integrating National Financing Frameworks (INFFs)</w:t>
      </w:r>
      <w:r w:rsidRPr="00F0522E">
        <w:rPr>
          <w:rFonts w:ascii="Arial" w:eastAsia="Arial" w:hAnsi="Arial" w:cs="Arial"/>
        </w:rPr>
        <w:t>: IATI supports the implementation of Integrated National Financing Frameworks (INFFs), which help countries identify financing needs, assess resource mobilization strategies, and align investments with national development priorities. IATI’s data provides critical inputs for these frameworks, enhancing their effectiveness and relevance.</w:t>
      </w:r>
    </w:p>
    <w:p w14:paraId="2C321E6C" w14:textId="38BCAF93" w:rsidR="1DACEA4C" w:rsidRPr="00F0522E" w:rsidRDefault="1DACEA4C" w:rsidP="1DACEA4C">
      <w:pPr>
        <w:pStyle w:val="ListParagraph"/>
        <w:spacing w:before="240" w:after="240"/>
        <w:rPr>
          <w:rFonts w:ascii="Arial" w:eastAsia="Arial" w:hAnsi="Arial" w:cs="Arial"/>
        </w:rPr>
      </w:pPr>
    </w:p>
    <w:p w14:paraId="548A9AC6" w14:textId="3DA540B6" w:rsidR="16A48235" w:rsidRPr="00F0522E" w:rsidRDefault="2583A85D" w:rsidP="2E29703C">
      <w:pPr>
        <w:pStyle w:val="ListParagraph"/>
        <w:numPr>
          <w:ilvl w:val="0"/>
          <w:numId w:val="26"/>
        </w:numPr>
        <w:spacing w:before="240" w:after="240"/>
        <w:rPr>
          <w:rFonts w:ascii="Arial" w:eastAsia="Arial" w:hAnsi="Arial" w:cs="Arial"/>
          <w:sz w:val="28"/>
          <w:szCs w:val="28"/>
        </w:rPr>
      </w:pPr>
      <w:r w:rsidRPr="00F0522E">
        <w:rPr>
          <w:rFonts w:ascii="Arial" w:eastAsia="Arial" w:hAnsi="Arial" w:cs="Arial"/>
          <w:b/>
          <w:bCs/>
        </w:rPr>
        <w:t>Capacity Building for Data Utilization</w:t>
      </w:r>
      <w:r w:rsidRPr="00F0522E">
        <w:rPr>
          <w:rFonts w:ascii="Arial" w:eastAsia="Arial" w:hAnsi="Arial" w:cs="Arial"/>
        </w:rPr>
        <w:t>: IATI recognizes that data alone is not sufficient; stakeholders must also be equipped to use it effectively. Capacity-building initiatives focus on enhancing skills in data analysis, interpretation, and utilization for decision-making.</w:t>
      </w:r>
      <w:r w:rsidR="5D008FD9" w:rsidRPr="00F0522E">
        <w:rPr>
          <w:rFonts w:ascii="Arial" w:eastAsia="Arial" w:hAnsi="Arial" w:cs="Arial"/>
        </w:rPr>
        <w:t xml:space="preserve"> IATI offers training workshops for government officials and civil society organizations, equipping them with the skills needed to </w:t>
      </w:r>
      <w:proofErr w:type="spellStart"/>
      <w:r w:rsidR="5D008FD9" w:rsidRPr="00F0522E">
        <w:rPr>
          <w:rFonts w:ascii="Arial" w:eastAsia="Arial" w:hAnsi="Arial" w:cs="Arial"/>
        </w:rPr>
        <w:t>analyze</w:t>
      </w:r>
      <w:proofErr w:type="spellEnd"/>
      <w:r w:rsidR="5D008FD9" w:rsidRPr="00F0522E">
        <w:rPr>
          <w:rFonts w:ascii="Arial" w:eastAsia="Arial" w:hAnsi="Arial" w:cs="Arial"/>
        </w:rPr>
        <w:t xml:space="preserve"> IATI data and utilize it in their advocacy and decision-making processes. This capacity-building effort ensures that data-driven approaches are integrated into national and local development strategies.</w:t>
      </w:r>
    </w:p>
    <w:p w14:paraId="25A19409" w14:textId="4F9703DC" w:rsidR="16A48235" w:rsidRPr="00F0522E" w:rsidRDefault="16A48235" w:rsidP="2E29703C">
      <w:pPr>
        <w:pStyle w:val="ListParagraph"/>
        <w:spacing w:before="240" w:after="240"/>
        <w:rPr>
          <w:rFonts w:ascii="Arial" w:eastAsia="Arial" w:hAnsi="Arial" w:cs="Arial"/>
          <w:sz w:val="28"/>
          <w:szCs w:val="28"/>
        </w:rPr>
      </w:pPr>
    </w:p>
    <w:p w14:paraId="1B8BD9C4" w14:textId="30972C34" w:rsidR="16A48235" w:rsidRPr="00F0522E" w:rsidRDefault="658576D1" w:rsidP="2E29703C">
      <w:pPr>
        <w:pStyle w:val="ListParagraph"/>
        <w:spacing w:before="240" w:after="240"/>
        <w:rPr>
          <w:rFonts w:ascii="Arial" w:eastAsia="Arial" w:hAnsi="Arial" w:cs="Arial"/>
          <w:sz w:val="28"/>
          <w:szCs w:val="28"/>
        </w:rPr>
      </w:pPr>
      <w:r w:rsidRPr="00F0522E">
        <w:rPr>
          <w:rFonts w:ascii="Arial" w:eastAsia="Arial" w:hAnsi="Arial" w:cs="Arial"/>
          <w:i/>
          <w:iCs/>
        </w:rPr>
        <w:t>Example:</w:t>
      </w:r>
      <w:r w:rsidRPr="00F0522E">
        <w:rPr>
          <w:rFonts w:ascii="Arial" w:eastAsia="Arial" w:hAnsi="Arial" w:cs="Arial"/>
        </w:rPr>
        <w:t xml:space="preserve"> </w:t>
      </w:r>
      <w:r w:rsidR="756C170D" w:rsidRPr="00F0522E">
        <w:rPr>
          <w:rFonts w:ascii="Arial" w:eastAsia="Arial" w:hAnsi="Arial" w:cs="Arial"/>
        </w:rPr>
        <w:t>IATI h</w:t>
      </w:r>
      <w:r w:rsidR="52093CFB" w:rsidRPr="00F0522E">
        <w:rPr>
          <w:rFonts w:ascii="Arial" w:eastAsia="Arial" w:hAnsi="Arial" w:cs="Arial"/>
        </w:rPr>
        <w:t>olds</w:t>
      </w:r>
      <w:r w:rsidR="756C170D" w:rsidRPr="00F0522E">
        <w:rPr>
          <w:rFonts w:ascii="Arial" w:eastAsia="Arial" w:hAnsi="Arial" w:cs="Arial"/>
        </w:rPr>
        <w:t xml:space="preserve"> </w:t>
      </w:r>
      <w:r w:rsidR="52093CFB" w:rsidRPr="00F0522E">
        <w:rPr>
          <w:rFonts w:ascii="Arial" w:eastAsia="Arial" w:hAnsi="Arial" w:cs="Arial"/>
        </w:rPr>
        <w:t xml:space="preserve">regular </w:t>
      </w:r>
      <w:r w:rsidR="756C170D" w:rsidRPr="00F0522E">
        <w:rPr>
          <w:rFonts w:ascii="Arial" w:eastAsia="Arial" w:hAnsi="Arial" w:cs="Arial"/>
        </w:rPr>
        <w:t>regional workshops to provide</w:t>
      </w:r>
      <w:r w:rsidR="3E97A502" w:rsidRPr="00F0522E">
        <w:rPr>
          <w:rFonts w:ascii="Arial" w:eastAsia="Arial" w:hAnsi="Arial" w:cs="Arial"/>
        </w:rPr>
        <w:t xml:space="preserve">s </w:t>
      </w:r>
      <w:r w:rsidR="756C170D" w:rsidRPr="00F0522E">
        <w:rPr>
          <w:rFonts w:ascii="Arial" w:eastAsia="Arial" w:hAnsi="Arial" w:cs="Arial"/>
        </w:rPr>
        <w:t>training on using IATI data for planning, budgeting, accountability, and advocacy</w:t>
      </w:r>
      <w:r w:rsidR="16A48235" w:rsidRPr="00F0522E">
        <w:rPr>
          <w:rStyle w:val="FootnoteReference"/>
          <w:rFonts w:ascii="Arial" w:eastAsia="Arial" w:hAnsi="Arial" w:cs="Arial"/>
        </w:rPr>
        <w:footnoteReference w:id="7"/>
      </w:r>
      <w:r w:rsidR="756C170D" w:rsidRPr="00F0522E">
        <w:rPr>
          <w:rFonts w:ascii="Arial" w:eastAsia="Arial" w:hAnsi="Arial" w:cs="Arial"/>
        </w:rPr>
        <w:t xml:space="preserve">. </w:t>
      </w:r>
      <w:r w:rsidR="33C67DBF" w:rsidRPr="00F0522E">
        <w:rPr>
          <w:rFonts w:ascii="Arial" w:eastAsia="Arial" w:hAnsi="Arial" w:cs="Arial"/>
        </w:rPr>
        <w:t>The</w:t>
      </w:r>
      <w:r w:rsidR="5205435C" w:rsidRPr="00F0522E">
        <w:rPr>
          <w:rFonts w:ascii="Arial" w:eastAsia="Arial" w:hAnsi="Arial" w:cs="Arial"/>
        </w:rPr>
        <w:t>se</w:t>
      </w:r>
      <w:r w:rsidR="33C67DBF" w:rsidRPr="00F0522E">
        <w:rPr>
          <w:rFonts w:ascii="Arial" w:eastAsia="Arial" w:hAnsi="Arial" w:cs="Arial"/>
        </w:rPr>
        <w:t xml:space="preserve"> </w:t>
      </w:r>
      <w:r w:rsidR="568D91E7" w:rsidRPr="00F0522E">
        <w:rPr>
          <w:rFonts w:ascii="Arial" w:eastAsia="Arial" w:hAnsi="Arial" w:cs="Arial"/>
        </w:rPr>
        <w:t xml:space="preserve">workshops work with diverse stakeholders across </w:t>
      </w:r>
      <w:r w:rsidR="756C170D" w:rsidRPr="00F0522E">
        <w:rPr>
          <w:rFonts w:ascii="Arial" w:eastAsia="Arial" w:hAnsi="Arial" w:cs="Arial"/>
        </w:rPr>
        <w:t>government</w:t>
      </w:r>
      <w:r w:rsidR="4A32B3C0" w:rsidRPr="00F0522E">
        <w:rPr>
          <w:rFonts w:ascii="Arial" w:eastAsia="Arial" w:hAnsi="Arial" w:cs="Arial"/>
        </w:rPr>
        <w:t xml:space="preserve">, </w:t>
      </w:r>
      <w:r w:rsidR="756C170D" w:rsidRPr="00F0522E">
        <w:rPr>
          <w:rFonts w:ascii="Arial" w:eastAsia="Arial" w:hAnsi="Arial" w:cs="Arial"/>
        </w:rPr>
        <w:t xml:space="preserve">civil society </w:t>
      </w:r>
      <w:r w:rsidR="023850DA" w:rsidRPr="00F0522E">
        <w:rPr>
          <w:rFonts w:ascii="Arial" w:eastAsia="Arial" w:hAnsi="Arial" w:cs="Arial"/>
        </w:rPr>
        <w:t>and</w:t>
      </w:r>
      <w:r w:rsidR="756C170D" w:rsidRPr="00F0522E">
        <w:rPr>
          <w:rFonts w:ascii="Arial" w:eastAsia="Arial" w:hAnsi="Arial" w:cs="Arial"/>
        </w:rPr>
        <w:t xml:space="preserve"> development partner </w:t>
      </w:r>
      <w:r w:rsidR="3446A85F" w:rsidRPr="00F0522E">
        <w:rPr>
          <w:rFonts w:ascii="Arial" w:eastAsia="Arial" w:hAnsi="Arial" w:cs="Arial"/>
        </w:rPr>
        <w:t xml:space="preserve">representatives. </w:t>
      </w:r>
    </w:p>
    <w:p w14:paraId="2951A67A" w14:textId="5025A7E6" w:rsidR="16A48235" w:rsidRPr="00F0522E" w:rsidRDefault="16A48235" w:rsidP="1DACEA4C">
      <w:pPr>
        <w:spacing w:before="240" w:after="240"/>
        <w:rPr>
          <w:rFonts w:ascii="Arial" w:eastAsia="Arial" w:hAnsi="Arial" w:cs="Arial"/>
          <w:sz w:val="28"/>
          <w:szCs w:val="28"/>
        </w:rPr>
      </w:pPr>
      <w:r w:rsidRPr="00F0522E">
        <w:rPr>
          <w:rFonts w:ascii="Arial" w:eastAsia="Arial" w:hAnsi="Arial" w:cs="Arial"/>
          <w:sz w:val="28"/>
          <w:szCs w:val="28"/>
        </w:rPr>
        <w:t>V. Overarching reflections</w:t>
      </w:r>
    </w:p>
    <w:p w14:paraId="70E8217F" w14:textId="76B9AB4B" w:rsidR="2583A85D" w:rsidRPr="00F0522E" w:rsidRDefault="2583A85D" w:rsidP="1DACEA4C">
      <w:pPr>
        <w:spacing w:before="240" w:after="240"/>
        <w:rPr>
          <w:rFonts w:ascii="Arial" w:eastAsia="Arial" w:hAnsi="Arial" w:cs="Arial"/>
        </w:rPr>
      </w:pPr>
      <w:r w:rsidRPr="00F0522E">
        <w:rPr>
          <w:rFonts w:ascii="Arial" w:eastAsia="Arial" w:hAnsi="Arial" w:cs="Arial"/>
        </w:rPr>
        <w:t>The need for</w:t>
      </w:r>
      <w:r w:rsidR="0AAAD5B5" w:rsidRPr="00F0522E">
        <w:rPr>
          <w:rFonts w:ascii="Arial" w:eastAsia="Arial" w:hAnsi="Arial" w:cs="Arial"/>
        </w:rPr>
        <w:t xml:space="preserve"> </w:t>
      </w:r>
      <w:r w:rsidRPr="00F0522E">
        <w:rPr>
          <w:rFonts w:ascii="Arial" w:eastAsia="Arial" w:hAnsi="Arial" w:cs="Arial"/>
        </w:rPr>
        <w:t>robust data, effective monitoring, and transparent follow-up processes is critical for the future of development finance. IATI is well-positioned to play a central role in this ecosystem by providing a comprehensive platform for tracking and reporting international financing flows. By emphasizing transparency, accountability, and evidence-based decision-making, IATI can drive the effectiveness of development efforts and contribute significantly to achieving the SDGs and addressing the complex challenges facing our world today</w:t>
      </w:r>
      <w:r w:rsidR="0CA4CB7F" w:rsidRPr="00F0522E">
        <w:rPr>
          <w:rFonts w:ascii="Arial" w:eastAsia="Arial" w:hAnsi="Arial" w:cs="Arial"/>
        </w:rPr>
        <w:t>.</w:t>
      </w:r>
    </w:p>
    <w:p w14:paraId="770E98A3" w14:textId="63FE15C4" w:rsidR="3E7B13F0" w:rsidRPr="00F0522E" w:rsidRDefault="3E7B13F0" w:rsidP="1DACEA4C">
      <w:pPr>
        <w:rPr>
          <w:rFonts w:ascii="Arial" w:eastAsia="Arial" w:hAnsi="Arial" w:cs="Arial"/>
        </w:rPr>
      </w:pPr>
      <w:r w:rsidRPr="00F0522E">
        <w:rPr>
          <w:rFonts w:ascii="Arial" w:eastAsia="Arial" w:hAnsi="Arial" w:cs="Arial"/>
        </w:rPr>
        <w:t xml:space="preserve">FFD4 presents a unique opportunity to reposition transparency, accountability, and data-informed decision-making at the heart of development finance. As the global community seeks to mobilise the necessary resources to achieve the SDGs and fund global public goods, it is crucial that development cooperation increases in volume and improves in quality and impact. </w:t>
      </w:r>
      <w:r w:rsidR="02FEBC65" w:rsidRPr="00F0522E">
        <w:rPr>
          <w:rFonts w:ascii="Arial" w:eastAsia="Arial" w:hAnsi="Arial" w:cs="Arial"/>
        </w:rPr>
        <w:t xml:space="preserve">The following key issues capture a proposal for action: </w:t>
      </w:r>
    </w:p>
    <w:p w14:paraId="2F72E1D8" w14:textId="1C1155DE" w:rsidR="3E7B13F0" w:rsidRPr="00F0522E" w:rsidRDefault="31DEABDD" w:rsidP="2E29703C">
      <w:pPr>
        <w:pStyle w:val="ListParagraph"/>
        <w:numPr>
          <w:ilvl w:val="0"/>
          <w:numId w:val="16"/>
        </w:numPr>
        <w:rPr>
          <w:rFonts w:ascii="Arial" w:eastAsia="Arial" w:hAnsi="Arial" w:cs="Arial"/>
        </w:rPr>
      </w:pPr>
      <w:r w:rsidRPr="00F0522E">
        <w:rPr>
          <w:rFonts w:ascii="Arial" w:eastAsia="Arial" w:hAnsi="Arial" w:cs="Arial"/>
          <w:b/>
          <w:bCs/>
        </w:rPr>
        <w:t>A new commitment is needed to ensure all international resources for sustainable development and global public goods are transparent.</w:t>
      </w:r>
      <w:r w:rsidRPr="00F0522E">
        <w:rPr>
          <w:rFonts w:ascii="Arial" w:eastAsia="Arial" w:hAnsi="Arial" w:cs="Arial"/>
        </w:rPr>
        <w:t xml:space="preserve"> Since 2015, the complexity of the international financing landscape has grown exponentially, requiring greater transparency to enhance effectiveness and trust in international cooperation.</w:t>
      </w:r>
      <w:r w:rsidR="3E7B13F0" w:rsidRPr="00F0522E">
        <w:rPr>
          <w:rFonts w:ascii="Arial" w:eastAsia="Arial" w:hAnsi="Arial" w:cs="Arial"/>
        </w:rPr>
        <w:t xml:space="preserve"> </w:t>
      </w:r>
      <w:r w:rsidR="3C12A6AE" w:rsidRPr="00F0522E">
        <w:rPr>
          <w:rFonts w:ascii="Arial" w:eastAsia="Arial" w:hAnsi="Arial" w:cs="Arial"/>
        </w:rPr>
        <w:t>T</w:t>
      </w:r>
      <w:r w:rsidR="3E7B13F0" w:rsidRPr="00F0522E">
        <w:rPr>
          <w:rFonts w:ascii="Arial" w:eastAsia="Arial" w:hAnsi="Arial" w:cs="Arial"/>
        </w:rPr>
        <w:t>he global community should</w:t>
      </w:r>
      <w:r w:rsidR="22DD27EF" w:rsidRPr="00F0522E">
        <w:rPr>
          <w:rFonts w:ascii="Arial" w:eastAsia="Arial" w:hAnsi="Arial" w:cs="Arial"/>
        </w:rPr>
        <w:t xml:space="preserve"> further</w:t>
      </w:r>
      <w:r w:rsidR="3E7B13F0" w:rsidRPr="00F0522E">
        <w:rPr>
          <w:rFonts w:ascii="Arial" w:eastAsia="Arial" w:hAnsi="Arial" w:cs="Arial"/>
        </w:rPr>
        <w:t xml:space="preserve"> </w:t>
      </w:r>
      <w:r w:rsidR="175181A0" w:rsidRPr="00F0522E">
        <w:rPr>
          <w:rFonts w:ascii="Arial" w:eastAsia="Arial" w:hAnsi="Arial" w:cs="Arial"/>
        </w:rPr>
        <w:t>substantiate</w:t>
      </w:r>
      <w:r w:rsidR="6B34C9AE" w:rsidRPr="00F0522E">
        <w:rPr>
          <w:rFonts w:ascii="Arial" w:eastAsia="Arial" w:hAnsi="Arial" w:cs="Arial"/>
        </w:rPr>
        <w:t xml:space="preserve"> its </w:t>
      </w:r>
      <w:r w:rsidR="5CD5CF19" w:rsidRPr="00F0522E">
        <w:rPr>
          <w:rFonts w:ascii="Arial" w:eastAsia="Arial" w:hAnsi="Arial" w:cs="Arial"/>
        </w:rPr>
        <w:t>commitment</w:t>
      </w:r>
      <w:r w:rsidR="61B2B083" w:rsidRPr="00F0522E">
        <w:rPr>
          <w:rFonts w:ascii="Arial" w:eastAsia="Arial" w:hAnsi="Arial" w:cs="Arial"/>
        </w:rPr>
        <w:t xml:space="preserve"> to transparency by</w:t>
      </w:r>
      <w:r w:rsidR="3E7B13F0" w:rsidRPr="00F0522E">
        <w:rPr>
          <w:rFonts w:ascii="Arial" w:eastAsia="Arial" w:hAnsi="Arial" w:cs="Arial"/>
        </w:rPr>
        <w:t xml:space="preserve"> publishing data on all international resources </w:t>
      </w:r>
      <w:r w:rsidR="6DC41348" w:rsidRPr="00F0522E">
        <w:rPr>
          <w:rFonts w:ascii="Arial" w:eastAsia="Arial" w:hAnsi="Arial" w:cs="Arial"/>
        </w:rPr>
        <w:t>to the</w:t>
      </w:r>
      <w:r w:rsidR="3E7B13F0" w:rsidRPr="00F0522E">
        <w:rPr>
          <w:rFonts w:ascii="Arial" w:eastAsia="Arial" w:hAnsi="Arial" w:cs="Arial"/>
        </w:rPr>
        <w:t xml:space="preserve"> IATI Standard</w:t>
      </w:r>
      <w:r w:rsidR="59C532E0" w:rsidRPr="00F0522E">
        <w:rPr>
          <w:rFonts w:ascii="Arial" w:eastAsia="Arial" w:hAnsi="Arial" w:cs="Arial"/>
        </w:rPr>
        <w:t>.</w:t>
      </w:r>
      <w:r w:rsidR="0941E417" w:rsidRPr="00F0522E">
        <w:rPr>
          <w:rFonts w:ascii="Arial" w:eastAsia="Arial" w:hAnsi="Arial" w:cs="Arial"/>
        </w:rPr>
        <w:t xml:space="preserve"> </w:t>
      </w:r>
      <w:r w:rsidR="59C532E0" w:rsidRPr="00F0522E">
        <w:rPr>
          <w:rFonts w:ascii="Arial" w:eastAsia="Arial" w:hAnsi="Arial" w:cs="Arial"/>
        </w:rPr>
        <w:t>This standard ensures data</w:t>
      </w:r>
      <w:r w:rsidR="3E7B13F0" w:rsidRPr="00F0522E">
        <w:rPr>
          <w:rFonts w:ascii="Arial" w:eastAsia="Arial" w:hAnsi="Arial" w:cs="Arial"/>
        </w:rPr>
        <w:t xml:space="preserve"> is interoperable with other reporting standards including the OECD, UN OCHA and the SDGs</w:t>
      </w:r>
      <w:r w:rsidR="47248105" w:rsidRPr="00F0522E">
        <w:rPr>
          <w:rFonts w:ascii="Arial" w:eastAsia="Arial" w:hAnsi="Arial" w:cs="Arial"/>
        </w:rPr>
        <w:t xml:space="preserve">, </w:t>
      </w:r>
      <w:r w:rsidR="3E7B13F0" w:rsidRPr="00F0522E">
        <w:rPr>
          <w:rFonts w:ascii="Arial" w:eastAsia="Arial" w:hAnsi="Arial" w:cs="Arial"/>
        </w:rPr>
        <w:t>in an open, common, electronic format</w:t>
      </w:r>
      <w:r w:rsidR="1E84D4E2" w:rsidRPr="00F0522E">
        <w:rPr>
          <w:rFonts w:ascii="Arial" w:eastAsia="Arial" w:hAnsi="Arial" w:cs="Arial"/>
        </w:rPr>
        <w:t>.</w:t>
      </w:r>
      <w:r w:rsidR="36CF50CF" w:rsidRPr="00F0522E">
        <w:rPr>
          <w:rFonts w:ascii="Arial" w:eastAsia="Arial" w:hAnsi="Arial" w:cs="Arial"/>
        </w:rPr>
        <w:t xml:space="preserve"> </w:t>
      </w:r>
      <w:r w:rsidR="36CF50CF" w:rsidRPr="00F0522E">
        <w:rPr>
          <w:rFonts w:ascii="Arial" w:eastAsia="Arial" w:hAnsi="Arial" w:cs="Arial"/>
        </w:rPr>
        <w:lastRenderedPageBreak/>
        <w:t>Transparent reporting of aid flows helps reduce fragmentation, streamline cooperation among various actors, and build trust between donors, governments, and civil society.</w:t>
      </w:r>
    </w:p>
    <w:p w14:paraId="35095478" w14:textId="67213769" w:rsidR="6D6C9736" w:rsidRPr="00F0522E" w:rsidRDefault="6D6C9736" w:rsidP="1DACEA4C">
      <w:pPr>
        <w:pStyle w:val="ListParagraph"/>
        <w:rPr>
          <w:rFonts w:ascii="Arial" w:eastAsia="Arial" w:hAnsi="Arial" w:cs="Arial"/>
        </w:rPr>
      </w:pPr>
    </w:p>
    <w:p w14:paraId="43930718" w14:textId="721D7040" w:rsidR="568CCFAD" w:rsidRPr="00F0522E" w:rsidRDefault="568CCFAD" w:rsidP="2E29703C">
      <w:pPr>
        <w:pStyle w:val="ListParagraph"/>
        <w:numPr>
          <w:ilvl w:val="0"/>
          <w:numId w:val="16"/>
        </w:numPr>
        <w:rPr>
          <w:rFonts w:ascii="Arial" w:eastAsia="Arial" w:hAnsi="Arial" w:cs="Arial"/>
        </w:rPr>
      </w:pPr>
      <w:r w:rsidRPr="00F0522E">
        <w:rPr>
          <w:rFonts w:ascii="Arial" w:eastAsia="Arial" w:hAnsi="Arial" w:cs="Arial"/>
          <w:b/>
          <w:bCs/>
        </w:rPr>
        <w:t>The global community should commit to publishing data on all international resources via the International Aid Transparency Initiative (IATI).</w:t>
      </w:r>
      <w:r w:rsidR="38AA0A2D" w:rsidRPr="00F0522E">
        <w:rPr>
          <w:rFonts w:ascii="Arial" w:eastAsia="Arial" w:hAnsi="Arial" w:cs="Arial"/>
          <w:b/>
          <w:bCs/>
        </w:rPr>
        <w:t xml:space="preserve"> </w:t>
      </w:r>
      <w:r w:rsidR="38AA0A2D" w:rsidRPr="00F0522E">
        <w:rPr>
          <w:rFonts w:ascii="Arial" w:eastAsia="Arial" w:hAnsi="Arial" w:cs="Arial"/>
        </w:rPr>
        <w:t>The publication of all international financial data to the IATI Standard will strengthen financial accountability,</w:t>
      </w:r>
      <w:r w:rsidR="41CE46BB" w:rsidRPr="00F0522E">
        <w:rPr>
          <w:rFonts w:ascii="Arial" w:eastAsia="Arial" w:hAnsi="Arial" w:cs="Arial"/>
          <w:sz w:val="24"/>
          <w:szCs w:val="24"/>
        </w:rPr>
        <w:t xml:space="preserve"> by promoting access to reliable data and statistics that enable all stakeholders to track progress, understand trade-offs, and create mutual accountability</w:t>
      </w:r>
      <w:r w:rsidR="51BAA034" w:rsidRPr="00F0522E">
        <w:rPr>
          <w:rFonts w:ascii="Arial" w:eastAsia="Arial" w:hAnsi="Arial" w:cs="Arial"/>
        </w:rPr>
        <w:t xml:space="preserve">. </w:t>
      </w:r>
      <w:r w:rsidR="5C46DCD2" w:rsidRPr="00F0522E">
        <w:rPr>
          <w:rFonts w:ascii="Arial" w:eastAsia="Arial" w:hAnsi="Arial" w:cs="Arial"/>
        </w:rPr>
        <w:t>Already, 1,700 entities—including governments, MDBs, foundations and investment funds—have endorsed IATI’s data Standard by publishing $3.5 trillion. Their efforts have extended transparency beyond traditional ODA reporting</w:t>
      </w:r>
      <w:r w:rsidR="2AEB2D83" w:rsidRPr="00F0522E">
        <w:rPr>
          <w:rFonts w:ascii="Arial" w:eastAsia="Arial" w:hAnsi="Arial" w:cs="Arial"/>
        </w:rPr>
        <w:t xml:space="preserve">. </w:t>
      </w:r>
      <w:r w:rsidR="38AA0A2D" w:rsidRPr="00F0522E">
        <w:rPr>
          <w:rFonts w:ascii="Arial" w:eastAsia="Arial" w:hAnsi="Arial" w:cs="Arial"/>
        </w:rPr>
        <w:t>This can connect traditional development assistance, humanitarian assistance and the delivery of global public goods</w:t>
      </w:r>
      <w:r w:rsidR="7AD4D65B" w:rsidRPr="00F0522E">
        <w:rPr>
          <w:rFonts w:ascii="Arial" w:eastAsia="Arial" w:hAnsi="Arial" w:cs="Arial"/>
        </w:rPr>
        <w:t>, particularly if efforts are concurrently made to strengthen capacity and use of the data.</w:t>
      </w:r>
    </w:p>
    <w:p w14:paraId="3FF50035" w14:textId="4E036474" w:rsidR="6D6C9736" w:rsidRPr="00F0522E" w:rsidRDefault="6D6C9736" w:rsidP="1DACEA4C">
      <w:pPr>
        <w:pStyle w:val="ListParagraph"/>
        <w:rPr>
          <w:rFonts w:ascii="Arial" w:eastAsia="Arial" w:hAnsi="Arial" w:cs="Arial"/>
        </w:rPr>
      </w:pPr>
    </w:p>
    <w:p w14:paraId="453BBB89" w14:textId="0AF39BFE" w:rsidR="79EB42ED" w:rsidRPr="00F0522E" w:rsidRDefault="79EB42ED" w:rsidP="2E29703C">
      <w:pPr>
        <w:pStyle w:val="ListParagraph"/>
        <w:numPr>
          <w:ilvl w:val="0"/>
          <w:numId w:val="16"/>
        </w:numPr>
        <w:rPr>
          <w:rFonts w:ascii="Arial" w:eastAsia="Arial" w:hAnsi="Arial" w:cs="Arial"/>
        </w:rPr>
      </w:pPr>
      <w:r w:rsidRPr="00F0522E">
        <w:rPr>
          <w:rFonts w:ascii="Arial" w:eastAsia="Arial" w:hAnsi="Arial" w:cs="Arial"/>
          <w:b/>
          <w:bCs/>
        </w:rPr>
        <w:t>By publishing to IATI, governments gain greater visibility of resources at the country level through a single, comparable standard.</w:t>
      </w:r>
      <w:r w:rsidRPr="00F0522E">
        <w:rPr>
          <w:rFonts w:ascii="Arial" w:eastAsia="Arial" w:hAnsi="Arial" w:cs="Arial"/>
        </w:rPr>
        <w:t xml:space="preserve"> Every year more governments leverage IATI’s unparalleled timely, forward-looking and project-level dataset for budgeting and development planning. IATI data also offers value for informing Integrated National Financing Frameworks (INFFs). </w:t>
      </w:r>
      <w:r w:rsidR="3E7B13F0" w:rsidRPr="00F0522E">
        <w:rPr>
          <w:rFonts w:ascii="Arial" w:eastAsia="Arial" w:hAnsi="Arial" w:cs="Arial"/>
          <w:b/>
          <w:bCs/>
        </w:rPr>
        <w:t xml:space="preserve"> </w:t>
      </w:r>
      <w:r w:rsidR="1EA1E9CD" w:rsidRPr="00F0522E">
        <w:rPr>
          <w:rFonts w:ascii="Arial" w:eastAsia="Arial" w:hAnsi="Arial" w:cs="Arial"/>
        </w:rPr>
        <w:t xml:space="preserve">By publishing to IATI, governments gain greater visibility of resources at the country level through a single, comparable standard. </w:t>
      </w:r>
      <w:r w:rsidR="3E7B13F0" w:rsidRPr="00F0522E">
        <w:rPr>
          <w:rFonts w:ascii="Arial" w:eastAsia="Arial" w:hAnsi="Arial" w:cs="Arial"/>
        </w:rPr>
        <w:t xml:space="preserve">Transparency fosters country ownership by providing governments and </w:t>
      </w:r>
      <w:r w:rsidR="7CAA1F03" w:rsidRPr="00F0522E">
        <w:rPr>
          <w:rFonts w:ascii="Arial" w:eastAsia="Arial" w:hAnsi="Arial" w:cs="Arial"/>
        </w:rPr>
        <w:t xml:space="preserve">local </w:t>
      </w:r>
      <w:r w:rsidR="3E7B13F0" w:rsidRPr="00F0522E">
        <w:rPr>
          <w:rFonts w:ascii="Arial" w:eastAsia="Arial" w:hAnsi="Arial" w:cs="Arial"/>
        </w:rPr>
        <w:t xml:space="preserve">stakeholders with the data needed to plan, implement, and monitor their development agendas. This is critical for enhancing aid effectiveness in vulnerable regions and ensuring that financing addresses the unique and dynamic needs of each country. </w:t>
      </w:r>
    </w:p>
    <w:p w14:paraId="7B205475" w14:textId="2F8DBDC3" w:rsidR="6D6C9736" w:rsidRPr="00F0522E" w:rsidRDefault="6D6C9736" w:rsidP="1DACEA4C">
      <w:pPr>
        <w:pStyle w:val="ListParagraph"/>
        <w:rPr>
          <w:rFonts w:ascii="Arial" w:eastAsia="Arial" w:hAnsi="Arial" w:cs="Arial"/>
        </w:rPr>
      </w:pPr>
    </w:p>
    <w:p w14:paraId="753E8A94" w14:textId="10BF6C5B" w:rsidR="00EB3322" w:rsidRPr="00F0522E" w:rsidRDefault="4992F822" w:rsidP="2E29703C">
      <w:pPr>
        <w:pStyle w:val="ListParagraph"/>
        <w:numPr>
          <w:ilvl w:val="0"/>
          <w:numId w:val="16"/>
        </w:numPr>
        <w:spacing w:before="240" w:after="240"/>
        <w:rPr>
          <w:rFonts w:ascii="Arial" w:eastAsia="Arial" w:hAnsi="Arial" w:cs="Arial"/>
        </w:rPr>
      </w:pPr>
      <w:r w:rsidRPr="00F0522E">
        <w:rPr>
          <w:rFonts w:ascii="Arial" w:eastAsia="Arial" w:hAnsi="Arial" w:cs="Arial"/>
          <w:b/>
          <w:bCs/>
        </w:rPr>
        <w:t>IATI’s flexible open data Standard provides a framework for tracking financing for global public goods, which can be reported under SDG 17.3.1.</w:t>
      </w:r>
      <w:r w:rsidR="3E7B13F0" w:rsidRPr="00F0522E">
        <w:rPr>
          <w:rFonts w:ascii="Arial" w:eastAsia="Arial" w:hAnsi="Arial" w:cs="Arial"/>
          <w:b/>
          <w:bCs/>
        </w:rPr>
        <w:t xml:space="preserve"> </w:t>
      </w:r>
      <w:r w:rsidR="53B1E805" w:rsidRPr="00F0522E">
        <w:rPr>
          <w:rFonts w:ascii="Arial" w:eastAsia="Arial" w:hAnsi="Arial" w:cs="Arial"/>
        </w:rPr>
        <w:t xml:space="preserve">IATI data is already being reported on climate action and the IATI Standard has been utilised in previous reporting frameworks, including the United Nations system-wide reporting of financial data and the Grand Bargain’s reporting of humanitarian financing. </w:t>
      </w:r>
      <w:r w:rsidR="3E7B13F0" w:rsidRPr="00F0522E">
        <w:rPr>
          <w:rFonts w:ascii="Arial" w:eastAsia="Arial" w:hAnsi="Arial" w:cs="Arial"/>
        </w:rPr>
        <w:t xml:space="preserve">By making financial information publicly available, IATI data empowers a wide range of stakeholders—from government officials to civil society, private sector, and academia—to engage in informed dialogue and hold decision-makers </w:t>
      </w:r>
      <w:r w:rsidR="64E8F583" w:rsidRPr="00F0522E">
        <w:rPr>
          <w:rFonts w:ascii="Arial" w:eastAsia="Arial" w:hAnsi="Arial" w:cs="Arial"/>
        </w:rPr>
        <w:t>accountable. This</w:t>
      </w:r>
      <w:r w:rsidR="3E7B13F0" w:rsidRPr="00F0522E">
        <w:rPr>
          <w:rFonts w:ascii="Arial" w:eastAsia="Arial" w:hAnsi="Arial" w:cs="Arial"/>
        </w:rPr>
        <w:t xml:space="preserve"> inclusive approach strengthens policy-making processes and helps ensure that development efforts leave no one behind.</w:t>
      </w:r>
    </w:p>
    <w:sectPr w:rsidR="00EB3322" w:rsidRPr="00F0522E">
      <w:headerReference w:type="default" r:id="rId15"/>
      <w:footerReference w:type="default" r:id="rId16"/>
      <w:pgSz w:w="11907" w:h="1683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Yemesrach Workie" w:date="2024-10-15T18:11:00Z" w:initials="YW">
    <w:p w14:paraId="474AD6CD" w14:textId="3EB74D73" w:rsidR="00C87C59" w:rsidRDefault="00C87C59">
      <w:pPr>
        <w:pStyle w:val="CommentText"/>
      </w:pPr>
      <w:r>
        <w:rPr>
          <w:rStyle w:val="CommentReference"/>
        </w:rPr>
        <w:annotationRef/>
      </w:r>
      <w:r>
        <w:fldChar w:fldCharType="begin"/>
      </w:r>
      <w:r>
        <w:instrText xml:space="preserve"> HYPERLINK "mailto:rohini.simbodyal@undp.org"</w:instrText>
      </w:r>
      <w:bookmarkStart w:id="2" w:name="_@_5C65379A89A54DDE8C56F7ED3259F16BZ"/>
      <w:r>
        <w:fldChar w:fldCharType="separate"/>
      </w:r>
      <w:bookmarkEnd w:id="2"/>
      <w:r w:rsidRPr="01A613A1">
        <w:rPr>
          <w:noProof/>
        </w:rPr>
        <w:t>@Rohini Simbodyal</w:t>
      </w:r>
      <w:r>
        <w:fldChar w:fldCharType="end"/>
      </w:r>
      <w:r w:rsidRPr="3472C633">
        <w:t xml:space="preserve">  can you mention D-Portal and CDR this will help to show case we offer tools. or provide links to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4AD6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44AB36" w16cex:dateUtc="2024-10-15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4AD6CD" w16cid:durableId="6B44AB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60C3D" w14:textId="77777777" w:rsidR="00A07D3A" w:rsidRDefault="00A07D3A">
      <w:pPr>
        <w:spacing w:after="0" w:line="240" w:lineRule="auto"/>
      </w:pPr>
      <w:r>
        <w:separator/>
      </w:r>
    </w:p>
  </w:endnote>
  <w:endnote w:type="continuationSeparator" w:id="0">
    <w:p w14:paraId="0D2E3A1B" w14:textId="77777777" w:rsidR="00A07D3A" w:rsidRDefault="00A07D3A">
      <w:pPr>
        <w:spacing w:after="0" w:line="240" w:lineRule="auto"/>
      </w:pPr>
      <w:r>
        <w:continuationSeparator/>
      </w:r>
    </w:p>
  </w:endnote>
  <w:endnote w:type="continuationNotice" w:id="1">
    <w:p w14:paraId="2CDE2C9B" w14:textId="77777777" w:rsidR="00A07D3A" w:rsidRDefault="00A07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A1F37F" w14:paraId="2C38021A" w14:textId="77777777" w:rsidTr="6D6C9736">
      <w:trPr>
        <w:trHeight w:val="300"/>
      </w:trPr>
      <w:tc>
        <w:tcPr>
          <w:tcW w:w="3120" w:type="dxa"/>
        </w:tcPr>
        <w:p w14:paraId="21EA31A4" w14:textId="2DDF8940" w:rsidR="02A1F37F" w:rsidRDefault="02A1F37F" w:rsidP="02A1F37F">
          <w:pPr>
            <w:pStyle w:val="Header"/>
            <w:ind w:left="-115"/>
          </w:pPr>
        </w:p>
      </w:tc>
      <w:tc>
        <w:tcPr>
          <w:tcW w:w="3120" w:type="dxa"/>
        </w:tcPr>
        <w:p w14:paraId="3A24415C" w14:textId="797A2CEA" w:rsidR="02A1F37F" w:rsidRDefault="02A1F37F" w:rsidP="02A1F37F">
          <w:pPr>
            <w:pStyle w:val="Header"/>
            <w:jc w:val="center"/>
          </w:pPr>
          <w:r>
            <w:fldChar w:fldCharType="begin"/>
          </w:r>
          <w:r>
            <w:instrText>PAGE</w:instrText>
          </w:r>
          <w:r>
            <w:fldChar w:fldCharType="separate"/>
          </w:r>
          <w:r w:rsidR="00F0522E">
            <w:rPr>
              <w:noProof/>
            </w:rPr>
            <w:t>1</w:t>
          </w:r>
          <w:r>
            <w:fldChar w:fldCharType="end"/>
          </w:r>
        </w:p>
      </w:tc>
      <w:tc>
        <w:tcPr>
          <w:tcW w:w="3120" w:type="dxa"/>
        </w:tcPr>
        <w:p w14:paraId="5F1FA163" w14:textId="46D92405" w:rsidR="02A1F37F" w:rsidRDefault="02A1F37F" w:rsidP="02A1F37F">
          <w:pPr>
            <w:pStyle w:val="Header"/>
            <w:ind w:right="-115"/>
            <w:jc w:val="right"/>
          </w:pPr>
        </w:p>
      </w:tc>
    </w:tr>
  </w:tbl>
  <w:p w14:paraId="2923B85F" w14:textId="6D789609" w:rsidR="00C87C59" w:rsidRDefault="00C8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855F" w14:textId="77777777" w:rsidR="00A07D3A" w:rsidRDefault="00A07D3A">
      <w:pPr>
        <w:spacing w:after="0" w:line="240" w:lineRule="auto"/>
      </w:pPr>
      <w:r>
        <w:separator/>
      </w:r>
    </w:p>
  </w:footnote>
  <w:footnote w:type="continuationSeparator" w:id="0">
    <w:p w14:paraId="159F1EFD" w14:textId="77777777" w:rsidR="00A07D3A" w:rsidRDefault="00A07D3A">
      <w:pPr>
        <w:spacing w:after="0" w:line="240" w:lineRule="auto"/>
      </w:pPr>
      <w:r>
        <w:continuationSeparator/>
      </w:r>
    </w:p>
  </w:footnote>
  <w:footnote w:type="continuationNotice" w:id="1">
    <w:p w14:paraId="554E79B9" w14:textId="77777777" w:rsidR="00A07D3A" w:rsidRDefault="00A07D3A">
      <w:pPr>
        <w:spacing w:after="0" w:line="240" w:lineRule="auto"/>
      </w:pPr>
    </w:p>
  </w:footnote>
  <w:footnote w:id="2">
    <w:p w14:paraId="53BC394B" w14:textId="7DF2743D" w:rsidR="6D6C9736" w:rsidRPr="00F0522E" w:rsidRDefault="6D6C9736" w:rsidP="6D6C9736">
      <w:pPr>
        <w:pStyle w:val="FootnoteText"/>
        <w:rPr>
          <w:rFonts w:ascii="Arial" w:hAnsi="Arial" w:cs="Arial"/>
        </w:rPr>
      </w:pPr>
      <w:r w:rsidRPr="00F0522E">
        <w:rPr>
          <w:rStyle w:val="FootnoteReference"/>
          <w:rFonts w:ascii="Arial" w:hAnsi="Arial" w:cs="Arial"/>
        </w:rPr>
        <w:footnoteRef/>
      </w:r>
      <w:r w:rsidRPr="00F0522E">
        <w:rPr>
          <w:rFonts w:ascii="Arial" w:hAnsi="Arial" w:cs="Arial"/>
        </w:rPr>
        <w:t xml:space="preserve"> </w:t>
      </w:r>
      <w:hyperlink r:id="rId1">
        <w:r w:rsidRPr="00F0522E">
          <w:rPr>
            <w:rStyle w:val="Hyperlink"/>
            <w:rFonts w:ascii="Arial" w:hAnsi="Arial" w:cs="Arial"/>
          </w:rPr>
          <w:t>https://www.iatiregistry.org/</w:t>
        </w:r>
      </w:hyperlink>
    </w:p>
  </w:footnote>
  <w:footnote w:id="3">
    <w:p w14:paraId="0E05E332" w14:textId="13A418C3" w:rsidR="6D6C9736" w:rsidRPr="00F0522E" w:rsidRDefault="6D6C9736" w:rsidP="6D6C9736">
      <w:pPr>
        <w:pStyle w:val="FootnoteText"/>
        <w:rPr>
          <w:rFonts w:ascii="Arial" w:hAnsi="Arial" w:cs="Arial"/>
        </w:rPr>
      </w:pPr>
      <w:r w:rsidRPr="00F0522E">
        <w:rPr>
          <w:rStyle w:val="FootnoteReference"/>
          <w:rFonts w:ascii="Arial" w:hAnsi="Arial" w:cs="Arial"/>
        </w:rPr>
        <w:footnoteRef/>
      </w:r>
      <w:r w:rsidRPr="00F0522E">
        <w:rPr>
          <w:rFonts w:ascii="Arial" w:hAnsi="Arial" w:cs="Arial"/>
        </w:rPr>
        <w:t xml:space="preserve"> https://iatistandard.org/en/news/usaid-tool-launched-to-help-staff-use-iati-data/</w:t>
      </w:r>
    </w:p>
  </w:footnote>
  <w:footnote w:id="4">
    <w:p w14:paraId="2F22CE2D" w14:textId="31E280FA" w:rsidR="6D6C9736" w:rsidRPr="00F0522E" w:rsidRDefault="6D6C9736" w:rsidP="6D6C9736">
      <w:pPr>
        <w:pStyle w:val="FootnoteText"/>
        <w:rPr>
          <w:rFonts w:ascii="Arial" w:hAnsi="Arial" w:cs="Arial"/>
        </w:rPr>
      </w:pPr>
      <w:r w:rsidRPr="00F0522E">
        <w:rPr>
          <w:rStyle w:val="FootnoteReference"/>
          <w:rFonts w:ascii="Arial" w:hAnsi="Arial" w:cs="Arial"/>
        </w:rPr>
        <w:footnoteRef/>
      </w:r>
      <w:r w:rsidRPr="00F0522E">
        <w:rPr>
          <w:rFonts w:ascii="Arial" w:hAnsi="Arial" w:cs="Arial"/>
        </w:rPr>
        <w:t xml:space="preserve"> https://iatistandard.org/en/about/case-studies/afdbs-iati-portal-improves-development-investments/</w:t>
      </w:r>
    </w:p>
  </w:footnote>
  <w:footnote w:id="5">
    <w:p w14:paraId="3BC7DFAB" w14:textId="592D39D5" w:rsidR="1DACEA4C" w:rsidRPr="00F0522E" w:rsidRDefault="1DACEA4C" w:rsidP="1DACEA4C">
      <w:pPr>
        <w:pStyle w:val="FootnoteText"/>
        <w:rPr>
          <w:rFonts w:ascii="Arial" w:hAnsi="Arial" w:cs="Arial"/>
        </w:rPr>
      </w:pPr>
      <w:r w:rsidRPr="00F0522E">
        <w:rPr>
          <w:rStyle w:val="FootnoteReference"/>
          <w:rFonts w:ascii="Arial" w:hAnsi="Arial" w:cs="Arial"/>
        </w:rPr>
        <w:footnoteRef/>
      </w:r>
      <w:r w:rsidRPr="00F0522E">
        <w:rPr>
          <w:rFonts w:ascii="Arial" w:hAnsi="Arial" w:cs="Arial"/>
        </w:rPr>
        <w:t xml:space="preserve"> </w:t>
      </w:r>
      <w:hyperlink r:id="rId2">
        <w:r w:rsidRPr="00F0522E">
          <w:rPr>
            <w:rStyle w:val="Hyperlink"/>
            <w:rFonts w:ascii="Arial" w:eastAsia="Arial" w:hAnsi="Arial" w:cs="Arial"/>
            <w:i/>
            <w:iCs/>
            <w:color w:val="0B57D0"/>
          </w:rPr>
          <w:t>https://www.gafs.info</w:t>
        </w:r>
      </w:hyperlink>
    </w:p>
  </w:footnote>
  <w:footnote w:id="6">
    <w:p w14:paraId="01576360" w14:textId="35BA2526" w:rsidR="1DACEA4C" w:rsidRPr="00F0522E" w:rsidRDefault="1DACEA4C" w:rsidP="1DACEA4C">
      <w:pPr>
        <w:spacing w:after="0"/>
        <w:rPr>
          <w:rFonts w:ascii="Arial" w:hAnsi="Arial" w:cs="Arial"/>
        </w:rPr>
      </w:pPr>
      <w:r w:rsidRPr="00F0522E">
        <w:rPr>
          <w:rStyle w:val="FootnoteReference"/>
          <w:rFonts w:ascii="Arial" w:hAnsi="Arial" w:cs="Arial"/>
          <w:sz w:val="20"/>
          <w:szCs w:val="20"/>
        </w:rPr>
        <w:footnoteRef/>
      </w:r>
      <w:r w:rsidRPr="00F0522E">
        <w:rPr>
          <w:rFonts w:ascii="Arial" w:hAnsi="Arial" w:cs="Arial"/>
          <w:sz w:val="20"/>
          <w:szCs w:val="20"/>
        </w:rPr>
        <w:t xml:space="preserve"> </w:t>
      </w:r>
      <w:r w:rsidRPr="00F0522E">
        <w:rPr>
          <w:rFonts w:ascii="Arial" w:eastAsia="Arial" w:hAnsi="Arial" w:cs="Arial"/>
          <w:color w:val="000000" w:themeColor="text1"/>
          <w:sz w:val="20"/>
          <w:szCs w:val="20"/>
        </w:rPr>
        <w:t>Burkina Faso, Cabo Verde, Cameroon, Central African Republic, Comoros, Democratic Republic of Congo, Djibouti, Dominica, Ethiopia, Grenada, Haiti, Kenya, Liberia, Madagascar, Malawi, Mozambique, Niger, Sierra Leone, Somalia, South Sudan, St Lucia, St Vincent &amp; the Grenadines, Tajikistan, Yemen.</w:t>
      </w:r>
    </w:p>
  </w:footnote>
  <w:footnote w:id="7">
    <w:p w14:paraId="2A7A50A9" w14:textId="3F88608F" w:rsidR="1DACEA4C" w:rsidRPr="00F0522E" w:rsidRDefault="1DACEA4C" w:rsidP="1DACEA4C">
      <w:pPr>
        <w:pStyle w:val="FootnoteText"/>
        <w:rPr>
          <w:rFonts w:ascii="Arial" w:hAnsi="Arial" w:cs="Arial"/>
        </w:rPr>
      </w:pPr>
      <w:r w:rsidRPr="00F0522E">
        <w:rPr>
          <w:rStyle w:val="FootnoteReference"/>
          <w:rFonts w:ascii="Arial" w:hAnsi="Arial" w:cs="Arial"/>
        </w:rPr>
        <w:footnoteRef/>
      </w:r>
      <w:hyperlink r:id="rId3">
        <w:r w:rsidRPr="00F0522E">
          <w:rPr>
            <w:rStyle w:val="Hyperlink"/>
            <w:rFonts w:ascii="Arial" w:hAnsi="Arial" w:cs="Arial"/>
          </w:rPr>
          <w:t>https://cdn.iatistandard.org/prod-iati-website/documents/IATI_Annual_Report_2022_EN.pdf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A1F37F" w14:paraId="7BA33E71" w14:textId="77777777" w:rsidTr="02A1F37F">
      <w:trPr>
        <w:trHeight w:val="300"/>
      </w:trPr>
      <w:tc>
        <w:tcPr>
          <w:tcW w:w="3120" w:type="dxa"/>
        </w:tcPr>
        <w:p w14:paraId="187EF9CD" w14:textId="3D69F0BD" w:rsidR="02A1F37F" w:rsidRDefault="02A1F37F" w:rsidP="02A1F37F">
          <w:pPr>
            <w:pStyle w:val="Header"/>
            <w:ind w:left="-115"/>
          </w:pPr>
        </w:p>
      </w:tc>
      <w:tc>
        <w:tcPr>
          <w:tcW w:w="3120" w:type="dxa"/>
        </w:tcPr>
        <w:p w14:paraId="72665381" w14:textId="03577CFE" w:rsidR="02A1F37F" w:rsidRDefault="02A1F37F" w:rsidP="02A1F37F">
          <w:pPr>
            <w:pStyle w:val="Header"/>
            <w:jc w:val="center"/>
          </w:pPr>
        </w:p>
      </w:tc>
      <w:tc>
        <w:tcPr>
          <w:tcW w:w="3120" w:type="dxa"/>
        </w:tcPr>
        <w:p w14:paraId="64633187" w14:textId="3306E2E8" w:rsidR="02A1F37F" w:rsidRDefault="02A1F37F" w:rsidP="02A1F37F">
          <w:pPr>
            <w:pStyle w:val="Header"/>
            <w:ind w:right="-115"/>
            <w:jc w:val="right"/>
          </w:pPr>
        </w:p>
      </w:tc>
    </w:tr>
  </w:tbl>
  <w:p w14:paraId="627909BA" w14:textId="7F5D7521" w:rsidR="00C87C59" w:rsidRDefault="00C87C5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upKcek2" int2:invalidationBookmarkName="" int2:hashCode="t0HyB0StpBN9bl" int2:id="L9bRQQlX">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0C0C"/>
    <w:multiLevelType w:val="multilevel"/>
    <w:tmpl w:val="D090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4D1B5"/>
    <w:multiLevelType w:val="hybridMultilevel"/>
    <w:tmpl w:val="FFFFFFFF"/>
    <w:lvl w:ilvl="0" w:tplc="97E260F6">
      <w:start w:val="1"/>
      <w:numFmt w:val="decimal"/>
      <w:lvlText w:val="%1."/>
      <w:lvlJc w:val="left"/>
      <w:pPr>
        <w:ind w:left="720" w:hanging="360"/>
      </w:pPr>
    </w:lvl>
    <w:lvl w:ilvl="1" w:tplc="483CBAE2">
      <w:start w:val="1"/>
      <w:numFmt w:val="lowerLetter"/>
      <w:lvlText w:val="%2."/>
      <w:lvlJc w:val="left"/>
      <w:pPr>
        <w:ind w:left="1440" w:hanging="360"/>
      </w:pPr>
    </w:lvl>
    <w:lvl w:ilvl="2" w:tplc="E3B892A2">
      <w:start w:val="1"/>
      <w:numFmt w:val="lowerRoman"/>
      <w:lvlText w:val="%3."/>
      <w:lvlJc w:val="right"/>
      <w:pPr>
        <w:ind w:left="2160" w:hanging="180"/>
      </w:pPr>
    </w:lvl>
    <w:lvl w:ilvl="3" w:tplc="F1A03286">
      <w:start w:val="1"/>
      <w:numFmt w:val="decimal"/>
      <w:lvlText w:val="%4."/>
      <w:lvlJc w:val="left"/>
      <w:pPr>
        <w:ind w:left="2880" w:hanging="360"/>
      </w:pPr>
    </w:lvl>
    <w:lvl w:ilvl="4" w:tplc="C046CF44">
      <w:start w:val="1"/>
      <w:numFmt w:val="lowerLetter"/>
      <w:lvlText w:val="%5."/>
      <w:lvlJc w:val="left"/>
      <w:pPr>
        <w:ind w:left="3600" w:hanging="360"/>
      </w:pPr>
    </w:lvl>
    <w:lvl w:ilvl="5" w:tplc="208C2306">
      <w:start w:val="1"/>
      <w:numFmt w:val="lowerRoman"/>
      <w:lvlText w:val="%6."/>
      <w:lvlJc w:val="right"/>
      <w:pPr>
        <w:ind w:left="4320" w:hanging="180"/>
      </w:pPr>
    </w:lvl>
    <w:lvl w:ilvl="6" w:tplc="0EC85B5A">
      <w:start w:val="1"/>
      <w:numFmt w:val="decimal"/>
      <w:lvlText w:val="%7."/>
      <w:lvlJc w:val="left"/>
      <w:pPr>
        <w:ind w:left="5040" w:hanging="360"/>
      </w:pPr>
    </w:lvl>
    <w:lvl w:ilvl="7" w:tplc="08B41C6E">
      <w:start w:val="1"/>
      <w:numFmt w:val="lowerLetter"/>
      <w:lvlText w:val="%8."/>
      <w:lvlJc w:val="left"/>
      <w:pPr>
        <w:ind w:left="5760" w:hanging="360"/>
      </w:pPr>
    </w:lvl>
    <w:lvl w:ilvl="8" w:tplc="E72282B2">
      <w:start w:val="1"/>
      <w:numFmt w:val="lowerRoman"/>
      <w:lvlText w:val="%9."/>
      <w:lvlJc w:val="right"/>
      <w:pPr>
        <w:ind w:left="6480" w:hanging="180"/>
      </w:pPr>
    </w:lvl>
  </w:abstractNum>
  <w:abstractNum w:abstractNumId="2" w15:restartNumberingAfterBreak="0">
    <w:nsid w:val="0D633E3C"/>
    <w:multiLevelType w:val="hybridMultilevel"/>
    <w:tmpl w:val="FFFFFFFF"/>
    <w:lvl w:ilvl="0" w:tplc="E6922AF2">
      <w:start w:val="1"/>
      <w:numFmt w:val="bullet"/>
      <w:lvlText w:val=""/>
      <w:lvlJc w:val="left"/>
      <w:pPr>
        <w:ind w:left="720" w:hanging="360"/>
      </w:pPr>
      <w:rPr>
        <w:rFonts w:ascii="Symbol" w:hAnsi="Symbol" w:hint="default"/>
      </w:rPr>
    </w:lvl>
    <w:lvl w:ilvl="1" w:tplc="CF603026">
      <w:start w:val="1"/>
      <w:numFmt w:val="bullet"/>
      <w:lvlText w:val="o"/>
      <w:lvlJc w:val="left"/>
      <w:pPr>
        <w:ind w:left="1440" w:hanging="360"/>
      </w:pPr>
      <w:rPr>
        <w:rFonts w:ascii="Courier New" w:hAnsi="Courier New" w:hint="default"/>
      </w:rPr>
    </w:lvl>
    <w:lvl w:ilvl="2" w:tplc="ABC08576">
      <w:start w:val="1"/>
      <w:numFmt w:val="bullet"/>
      <w:lvlText w:val=""/>
      <w:lvlJc w:val="left"/>
      <w:pPr>
        <w:ind w:left="2160" w:hanging="360"/>
      </w:pPr>
      <w:rPr>
        <w:rFonts w:ascii="Wingdings" w:hAnsi="Wingdings" w:hint="default"/>
      </w:rPr>
    </w:lvl>
    <w:lvl w:ilvl="3" w:tplc="9C366D3A">
      <w:start w:val="1"/>
      <w:numFmt w:val="bullet"/>
      <w:lvlText w:val=""/>
      <w:lvlJc w:val="left"/>
      <w:pPr>
        <w:ind w:left="2880" w:hanging="360"/>
      </w:pPr>
      <w:rPr>
        <w:rFonts w:ascii="Symbol" w:hAnsi="Symbol" w:hint="default"/>
      </w:rPr>
    </w:lvl>
    <w:lvl w:ilvl="4" w:tplc="D9705186">
      <w:start w:val="1"/>
      <w:numFmt w:val="bullet"/>
      <w:lvlText w:val="o"/>
      <w:lvlJc w:val="left"/>
      <w:pPr>
        <w:ind w:left="3600" w:hanging="360"/>
      </w:pPr>
      <w:rPr>
        <w:rFonts w:ascii="Courier New" w:hAnsi="Courier New" w:hint="default"/>
      </w:rPr>
    </w:lvl>
    <w:lvl w:ilvl="5" w:tplc="E2E2829A">
      <w:start w:val="1"/>
      <w:numFmt w:val="bullet"/>
      <w:lvlText w:val=""/>
      <w:lvlJc w:val="left"/>
      <w:pPr>
        <w:ind w:left="4320" w:hanging="360"/>
      </w:pPr>
      <w:rPr>
        <w:rFonts w:ascii="Wingdings" w:hAnsi="Wingdings" w:hint="default"/>
      </w:rPr>
    </w:lvl>
    <w:lvl w:ilvl="6" w:tplc="C8F0360C">
      <w:start w:val="1"/>
      <w:numFmt w:val="bullet"/>
      <w:lvlText w:val=""/>
      <w:lvlJc w:val="left"/>
      <w:pPr>
        <w:ind w:left="5040" w:hanging="360"/>
      </w:pPr>
      <w:rPr>
        <w:rFonts w:ascii="Symbol" w:hAnsi="Symbol" w:hint="default"/>
      </w:rPr>
    </w:lvl>
    <w:lvl w:ilvl="7" w:tplc="CF3605C0">
      <w:start w:val="1"/>
      <w:numFmt w:val="bullet"/>
      <w:lvlText w:val="o"/>
      <w:lvlJc w:val="left"/>
      <w:pPr>
        <w:ind w:left="5760" w:hanging="360"/>
      </w:pPr>
      <w:rPr>
        <w:rFonts w:ascii="Courier New" w:hAnsi="Courier New" w:hint="default"/>
      </w:rPr>
    </w:lvl>
    <w:lvl w:ilvl="8" w:tplc="1AA82108">
      <w:start w:val="1"/>
      <w:numFmt w:val="bullet"/>
      <w:lvlText w:val=""/>
      <w:lvlJc w:val="left"/>
      <w:pPr>
        <w:ind w:left="6480" w:hanging="360"/>
      </w:pPr>
      <w:rPr>
        <w:rFonts w:ascii="Wingdings" w:hAnsi="Wingdings" w:hint="default"/>
      </w:rPr>
    </w:lvl>
  </w:abstractNum>
  <w:abstractNum w:abstractNumId="3" w15:restartNumberingAfterBreak="0">
    <w:nsid w:val="0E894027"/>
    <w:multiLevelType w:val="hybridMultilevel"/>
    <w:tmpl w:val="FFFFFFFF"/>
    <w:lvl w:ilvl="0" w:tplc="A184C928">
      <w:start w:val="1"/>
      <w:numFmt w:val="decimal"/>
      <w:lvlText w:val="●"/>
      <w:lvlJc w:val="left"/>
      <w:pPr>
        <w:ind w:left="720" w:hanging="360"/>
      </w:pPr>
    </w:lvl>
    <w:lvl w:ilvl="1" w:tplc="BDFC016A">
      <w:start w:val="1"/>
      <w:numFmt w:val="lowerLetter"/>
      <w:lvlText w:val="%2."/>
      <w:lvlJc w:val="left"/>
      <w:pPr>
        <w:ind w:left="1440" w:hanging="360"/>
      </w:pPr>
    </w:lvl>
    <w:lvl w:ilvl="2" w:tplc="BA386F48">
      <w:start w:val="1"/>
      <w:numFmt w:val="lowerRoman"/>
      <w:lvlText w:val="%3."/>
      <w:lvlJc w:val="right"/>
      <w:pPr>
        <w:ind w:left="2160" w:hanging="180"/>
      </w:pPr>
    </w:lvl>
    <w:lvl w:ilvl="3" w:tplc="8688B7C0">
      <w:start w:val="1"/>
      <w:numFmt w:val="decimal"/>
      <w:lvlText w:val="%4."/>
      <w:lvlJc w:val="left"/>
      <w:pPr>
        <w:ind w:left="2880" w:hanging="360"/>
      </w:pPr>
    </w:lvl>
    <w:lvl w:ilvl="4" w:tplc="D3B8D33A">
      <w:start w:val="1"/>
      <w:numFmt w:val="lowerLetter"/>
      <w:lvlText w:val="%5."/>
      <w:lvlJc w:val="left"/>
      <w:pPr>
        <w:ind w:left="3600" w:hanging="360"/>
      </w:pPr>
    </w:lvl>
    <w:lvl w:ilvl="5" w:tplc="E2685A72">
      <w:start w:val="1"/>
      <w:numFmt w:val="lowerRoman"/>
      <w:lvlText w:val="%6."/>
      <w:lvlJc w:val="right"/>
      <w:pPr>
        <w:ind w:left="4320" w:hanging="180"/>
      </w:pPr>
    </w:lvl>
    <w:lvl w:ilvl="6" w:tplc="3200B320">
      <w:start w:val="1"/>
      <w:numFmt w:val="decimal"/>
      <w:lvlText w:val="%7."/>
      <w:lvlJc w:val="left"/>
      <w:pPr>
        <w:ind w:left="5040" w:hanging="360"/>
      </w:pPr>
    </w:lvl>
    <w:lvl w:ilvl="7" w:tplc="7C7415F4">
      <w:start w:val="1"/>
      <w:numFmt w:val="lowerLetter"/>
      <w:lvlText w:val="%8."/>
      <w:lvlJc w:val="left"/>
      <w:pPr>
        <w:ind w:left="5760" w:hanging="360"/>
      </w:pPr>
    </w:lvl>
    <w:lvl w:ilvl="8" w:tplc="988CB7D4">
      <w:start w:val="1"/>
      <w:numFmt w:val="lowerRoman"/>
      <w:lvlText w:val="%9."/>
      <w:lvlJc w:val="right"/>
      <w:pPr>
        <w:ind w:left="6480" w:hanging="180"/>
      </w:pPr>
    </w:lvl>
  </w:abstractNum>
  <w:abstractNum w:abstractNumId="4" w15:restartNumberingAfterBreak="0">
    <w:nsid w:val="120548A5"/>
    <w:multiLevelType w:val="hybridMultilevel"/>
    <w:tmpl w:val="FFFFFFFF"/>
    <w:lvl w:ilvl="0" w:tplc="BEF65FA0">
      <w:start w:val="1"/>
      <w:numFmt w:val="decimal"/>
      <w:lvlText w:val="%1."/>
      <w:lvlJc w:val="left"/>
      <w:pPr>
        <w:ind w:left="720" w:hanging="360"/>
      </w:pPr>
    </w:lvl>
    <w:lvl w:ilvl="1" w:tplc="D73A6AE4">
      <w:start w:val="1"/>
      <w:numFmt w:val="lowerLetter"/>
      <w:lvlText w:val="%2."/>
      <w:lvlJc w:val="left"/>
      <w:pPr>
        <w:ind w:left="1440" w:hanging="360"/>
      </w:pPr>
    </w:lvl>
    <w:lvl w:ilvl="2" w:tplc="08F60FE8">
      <w:start w:val="1"/>
      <w:numFmt w:val="lowerRoman"/>
      <w:lvlText w:val="%3."/>
      <w:lvlJc w:val="right"/>
      <w:pPr>
        <w:ind w:left="2160" w:hanging="180"/>
      </w:pPr>
    </w:lvl>
    <w:lvl w:ilvl="3" w:tplc="812A9EBA">
      <w:start w:val="1"/>
      <w:numFmt w:val="decimal"/>
      <w:lvlText w:val="%4."/>
      <w:lvlJc w:val="left"/>
      <w:pPr>
        <w:ind w:left="2880" w:hanging="360"/>
      </w:pPr>
    </w:lvl>
    <w:lvl w:ilvl="4" w:tplc="C4242608">
      <w:start w:val="1"/>
      <w:numFmt w:val="lowerLetter"/>
      <w:lvlText w:val="%5."/>
      <w:lvlJc w:val="left"/>
      <w:pPr>
        <w:ind w:left="3600" w:hanging="360"/>
      </w:pPr>
    </w:lvl>
    <w:lvl w:ilvl="5" w:tplc="8996D4BC">
      <w:start w:val="1"/>
      <w:numFmt w:val="lowerRoman"/>
      <w:lvlText w:val="%6."/>
      <w:lvlJc w:val="right"/>
      <w:pPr>
        <w:ind w:left="4320" w:hanging="180"/>
      </w:pPr>
    </w:lvl>
    <w:lvl w:ilvl="6" w:tplc="C29C8344">
      <w:start w:val="1"/>
      <w:numFmt w:val="decimal"/>
      <w:lvlText w:val="%7."/>
      <w:lvlJc w:val="left"/>
      <w:pPr>
        <w:ind w:left="5040" w:hanging="360"/>
      </w:pPr>
    </w:lvl>
    <w:lvl w:ilvl="7" w:tplc="667C0CAC">
      <w:start w:val="1"/>
      <w:numFmt w:val="lowerLetter"/>
      <w:lvlText w:val="%8."/>
      <w:lvlJc w:val="left"/>
      <w:pPr>
        <w:ind w:left="5760" w:hanging="360"/>
      </w:pPr>
    </w:lvl>
    <w:lvl w:ilvl="8" w:tplc="99387040">
      <w:start w:val="1"/>
      <w:numFmt w:val="lowerRoman"/>
      <w:lvlText w:val="%9."/>
      <w:lvlJc w:val="right"/>
      <w:pPr>
        <w:ind w:left="6480" w:hanging="180"/>
      </w:pPr>
    </w:lvl>
  </w:abstractNum>
  <w:abstractNum w:abstractNumId="5" w15:restartNumberingAfterBreak="0">
    <w:nsid w:val="12AD282F"/>
    <w:multiLevelType w:val="hybridMultilevel"/>
    <w:tmpl w:val="9308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F642B"/>
    <w:multiLevelType w:val="hybridMultilevel"/>
    <w:tmpl w:val="FFFFFFFF"/>
    <w:lvl w:ilvl="0" w:tplc="4E4655E0">
      <w:start w:val="1"/>
      <w:numFmt w:val="decimal"/>
      <w:lvlText w:val="%1."/>
      <w:lvlJc w:val="left"/>
      <w:pPr>
        <w:ind w:left="720" w:hanging="360"/>
      </w:pPr>
    </w:lvl>
    <w:lvl w:ilvl="1" w:tplc="085E49B0">
      <w:start w:val="1"/>
      <w:numFmt w:val="lowerLetter"/>
      <w:lvlText w:val="%2."/>
      <w:lvlJc w:val="left"/>
      <w:pPr>
        <w:ind w:left="1440" w:hanging="360"/>
      </w:pPr>
    </w:lvl>
    <w:lvl w:ilvl="2" w:tplc="726CF6EA">
      <w:start w:val="1"/>
      <w:numFmt w:val="lowerRoman"/>
      <w:lvlText w:val="%3."/>
      <w:lvlJc w:val="right"/>
      <w:pPr>
        <w:ind w:left="2160" w:hanging="180"/>
      </w:pPr>
    </w:lvl>
    <w:lvl w:ilvl="3" w:tplc="F8B60E30">
      <w:start w:val="1"/>
      <w:numFmt w:val="decimal"/>
      <w:lvlText w:val="%4."/>
      <w:lvlJc w:val="left"/>
      <w:pPr>
        <w:ind w:left="2880" w:hanging="360"/>
      </w:pPr>
    </w:lvl>
    <w:lvl w:ilvl="4" w:tplc="99C822CC">
      <w:start w:val="1"/>
      <w:numFmt w:val="lowerLetter"/>
      <w:lvlText w:val="%5."/>
      <w:lvlJc w:val="left"/>
      <w:pPr>
        <w:ind w:left="3600" w:hanging="360"/>
      </w:pPr>
    </w:lvl>
    <w:lvl w:ilvl="5" w:tplc="6F102A72">
      <w:start w:val="1"/>
      <w:numFmt w:val="lowerRoman"/>
      <w:lvlText w:val="%6."/>
      <w:lvlJc w:val="right"/>
      <w:pPr>
        <w:ind w:left="4320" w:hanging="180"/>
      </w:pPr>
    </w:lvl>
    <w:lvl w:ilvl="6" w:tplc="ACCA538A">
      <w:start w:val="1"/>
      <w:numFmt w:val="decimal"/>
      <w:lvlText w:val="%7."/>
      <w:lvlJc w:val="left"/>
      <w:pPr>
        <w:ind w:left="5040" w:hanging="360"/>
      </w:pPr>
    </w:lvl>
    <w:lvl w:ilvl="7" w:tplc="4EF45B02">
      <w:start w:val="1"/>
      <w:numFmt w:val="lowerLetter"/>
      <w:lvlText w:val="%8."/>
      <w:lvlJc w:val="left"/>
      <w:pPr>
        <w:ind w:left="5760" w:hanging="360"/>
      </w:pPr>
    </w:lvl>
    <w:lvl w:ilvl="8" w:tplc="BAD890A0">
      <w:start w:val="1"/>
      <w:numFmt w:val="lowerRoman"/>
      <w:lvlText w:val="%9."/>
      <w:lvlJc w:val="right"/>
      <w:pPr>
        <w:ind w:left="6480" w:hanging="180"/>
      </w:pPr>
    </w:lvl>
  </w:abstractNum>
  <w:abstractNum w:abstractNumId="7" w15:restartNumberingAfterBreak="0">
    <w:nsid w:val="1AC32952"/>
    <w:multiLevelType w:val="hybridMultilevel"/>
    <w:tmpl w:val="FFFFFFFF"/>
    <w:lvl w:ilvl="0" w:tplc="4B928A54">
      <w:start w:val="1"/>
      <w:numFmt w:val="decimal"/>
      <w:lvlText w:val="%1."/>
      <w:lvlJc w:val="left"/>
      <w:pPr>
        <w:ind w:left="720" w:hanging="360"/>
      </w:pPr>
    </w:lvl>
    <w:lvl w:ilvl="1" w:tplc="61F09042">
      <w:start w:val="1"/>
      <w:numFmt w:val="lowerLetter"/>
      <w:lvlText w:val="%2."/>
      <w:lvlJc w:val="left"/>
      <w:pPr>
        <w:ind w:left="1440" w:hanging="360"/>
      </w:pPr>
    </w:lvl>
    <w:lvl w:ilvl="2" w:tplc="977AB00E">
      <w:start w:val="1"/>
      <w:numFmt w:val="lowerRoman"/>
      <w:lvlText w:val="%3."/>
      <w:lvlJc w:val="right"/>
      <w:pPr>
        <w:ind w:left="2160" w:hanging="180"/>
      </w:pPr>
    </w:lvl>
    <w:lvl w:ilvl="3" w:tplc="84A079AA">
      <w:start w:val="1"/>
      <w:numFmt w:val="decimal"/>
      <w:lvlText w:val="%4."/>
      <w:lvlJc w:val="left"/>
      <w:pPr>
        <w:ind w:left="2880" w:hanging="360"/>
      </w:pPr>
    </w:lvl>
    <w:lvl w:ilvl="4" w:tplc="E1CE28C8">
      <w:start w:val="1"/>
      <w:numFmt w:val="lowerLetter"/>
      <w:lvlText w:val="%5."/>
      <w:lvlJc w:val="left"/>
      <w:pPr>
        <w:ind w:left="3600" w:hanging="360"/>
      </w:pPr>
    </w:lvl>
    <w:lvl w:ilvl="5" w:tplc="EA22BD4A">
      <w:start w:val="1"/>
      <w:numFmt w:val="lowerRoman"/>
      <w:lvlText w:val="%6."/>
      <w:lvlJc w:val="right"/>
      <w:pPr>
        <w:ind w:left="4320" w:hanging="180"/>
      </w:pPr>
    </w:lvl>
    <w:lvl w:ilvl="6" w:tplc="442EFFCC">
      <w:start w:val="1"/>
      <w:numFmt w:val="decimal"/>
      <w:lvlText w:val="%7."/>
      <w:lvlJc w:val="left"/>
      <w:pPr>
        <w:ind w:left="5040" w:hanging="360"/>
      </w:pPr>
    </w:lvl>
    <w:lvl w:ilvl="7" w:tplc="E01AD148">
      <w:start w:val="1"/>
      <w:numFmt w:val="lowerLetter"/>
      <w:lvlText w:val="%8."/>
      <w:lvlJc w:val="left"/>
      <w:pPr>
        <w:ind w:left="5760" w:hanging="360"/>
      </w:pPr>
    </w:lvl>
    <w:lvl w:ilvl="8" w:tplc="676E46A8">
      <w:start w:val="1"/>
      <w:numFmt w:val="lowerRoman"/>
      <w:lvlText w:val="%9."/>
      <w:lvlJc w:val="right"/>
      <w:pPr>
        <w:ind w:left="6480" w:hanging="180"/>
      </w:pPr>
    </w:lvl>
  </w:abstractNum>
  <w:abstractNum w:abstractNumId="8" w15:restartNumberingAfterBreak="0">
    <w:nsid w:val="233FC63A"/>
    <w:multiLevelType w:val="hybridMultilevel"/>
    <w:tmpl w:val="FFFFFFFF"/>
    <w:lvl w:ilvl="0" w:tplc="8D4ABCF6">
      <w:start w:val="1"/>
      <w:numFmt w:val="decimal"/>
      <w:lvlText w:val="%1."/>
      <w:lvlJc w:val="left"/>
      <w:pPr>
        <w:ind w:left="720" w:hanging="360"/>
      </w:pPr>
    </w:lvl>
    <w:lvl w:ilvl="1" w:tplc="CABC3726">
      <w:start w:val="1"/>
      <w:numFmt w:val="lowerLetter"/>
      <w:lvlText w:val="%2."/>
      <w:lvlJc w:val="left"/>
      <w:pPr>
        <w:ind w:left="1440" w:hanging="360"/>
      </w:pPr>
    </w:lvl>
    <w:lvl w:ilvl="2" w:tplc="FEF6C7BE">
      <w:start w:val="1"/>
      <w:numFmt w:val="lowerRoman"/>
      <w:lvlText w:val="%3."/>
      <w:lvlJc w:val="right"/>
      <w:pPr>
        <w:ind w:left="2160" w:hanging="180"/>
      </w:pPr>
    </w:lvl>
    <w:lvl w:ilvl="3" w:tplc="4D344288">
      <w:start w:val="1"/>
      <w:numFmt w:val="decimal"/>
      <w:lvlText w:val="%4."/>
      <w:lvlJc w:val="left"/>
      <w:pPr>
        <w:ind w:left="2880" w:hanging="360"/>
      </w:pPr>
    </w:lvl>
    <w:lvl w:ilvl="4" w:tplc="F126F8D6">
      <w:start w:val="1"/>
      <w:numFmt w:val="lowerLetter"/>
      <w:lvlText w:val="%5."/>
      <w:lvlJc w:val="left"/>
      <w:pPr>
        <w:ind w:left="3600" w:hanging="360"/>
      </w:pPr>
    </w:lvl>
    <w:lvl w:ilvl="5" w:tplc="C086787C">
      <w:start w:val="1"/>
      <w:numFmt w:val="lowerRoman"/>
      <w:lvlText w:val="%6."/>
      <w:lvlJc w:val="right"/>
      <w:pPr>
        <w:ind w:left="4320" w:hanging="180"/>
      </w:pPr>
    </w:lvl>
    <w:lvl w:ilvl="6" w:tplc="AC467F70">
      <w:start w:val="1"/>
      <w:numFmt w:val="decimal"/>
      <w:lvlText w:val="%7."/>
      <w:lvlJc w:val="left"/>
      <w:pPr>
        <w:ind w:left="5040" w:hanging="360"/>
      </w:pPr>
    </w:lvl>
    <w:lvl w:ilvl="7" w:tplc="51AA8106">
      <w:start w:val="1"/>
      <w:numFmt w:val="lowerLetter"/>
      <w:lvlText w:val="%8."/>
      <w:lvlJc w:val="left"/>
      <w:pPr>
        <w:ind w:left="5760" w:hanging="360"/>
      </w:pPr>
    </w:lvl>
    <w:lvl w:ilvl="8" w:tplc="5FB664B0">
      <w:start w:val="1"/>
      <w:numFmt w:val="lowerRoman"/>
      <w:lvlText w:val="%9."/>
      <w:lvlJc w:val="right"/>
      <w:pPr>
        <w:ind w:left="6480" w:hanging="180"/>
      </w:pPr>
    </w:lvl>
  </w:abstractNum>
  <w:abstractNum w:abstractNumId="9" w15:restartNumberingAfterBreak="0">
    <w:nsid w:val="250E5B57"/>
    <w:multiLevelType w:val="hybridMultilevel"/>
    <w:tmpl w:val="FFFFFFFF"/>
    <w:lvl w:ilvl="0" w:tplc="72FA586E">
      <w:start w:val="1"/>
      <w:numFmt w:val="decimal"/>
      <w:lvlText w:val="%1."/>
      <w:lvlJc w:val="left"/>
      <w:pPr>
        <w:ind w:left="720" w:hanging="360"/>
      </w:pPr>
    </w:lvl>
    <w:lvl w:ilvl="1" w:tplc="F26CD6AE">
      <w:start w:val="1"/>
      <w:numFmt w:val="lowerLetter"/>
      <w:lvlText w:val="%2."/>
      <w:lvlJc w:val="left"/>
      <w:pPr>
        <w:ind w:left="1440" w:hanging="360"/>
      </w:pPr>
    </w:lvl>
    <w:lvl w:ilvl="2" w:tplc="69160896">
      <w:start w:val="1"/>
      <w:numFmt w:val="lowerRoman"/>
      <w:lvlText w:val="%3."/>
      <w:lvlJc w:val="right"/>
      <w:pPr>
        <w:ind w:left="2160" w:hanging="180"/>
      </w:pPr>
    </w:lvl>
    <w:lvl w:ilvl="3" w:tplc="9F643012">
      <w:start w:val="1"/>
      <w:numFmt w:val="decimal"/>
      <w:lvlText w:val="%4."/>
      <w:lvlJc w:val="left"/>
      <w:pPr>
        <w:ind w:left="2880" w:hanging="360"/>
      </w:pPr>
    </w:lvl>
    <w:lvl w:ilvl="4" w:tplc="6FDEF598">
      <w:start w:val="1"/>
      <w:numFmt w:val="lowerLetter"/>
      <w:lvlText w:val="%5."/>
      <w:lvlJc w:val="left"/>
      <w:pPr>
        <w:ind w:left="3600" w:hanging="360"/>
      </w:pPr>
    </w:lvl>
    <w:lvl w:ilvl="5" w:tplc="814EF0B4">
      <w:start w:val="1"/>
      <w:numFmt w:val="lowerRoman"/>
      <w:lvlText w:val="%6."/>
      <w:lvlJc w:val="right"/>
      <w:pPr>
        <w:ind w:left="4320" w:hanging="180"/>
      </w:pPr>
    </w:lvl>
    <w:lvl w:ilvl="6" w:tplc="E092DA46">
      <w:start w:val="1"/>
      <w:numFmt w:val="decimal"/>
      <w:lvlText w:val="%7."/>
      <w:lvlJc w:val="left"/>
      <w:pPr>
        <w:ind w:left="5040" w:hanging="360"/>
      </w:pPr>
    </w:lvl>
    <w:lvl w:ilvl="7" w:tplc="3AF8C1B6">
      <w:start w:val="1"/>
      <w:numFmt w:val="lowerLetter"/>
      <w:lvlText w:val="%8."/>
      <w:lvlJc w:val="left"/>
      <w:pPr>
        <w:ind w:left="5760" w:hanging="360"/>
      </w:pPr>
    </w:lvl>
    <w:lvl w:ilvl="8" w:tplc="FFFACC44">
      <w:start w:val="1"/>
      <w:numFmt w:val="lowerRoman"/>
      <w:lvlText w:val="%9."/>
      <w:lvlJc w:val="right"/>
      <w:pPr>
        <w:ind w:left="6480" w:hanging="180"/>
      </w:pPr>
    </w:lvl>
  </w:abstractNum>
  <w:abstractNum w:abstractNumId="10" w15:restartNumberingAfterBreak="0">
    <w:nsid w:val="26F3679C"/>
    <w:multiLevelType w:val="multilevel"/>
    <w:tmpl w:val="23E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04712"/>
    <w:multiLevelType w:val="multilevel"/>
    <w:tmpl w:val="6F7A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E26BA"/>
    <w:multiLevelType w:val="hybridMultilevel"/>
    <w:tmpl w:val="FFFFFFFF"/>
    <w:lvl w:ilvl="0" w:tplc="413878F8">
      <w:start w:val="1"/>
      <w:numFmt w:val="upperRoman"/>
      <w:lvlText w:val="%1."/>
      <w:lvlJc w:val="left"/>
      <w:pPr>
        <w:ind w:left="1080" w:hanging="360"/>
      </w:pPr>
    </w:lvl>
    <w:lvl w:ilvl="1" w:tplc="2E641FBC">
      <w:start w:val="1"/>
      <w:numFmt w:val="lowerLetter"/>
      <w:lvlText w:val="%2."/>
      <w:lvlJc w:val="left"/>
      <w:pPr>
        <w:ind w:left="1800" w:hanging="360"/>
      </w:pPr>
    </w:lvl>
    <w:lvl w:ilvl="2" w:tplc="F332718C">
      <w:start w:val="1"/>
      <w:numFmt w:val="lowerRoman"/>
      <w:lvlText w:val="%3."/>
      <w:lvlJc w:val="right"/>
      <w:pPr>
        <w:ind w:left="2520" w:hanging="180"/>
      </w:pPr>
    </w:lvl>
    <w:lvl w:ilvl="3" w:tplc="938CDA9A">
      <w:start w:val="1"/>
      <w:numFmt w:val="decimal"/>
      <w:lvlText w:val="%4."/>
      <w:lvlJc w:val="left"/>
      <w:pPr>
        <w:ind w:left="3240" w:hanging="360"/>
      </w:pPr>
    </w:lvl>
    <w:lvl w:ilvl="4" w:tplc="CF487668">
      <w:start w:val="1"/>
      <w:numFmt w:val="lowerLetter"/>
      <w:lvlText w:val="%5."/>
      <w:lvlJc w:val="left"/>
      <w:pPr>
        <w:ind w:left="3960" w:hanging="360"/>
      </w:pPr>
    </w:lvl>
    <w:lvl w:ilvl="5" w:tplc="11543B4A">
      <w:start w:val="1"/>
      <w:numFmt w:val="lowerRoman"/>
      <w:lvlText w:val="%6."/>
      <w:lvlJc w:val="right"/>
      <w:pPr>
        <w:ind w:left="4680" w:hanging="180"/>
      </w:pPr>
    </w:lvl>
    <w:lvl w:ilvl="6" w:tplc="D7545D12">
      <w:start w:val="1"/>
      <w:numFmt w:val="decimal"/>
      <w:lvlText w:val="%7."/>
      <w:lvlJc w:val="left"/>
      <w:pPr>
        <w:ind w:left="5400" w:hanging="360"/>
      </w:pPr>
    </w:lvl>
    <w:lvl w:ilvl="7" w:tplc="F3C4504C">
      <w:start w:val="1"/>
      <w:numFmt w:val="lowerLetter"/>
      <w:lvlText w:val="%8."/>
      <w:lvlJc w:val="left"/>
      <w:pPr>
        <w:ind w:left="6120" w:hanging="360"/>
      </w:pPr>
    </w:lvl>
    <w:lvl w:ilvl="8" w:tplc="DDCEE16C">
      <w:start w:val="1"/>
      <w:numFmt w:val="lowerRoman"/>
      <w:lvlText w:val="%9."/>
      <w:lvlJc w:val="right"/>
      <w:pPr>
        <w:ind w:left="6840" w:hanging="180"/>
      </w:pPr>
    </w:lvl>
  </w:abstractNum>
  <w:abstractNum w:abstractNumId="13" w15:restartNumberingAfterBreak="0">
    <w:nsid w:val="38C9E198"/>
    <w:multiLevelType w:val="hybridMultilevel"/>
    <w:tmpl w:val="FFFFFFFF"/>
    <w:lvl w:ilvl="0" w:tplc="E1681072">
      <w:start w:val="1"/>
      <w:numFmt w:val="bullet"/>
      <w:lvlText w:val=""/>
      <w:lvlJc w:val="left"/>
      <w:pPr>
        <w:ind w:left="720" w:hanging="360"/>
      </w:pPr>
      <w:rPr>
        <w:rFonts w:ascii="Symbol" w:hAnsi="Symbol" w:hint="default"/>
      </w:rPr>
    </w:lvl>
    <w:lvl w:ilvl="1" w:tplc="439A0038">
      <w:start w:val="1"/>
      <w:numFmt w:val="bullet"/>
      <w:lvlText w:val="o"/>
      <w:lvlJc w:val="left"/>
      <w:pPr>
        <w:ind w:left="1440" w:hanging="360"/>
      </w:pPr>
      <w:rPr>
        <w:rFonts w:ascii="Courier New" w:hAnsi="Courier New" w:hint="default"/>
      </w:rPr>
    </w:lvl>
    <w:lvl w:ilvl="2" w:tplc="DEB678B0">
      <w:start w:val="1"/>
      <w:numFmt w:val="bullet"/>
      <w:lvlText w:val=""/>
      <w:lvlJc w:val="left"/>
      <w:pPr>
        <w:ind w:left="2160" w:hanging="360"/>
      </w:pPr>
      <w:rPr>
        <w:rFonts w:ascii="Wingdings" w:hAnsi="Wingdings" w:hint="default"/>
      </w:rPr>
    </w:lvl>
    <w:lvl w:ilvl="3" w:tplc="87D6AF80">
      <w:start w:val="1"/>
      <w:numFmt w:val="bullet"/>
      <w:lvlText w:val=""/>
      <w:lvlJc w:val="left"/>
      <w:pPr>
        <w:ind w:left="2880" w:hanging="360"/>
      </w:pPr>
      <w:rPr>
        <w:rFonts w:ascii="Symbol" w:hAnsi="Symbol" w:hint="default"/>
      </w:rPr>
    </w:lvl>
    <w:lvl w:ilvl="4" w:tplc="3F96ABAE">
      <w:start w:val="1"/>
      <w:numFmt w:val="bullet"/>
      <w:lvlText w:val="o"/>
      <w:lvlJc w:val="left"/>
      <w:pPr>
        <w:ind w:left="3600" w:hanging="360"/>
      </w:pPr>
      <w:rPr>
        <w:rFonts w:ascii="Courier New" w:hAnsi="Courier New" w:hint="default"/>
      </w:rPr>
    </w:lvl>
    <w:lvl w:ilvl="5" w:tplc="DB641A14">
      <w:start w:val="1"/>
      <w:numFmt w:val="bullet"/>
      <w:lvlText w:val=""/>
      <w:lvlJc w:val="left"/>
      <w:pPr>
        <w:ind w:left="4320" w:hanging="360"/>
      </w:pPr>
      <w:rPr>
        <w:rFonts w:ascii="Wingdings" w:hAnsi="Wingdings" w:hint="default"/>
      </w:rPr>
    </w:lvl>
    <w:lvl w:ilvl="6" w:tplc="B74A3BEE">
      <w:start w:val="1"/>
      <w:numFmt w:val="bullet"/>
      <w:lvlText w:val=""/>
      <w:lvlJc w:val="left"/>
      <w:pPr>
        <w:ind w:left="5040" w:hanging="360"/>
      </w:pPr>
      <w:rPr>
        <w:rFonts w:ascii="Symbol" w:hAnsi="Symbol" w:hint="default"/>
      </w:rPr>
    </w:lvl>
    <w:lvl w:ilvl="7" w:tplc="7040CA86">
      <w:start w:val="1"/>
      <w:numFmt w:val="bullet"/>
      <w:lvlText w:val="o"/>
      <w:lvlJc w:val="left"/>
      <w:pPr>
        <w:ind w:left="5760" w:hanging="360"/>
      </w:pPr>
      <w:rPr>
        <w:rFonts w:ascii="Courier New" w:hAnsi="Courier New" w:hint="default"/>
      </w:rPr>
    </w:lvl>
    <w:lvl w:ilvl="8" w:tplc="FE468188">
      <w:start w:val="1"/>
      <w:numFmt w:val="bullet"/>
      <w:lvlText w:val=""/>
      <w:lvlJc w:val="left"/>
      <w:pPr>
        <w:ind w:left="6480" w:hanging="360"/>
      </w:pPr>
      <w:rPr>
        <w:rFonts w:ascii="Wingdings" w:hAnsi="Wingdings" w:hint="default"/>
      </w:rPr>
    </w:lvl>
  </w:abstractNum>
  <w:abstractNum w:abstractNumId="14" w15:restartNumberingAfterBreak="0">
    <w:nsid w:val="3DF47256"/>
    <w:multiLevelType w:val="hybridMultilevel"/>
    <w:tmpl w:val="4012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EB6B0"/>
    <w:multiLevelType w:val="hybridMultilevel"/>
    <w:tmpl w:val="FFFFFFFF"/>
    <w:lvl w:ilvl="0" w:tplc="A72E27D4">
      <w:start w:val="1"/>
      <w:numFmt w:val="decimal"/>
      <w:lvlText w:val="%1."/>
      <w:lvlJc w:val="left"/>
      <w:pPr>
        <w:ind w:left="720" w:hanging="360"/>
      </w:pPr>
    </w:lvl>
    <w:lvl w:ilvl="1" w:tplc="54B4EB4E">
      <w:start w:val="1"/>
      <w:numFmt w:val="lowerLetter"/>
      <w:lvlText w:val="%2."/>
      <w:lvlJc w:val="left"/>
      <w:pPr>
        <w:ind w:left="1440" w:hanging="360"/>
      </w:pPr>
    </w:lvl>
    <w:lvl w:ilvl="2" w:tplc="AEB4B100">
      <w:start w:val="1"/>
      <w:numFmt w:val="lowerRoman"/>
      <w:lvlText w:val="%3."/>
      <w:lvlJc w:val="right"/>
      <w:pPr>
        <w:ind w:left="2160" w:hanging="180"/>
      </w:pPr>
    </w:lvl>
    <w:lvl w:ilvl="3" w:tplc="BAF86DCE">
      <w:start w:val="1"/>
      <w:numFmt w:val="decimal"/>
      <w:lvlText w:val="%4."/>
      <w:lvlJc w:val="left"/>
      <w:pPr>
        <w:ind w:left="2880" w:hanging="360"/>
      </w:pPr>
    </w:lvl>
    <w:lvl w:ilvl="4" w:tplc="F044F0C6">
      <w:start w:val="1"/>
      <w:numFmt w:val="lowerLetter"/>
      <w:lvlText w:val="%5."/>
      <w:lvlJc w:val="left"/>
      <w:pPr>
        <w:ind w:left="3600" w:hanging="360"/>
      </w:pPr>
    </w:lvl>
    <w:lvl w:ilvl="5" w:tplc="72F83352">
      <w:start w:val="1"/>
      <w:numFmt w:val="lowerRoman"/>
      <w:lvlText w:val="%6."/>
      <w:lvlJc w:val="right"/>
      <w:pPr>
        <w:ind w:left="4320" w:hanging="180"/>
      </w:pPr>
    </w:lvl>
    <w:lvl w:ilvl="6" w:tplc="5B2654D6">
      <w:start w:val="1"/>
      <w:numFmt w:val="decimal"/>
      <w:lvlText w:val="%7."/>
      <w:lvlJc w:val="left"/>
      <w:pPr>
        <w:ind w:left="5040" w:hanging="360"/>
      </w:pPr>
    </w:lvl>
    <w:lvl w:ilvl="7" w:tplc="068EF0C2">
      <w:start w:val="1"/>
      <w:numFmt w:val="lowerLetter"/>
      <w:lvlText w:val="%8."/>
      <w:lvlJc w:val="left"/>
      <w:pPr>
        <w:ind w:left="5760" w:hanging="360"/>
      </w:pPr>
    </w:lvl>
    <w:lvl w:ilvl="8" w:tplc="CB5E694A">
      <w:start w:val="1"/>
      <w:numFmt w:val="lowerRoman"/>
      <w:lvlText w:val="%9."/>
      <w:lvlJc w:val="right"/>
      <w:pPr>
        <w:ind w:left="6480" w:hanging="180"/>
      </w:pPr>
    </w:lvl>
  </w:abstractNum>
  <w:abstractNum w:abstractNumId="16" w15:restartNumberingAfterBreak="0">
    <w:nsid w:val="4AEAFE72"/>
    <w:multiLevelType w:val="hybridMultilevel"/>
    <w:tmpl w:val="FFFFFFFF"/>
    <w:lvl w:ilvl="0" w:tplc="2C18E740">
      <w:start w:val="1"/>
      <w:numFmt w:val="decimal"/>
      <w:lvlText w:val="%1."/>
      <w:lvlJc w:val="left"/>
      <w:pPr>
        <w:ind w:left="720" w:hanging="360"/>
      </w:pPr>
    </w:lvl>
    <w:lvl w:ilvl="1" w:tplc="157A4578">
      <w:start w:val="1"/>
      <w:numFmt w:val="lowerLetter"/>
      <w:lvlText w:val="%2."/>
      <w:lvlJc w:val="left"/>
      <w:pPr>
        <w:ind w:left="1440" w:hanging="360"/>
      </w:pPr>
    </w:lvl>
    <w:lvl w:ilvl="2" w:tplc="873456C0">
      <w:start w:val="1"/>
      <w:numFmt w:val="lowerRoman"/>
      <w:lvlText w:val="%3."/>
      <w:lvlJc w:val="right"/>
      <w:pPr>
        <w:ind w:left="2160" w:hanging="180"/>
      </w:pPr>
    </w:lvl>
    <w:lvl w:ilvl="3" w:tplc="77768D7E">
      <w:start w:val="1"/>
      <w:numFmt w:val="decimal"/>
      <w:lvlText w:val="%4."/>
      <w:lvlJc w:val="left"/>
      <w:pPr>
        <w:ind w:left="2880" w:hanging="360"/>
      </w:pPr>
    </w:lvl>
    <w:lvl w:ilvl="4" w:tplc="9028F4B4">
      <w:start w:val="1"/>
      <w:numFmt w:val="lowerLetter"/>
      <w:lvlText w:val="%5."/>
      <w:lvlJc w:val="left"/>
      <w:pPr>
        <w:ind w:left="3600" w:hanging="360"/>
      </w:pPr>
    </w:lvl>
    <w:lvl w:ilvl="5" w:tplc="2C122EDA">
      <w:start w:val="1"/>
      <w:numFmt w:val="lowerRoman"/>
      <w:lvlText w:val="%6."/>
      <w:lvlJc w:val="right"/>
      <w:pPr>
        <w:ind w:left="4320" w:hanging="180"/>
      </w:pPr>
    </w:lvl>
    <w:lvl w:ilvl="6" w:tplc="E2BE241E">
      <w:start w:val="1"/>
      <w:numFmt w:val="decimal"/>
      <w:lvlText w:val="%7."/>
      <w:lvlJc w:val="left"/>
      <w:pPr>
        <w:ind w:left="5040" w:hanging="360"/>
      </w:pPr>
    </w:lvl>
    <w:lvl w:ilvl="7" w:tplc="02DADFE4">
      <w:start w:val="1"/>
      <w:numFmt w:val="lowerLetter"/>
      <w:lvlText w:val="%8."/>
      <w:lvlJc w:val="left"/>
      <w:pPr>
        <w:ind w:left="5760" w:hanging="360"/>
      </w:pPr>
    </w:lvl>
    <w:lvl w:ilvl="8" w:tplc="EFE261FE">
      <w:start w:val="1"/>
      <w:numFmt w:val="lowerRoman"/>
      <w:lvlText w:val="%9."/>
      <w:lvlJc w:val="right"/>
      <w:pPr>
        <w:ind w:left="6480" w:hanging="180"/>
      </w:pPr>
    </w:lvl>
  </w:abstractNum>
  <w:abstractNum w:abstractNumId="17" w15:restartNumberingAfterBreak="0">
    <w:nsid w:val="4BD94BC6"/>
    <w:multiLevelType w:val="hybridMultilevel"/>
    <w:tmpl w:val="FFFFFFFF"/>
    <w:lvl w:ilvl="0" w:tplc="FF089730">
      <w:start w:val="1"/>
      <w:numFmt w:val="decimal"/>
      <w:lvlText w:val="%1."/>
      <w:lvlJc w:val="left"/>
      <w:pPr>
        <w:ind w:left="720" w:hanging="360"/>
      </w:pPr>
    </w:lvl>
    <w:lvl w:ilvl="1" w:tplc="B358B766">
      <w:start w:val="1"/>
      <w:numFmt w:val="lowerLetter"/>
      <w:lvlText w:val="%2."/>
      <w:lvlJc w:val="left"/>
      <w:pPr>
        <w:ind w:left="1440" w:hanging="360"/>
      </w:pPr>
    </w:lvl>
    <w:lvl w:ilvl="2" w:tplc="5D74A51A">
      <w:start w:val="1"/>
      <w:numFmt w:val="lowerRoman"/>
      <w:lvlText w:val="%3."/>
      <w:lvlJc w:val="right"/>
      <w:pPr>
        <w:ind w:left="2160" w:hanging="180"/>
      </w:pPr>
    </w:lvl>
    <w:lvl w:ilvl="3" w:tplc="7AB25C40">
      <w:start w:val="1"/>
      <w:numFmt w:val="decimal"/>
      <w:lvlText w:val="%4."/>
      <w:lvlJc w:val="left"/>
      <w:pPr>
        <w:ind w:left="2880" w:hanging="360"/>
      </w:pPr>
    </w:lvl>
    <w:lvl w:ilvl="4" w:tplc="5950C87C">
      <w:start w:val="1"/>
      <w:numFmt w:val="lowerLetter"/>
      <w:lvlText w:val="%5."/>
      <w:lvlJc w:val="left"/>
      <w:pPr>
        <w:ind w:left="3600" w:hanging="360"/>
      </w:pPr>
    </w:lvl>
    <w:lvl w:ilvl="5" w:tplc="DC2C0740">
      <w:start w:val="1"/>
      <w:numFmt w:val="lowerRoman"/>
      <w:lvlText w:val="%6."/>
      <w:lvlJc w:val="right"/>
      <w:pPr>
        <w:ind w:left="4320" w:hanging="180"/>
      </w:pPr>
    </w:lvl>
    <w:lvl w:ilvl="6" w:tplc="710C5E42">
      <w:start w:val="1"/>
      <w:numFmt w:val="decimal"/>
      <w:lvlText w:val="%7."/>
      <w:lvlJc w:val="left"/>
      <w:pPr>
        <w:ind w:left="5040" w:hanging="360"/>
      </w:pPr>
    </w:lvl>
    <w:lvl w:ilvl="7" w:tplc="6410194E">
      <w:start w:val="1"/>
      <w:numFmt w:val="lowerLetter"/>
      <w:lvlText w:val="%8."/>
      <w:lvlJc w:val="left"/>
      <w:pPr>
        <w:ind w:left="5760" w:hanging="360"/>
      </w:pPr>
    </w:lvl>
    <w:lvl w:ilvl="8" w:tplc="47F2670A">
      <w:start w:val="1"/>
      <w:numFmt w:val="lowerRoman"/>
      <w:lvlText w:val="%9."/>
      <w:lvlJc w:val="right"/>
      <w:pPr>
        <w:ind w:left="6480" w:hanging="180"/>
      </w:pPr>
    </w:lvl>
  </w:abstractNum>
  <w:abstractNum w:abstractNumId="18" w15:restartNumberingAfterBreak="0">
    <w:nsid w:val="4FB3D870"/>
    <w:multiLevelType w:val="hybridMultilevel"/>
    <w:tmpl w:val="FFFFFFFF"/>
    <w:lvl w:ilvl="0" w:tplc="B4C8CB24">
      <w:start w:val="1"/>
      <w:numFmt w:val="bullet"/>
      <w:lvlText w:val=""/>
      <w:lvlJc w:val="left"/>
      <w:pPr>
        <w:ind w:left="720" w:hanging="360"/>
      </w:pPr>
      <w:rPr>
        <w:rFonts w:ascii="Symbol" w:hAnsi="Symbol" w:hint="default"/>
      </w:rPr>
    </w:lvl>
    <w:lvl w:ilvl="1" w:tplc="C68C7878">
      <w:start w:val="1"/>
      <w:numFmt w:val="bullet"/>
      <w:lvlText w:val="o"/>
      <w:lvlJc w:val="left"/>
      <w:pPr>
        <w:ind w:left="1440" w:hanging="360"/>
      </w:pPr>
      <w:rPr>
        <w:rFonts w:ascii="Courier New" w:hAnsi="Courier New" w:hint="default"/>
      </w:rPr>
    </w:lvl>
    <w:lvl w:ilvl="2" w:tplc="386AA1FE">
      <w:start w:val="1"/>
      <w:numFmt w:val="bullet"/>
      <w:lvlText w:val=""/>
      <w:lvlJc w:val="left"/>
      <w:pPr>
        <w:ind w:left="2160" w:hanging="360"/>
      </w:pPr>
      <w:rPr>
        <w:rFonts w:ascii="Wingdings" w:hAnsi="Wingdings" w:hint="default"/>
      </w:rPr>
    </w:lvl>
    <w:lvl w:ilvl="3" w:tplc="3BEAF9FC">
      <w:start w:val="1"/>
      <w:numFmt w:val="bullet"/>
      <w:lvlText w:val=""/>
      <w:lvlJc w:val="left"/>
      <w:pPr>
        <w:ind w:left="2880" w:hanging="360"/>
      </w:pPr>
      <w:rPr>
        <w:rFonts w:ascii="Symbol" w:hAnsi="Symbol" w:hint="default"/>
      </w:rPr>
    </w:lvl>
    <w:lvl w:ilvl="4" w:tplc="D49C1732">
      <w:start w:val="1"/>
      <w:numFmt w:val="bullet"/>
      <w:lvlText w:val="o"/>
      <w:lvlJc w:val="left"/>
      <w:pPr>
        <w:ind w:left="3600" w:hanging="360"/>
      </w:pPr>
      <w:rPr>
        <w:rFonts w:ascii="Courier New" w:hAnsi="Courier New" w:hint="default"/>
      </w:rPr>
    </w:lvl>
    <w:lvl w:ilvl="5" w:tplc="20746080">
      <w:start w:val="1"/>
      <w:numFmt w:val="bullet"/>
      <w:lvlText w:val=""/>
      <w:lvlJc w:val="left"/>
      <w:pPr>
        <w:ind w:left="4320" w:hanging="360"/>
      </w:pPr>
      <w:rPr>
        <w:rFonts w:ascii="Wingdings" w:hAnsi="Wingdings" w:hint="default"/>
      </w:rPr>
    </w:lvl>
    <w:lvl w:ilvl="6" w:tplc="75E417A4">
      <w:start w:val="1"/>
      <w:numFmt w:val="bullet"/>
      <w:lvlText w:val=""/>
      <w:lvlJc w:val="left"/>
      <w:pPr>
        <w:ind w:left="5040" w:hanging="360"/>
      </w:pPr>
      <w:rPr>
        <w:rFonts w:ascii="Symbol" w:hAnsi="Symbol" w:hint="default"/>
      </w:rPr>
    </w:lvl>
    <w:lvl w:ilvl="7" w:tplc="6F7C54CA">
      <w:start w:val="1"/>
      <w:numFmt w:val="bullet"/>
      <w:lvlText w:val="o"/>
      <w:lvlJc w:val="left"/>
      <w:pPr>
        <w:ind w:left="5760" w:hanging="360"/>
      </w:pPr>
      <w:rPr>
        <w:rFonts w:ascii="Courier New" w:hAnsi="Courier New" w:hint="default"/>
      </w:rPr>
    </w:lvl>
    <w:lvl w:ilvl="8" w:tplc="2DC8BE3A">
      <w:start w:val="1"/>
      <w:numFmt w:val="bullet"/>
      <w:lvlText w:val=""/>
      <w:lvlJc w:val="left"/>
      <w:pPr>
        <w:ind w:left="6480" w:hanging="360"/>
      </w:pPr>
      <w:rPr>
        <w:rFonts w:ascii="Wingdings" w:hAnsi="Wingdings" w:hint="default"/>
      </w:rPr>
    </w:lvl>
  </w:abstractNum>
  <w:abstractNum w:abstractNumId="19" w15:restartNumberingAfterBreak="0">
    <w:nsid w:val="5081398F"/>
    <w:multiLevelType w:val="hybridMultilevel"/>
    <w:tmpl w:val="FFFFFFFF"/>
    <w:lvl w:ilvl="0" w:tplc="A54499BA">
      <w:start w:val="1"/>
      <w:numFmt w:val="decimal"/>
      <w:lvlText w:val="%1."/>
      <w:lvlJc w:val="left"/>
      <w:pPr>
        <w:ind w:left="720" w:hanging="360"/>
      </w:pPr>
    </w:lvl>
    <w:lvl w:ilvl="1" w:tplc="01F09024">
      <w:start w:val="1"/>
      <w:numFmt w:val="lowerLetter"/>
      <w:lvlText w:val="%2."/>
      <w:lvlJc w:val="left"/>
      <w:pPr>
        <w:ind w:left="1440" w:hanging="360"/>
      </w:pPr>
    </w:lvl>
    <w:lvl w:ilvl="2" w:tplc="1A3E3854">
      <w:start w:val="1"/>
      <w:numFmt w:val="lowerRoman"/>
      <w:lvlText w:val="%3."/>
      <w:lvlJc w:val="right"/>
      <w:pPr>
        <w:ind w:left="2160" w:hanging="180"/>
      </w:pPr>
    </w:lvl>
    <w:lvl w:ilvl="3" w:tplc="6D04D440">
      <w:start w:val="1"/>
      <w:numFmt w:val="decimal"/>
      <w:lvlText w:val="%4."/>
      <w:lvlJc w:val="left"/>
      <w:pPr>
        <w:ind w:left="2880" w:hanging="360"/>
      </w:pPr>
    </w:lvl>
    <w:lvl w:ilvl="4" w:tplc="58DED040">
      <w:start w:val="1"/>
      <w:numFmt w:val="lowerLetter"/>
      <w:lvlText w:val="%5."/>
      <w:lvlJc w:val="left"/>
      <w:pPr>
        <w:ind w:left="3600" w:hanging="360"/>
      </w:pPr>
    </w:lvl>
    <w:lvl w:ilvl="5" w:tplc="D1EE42D0">
      <w:start w:val="1"/>
      <w:numFmt w:val="lowerRoman"/>
      <w:lvlText w:val="%6."/>
      <w:lvlJc w:val="right"/>
      <w:pPr>
        <w:ind w:left="4320" w:hanging="180"/>
      </w:pPr>
    </w:lvl>
    <w:lvl w:ilvl="6" w:tplc="85B61482">
      <w:start w:val="1"/>
      <w:numFmt w:val="decimal"/>
      <w:lvlText w:val="%7."/>
      <w:lvlJc w:val="left"/>
      <w:pPr>
        <w:ind w:left="5040" w:hanging="360"/>
      </w:pPr>
    </w:lvl>
    <w:lvl w:ilvl="7" w:tplc="0E726876">
      <w:start w:val="1"/>
      <w:numFmt w:val="lowerLetter"/>
      <w:lvlText w:val="%8."/>
      <w:lvlJc w:val="left"/>
      <w:pPr>
        <w:ind w:left="5760" w:hanging="360"/>
      </w:pPr>
    </w:lvl>
    <w:lvl w:ilvl="8" w:tplc="E702D906">
      <w:start w:val="1"/>
      <w:numFmt w:val="lowerRoman"/>
      <w:lvlText w:val="%9."/>
      <w:lvlJc w:val="right"/>
      <w:pPr>
        <w:ind w:left="6480" w:hanging="180"/>
      </w:pPr>
    </w:lvl>
  </w:abstractNum>
  <w:abstractNum w:abstractNumId="20" w15:restartNumberingAfterBreak="0">
    <w:nsid w:val="5649D323"/>
    <w:multiLevelType w:val="hybridMultilevel"/>
    <w:tmpl w:val="FFFFFFFF"/>
    <w:lvl w:ilvl="0" w:tplc="D898EDEC">
      <w:start w:val="1"/>
      <w:numFmt w:val="decimal"/>
      <w:lvlText w:val="%1."/>
      <w:lvlJc w:val="left"/>
      <w:pPr>
        <w:ind w:left="720" w:hanging="360"/>
      </w:pPr>
    </w:lvl>
    <w:lvl w:ilvl="1" w:tplc="10248354">
      <w:start w:val="1"/>
      <w:numFmt w:val="lowerLetter"/>
      <w:lvlText w:val="%2."/>
      <w:lvlJc w:val="left"/>
      <w:pPr>
        <w:ind w:left="1440" w:hanging="360"/>
      </w:pPr>
    </w:lvl>
    <w:lvl w:ilvl="2" w:tplc="ABFC869A">
      <w:start w:val="1"/>
      <w:numFmt w:val="lowerRoman"/>
      <w:lvlText w:val="%3."/>
      <w:lvlJc w:val="right"/>
      <w:pPr>
        <w:ind w:left="2160" w:hanging="180"/>
      </w:pPr>
    </w:lvl>
    <w:lvl w:ilvl="3" w:tplc="61207F3C">
      <w:start w:val="1"/>
      <w:numFmt w:val="decimal"/>
      <w:lvlText w:val="%4."/>
      <w:lvlJc w:val="left"/>
      <w:pPr>
        <w:ind w:left="2880" w:hanging="360"/>
      </w:pPr>
    </w:lvl>
    <w:lvl w:ilvl="4" w:tplc="C2445FB4">
      <w:start w:val="1"/>
      <w:numFmt w:val="lowerLetter"/>
      <w:lvlText w:val="%5."/>
      <w:lvlJc w:val="left"/>
      <w:pPr>
        <w:ind w:left="3600" w:hanging="360"/>
      </w:pPr>
    </w:lvl>
    <w:lvl w:ilvl="5" w:tplc="017AEE24">
      <w:start w:val="1"/>
      <w:numFmt w:val="lowerRoman"/>
      <w:lvlText w:val="%6."/>
      <w:lvlJc w:val="right"/>
      <w:pPr>
        <w:ind w:left="4320" w:hanging="180"/>
      </w:pPr>
    </w:lvl>
    <w:lvl w:ilvl="6" w:tplc="97BEB83A">
      <w:start w:val="1"/>
      <w:numFmt w:val="decimal"/>
      <w:lvlText w:val="%7."/>
      <w:lvlJc w:val="left"/>
      <w:pPr>
        <w:ind w:left="5040" w:hanging="360"/>
      </w:pPr>
    </w:lvl>
    <w:lvl w:ilvl="7" w:tplc="1B6C5608">
      <w:start w:val="1"/>
      <w:numFmt w:val="lowerLetter"/>
      <w:lvlText w:val="%8."/>
      <w:lvlJc w:val="left"/>
      <w:pPr>
        <w:ind w:left="5760" w:hanging="360"/>
      </w:pPr>
    </w:lvl>
    <w:lvl w:ilvl="8" w:tplc="EE20EE42">
      <w:start w:val="1"/>
      <w:numFmt w:val="lowerRoman"/>
      <w:lvlText w:val="%9."/>
      <w:lvlJc w:val="right"/>
      <w:pPr>
        <w:ind w:left="6480" w:hanging="180"/>
      </w:pPr>
    </w:lvl>
  </w:abstractNum>
  <w:abstractNum w:abstractNumId="21" w15:restartNumberingAfterBreak="0">
    <w:nsid w:val="5E8115D3"/>
    <w:multiLevelType w:val="hybridMultilevel"/>
    <w:tmpl w:val="FFFFFFFF"/>
    <w:lvl w:ilvl="0" w:tplc="9A484A96">
      <w:start w:val="1"/>
      <w:numFmt w:val="decimal"/>
      <w:lvlText w:val="%1."/>
      <w:lvlJc w:val="left"/>
      <w:pPr>
        <w:ind w:left="720" w:hanging="360"/>
      </w:pPr>
    </w:lvl>
    <w:lvl w:ilvl="1" w:tplc="CB841B5C">
      <w:start w:val="1"/>
      <w:numFmt w:val="lowerLetter"/>
      <w:lvlText w:val="%2."/>
      <w:lvlJc w:val="left"/>
      <w:pPr>
        <w:ind w:left="1440" w:hanging="360"/>
      </w:pPr>
    </w:lvl>
    <w:lvl w:ilvl="2" w:tplc="F5FE92F8">
      <w:start w:val="1"/>
      <w:numFmt w:val="lowerRoman"/>
      <w:lvlText w:val="%3."/>
      <w:lvlJc w:val="right"/>
      <w:pPr>
        <w:ind w:left="2160" w:hanging="180"/>
      </w:pPr>
    </w:lvl>
    <w:lvl w:ilvl="3" w:tplc="E1C86D94">
      <w:start w:val="1"/>
      <w:numFmt w:val="decimal"/>
      <w:lvlText w:val="%4."/>
      <w:lvlJc w:val="left"/>
      <w:pPr>
        <w:ind w:left="2880" w:hanging="360"/>
      </w:pPr>
    </w:lvl>
    <w:lvl w:ilvl="4" w:tplc="408A6596">
      <w:start w:val="1"/>
      <w:numFmt w:val="lowerLetter"/>
      <w:lvlText w:val="%5."/>
      <w:lvlJc w:val="left"/>
      <w:pPr>
        <w:ind w:left="3600" w:hanging="360"/>
      </w:pPr>
    </w:lvl>
    <w:lvl w:ilvl="5" w:tplc="B3C63104">
      <w:start w:val="1"/>
      <w:numFmt w:val="lowerRoman"/>
      <w:lvlText w:val="%6."/>
      <w:lvlJc w:val="right"/>
      <w:pPr>
        <w:ind w:left="4320" w:hanging="180"/>
      </w:pPr>
    </w:lvl>
    <w:lvl w:ilvl="6" w:tplc="C2D03FE0">
      <w:start w:val="1"/>
      <w:numFmt w:val="decimal"/>
      <w:lvlText w:val="%7."/>
      <w:lvlJc w:val="left"/>
      <w:pPr>
        <w:ind w:left="5040" w:hanging="360"/>
      </w:pPr>
    </w:lvl>
    <w:lvl w:ilvl="7" w:tplc="036CC0FE">
      <w:start w:val="1"/>
      <w:numFmt w:val="lowerLetter"/>
      <w:lvlText w:val="%8."/>
      <w:lvlJc w:val="left"/>
      <w:pPr>
        <w:ind w:left="5760" w:hanging="360"/>
      </w:pPr>
    </w:lvl>
    <w:lvl w:ilvl="8" w:tplc="6ED66B30">
      <w:start w:val="1"/>
      <w:numFmt w:val="lowerRoman"/>
      <w:lvlText w:val="%9."/>
      <w:lvlJc w:val="right"/>
      <w:pPr>
        <w:ind w:left="6480" w:hanging="180"/>
      </w:pPr>
    </w:lvl>
  </w:abstractNum>
  <w:abstractNum w:abstractNumId="22" w15:restartNumberingAfterBreak="0">
    <w:nsid w:val="65C87F9D"/>
    <w:multiLevelType w:val="hybridMultilevel"/>
    <w:tmpl w:val="FFFFFFFF"/>
    <w:lvl w:ilvl="0" w:tplc="CAD62436">
      <w:start w:val="1"/>
      <w:numFmt w:val="upperRoman"/>
      <w:lvlText w:val="%1."/>
      <w:lvlJc w:val="left"/>
      <w:pPr>
        <w:ind w:left="720" w:hanging="360"/>
      </w:pPr>
    </w:lvl>
    <w:lvl w:ilvl="1" w:tplc="7DD60484">
      <w:start w:val="1"/>
      <w:numFmt w:val="lowerLetter"/>
      <w:lvlText w:val="%2."/>
      <w:lvlJc w:val="left"/>
      <w:pPr>
        <w:ind w:left="1440" w:hanging="360"/>
      </w:pPr>
    </w:lvl>
    <w:lvl w:ilvl="2" w:tplc="8EB4F9EC">
      <w:start w:val="1"/>
      <w:numFmt w:val="lowerRoman"/>
      <w:lvlText w:val="%3."/>
      <w:lvlJc w:val="right"/>
      <w:pPr>
        <w:ind w:left="2160" w:hanging="180"/>
      </w:pPr>
    </w:lvl>
    <w:lvl w:ilvl="3" w:tplc="78BAF32E">
      <w:start w:val="1"/>
      <w:numFmt w:val="decimal"/>
      <w:lvlText w:val="%4."/>
      <w:lvlJc w:val="left"/>
      <w:pPr>
        <w:ind w:left="2880" w:hanging="360"/>
      </w:pPr>
    </w:lvl>
    <w:lvl w:ilvl="4" w:tplc="AC362A4A">
      <w:start w:val="1"/>
      <w:numFmt w:val="lowerLetter"/>
      <w:lvlText w:val="%5."/>
      <w:lvlJc w:val="left"/>
      <w:pPr>
        <w:ind w:left="3600" w:hanging="360"/>
      </w:pPr>
    </w:lvl>
    <w:lvl w:ilvl="5" w:tplc="D4FE97D8">
      <w:start w:val="1"/>
      <w:numFmt w:val="lowerRoman"/>
      <w:lvlText w:val="%6."/>
      <w:lvlJc w:val="right"/>
      <w:pPr>
        <w:ind w:left="4320" w:hanging="180"/>
      </w:pPr>
    </w:lvl>
    <w:lvl w:ilvl="6" w:tplc="B0DC64F2">
      <w:start w:val="1"/>
      <w:numFmt w:val="decimal"/>
      <w:lvlText w:val="%7."/>
      <w:lvlJc w:val="left"/>
      <w:pPr>
        <w:ind w:left="5040" w:hanging="360"/>
      </w:pPr>
    </w:lvl>
    <w:lvl w:ilvl="7" w:tplc="2DE03CEE">
      <w:start w:val="1"/>
      <w:numFmt w:val="lowerLetter"/>
      <w:lvlText w:val="%8."/>
      <w:lvlJc w:val="left"/>
      <w:pPr>
        <w:ind w:left="5760" w:hanging="360"/>
      </w:pPr>
    </w:lvl>
    <w:lvl w:ilvl="8" w:tplc="03A66CFC">
      <w:start w:val="1"/>
      <w:numFmt w:val="lowerRoman"/>
      <w:lvlText w:val="%9."/>
      <w:lvlJc w:val="right"/>
      <w:pPr>
        <w:ind w:left="6480" w:hanging="180"/>
      </w:pPr>
    </w:lvl>
  </w:abstractNum>
  <w:abstractNum w:abstractNumId="23" w15:restartNumberingAfterBreak="0">
    <w:nsid w:val="69897D6F"/>
    <w:multiLevelType w:val="multilevel"/>
    <w:tmpl w:val="D7964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1E380C"/>
    <w:multiLevelType w:val="hybridMultilevel"/>
    <w:tmpl w:val="E3C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D346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20B75"/>
    <w:multiLevelType w:val="hybridMultilevel"/>
    <w:tmpl w:val="E4D6A18E"/>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99037104">
    <w:abstractNumId w:val="0"/>
  </w:num>
  <w:num w:numId="2" w16cid:durableId="2112238078">
    <w:abstractNumId w:val="11"/>
  </w:num>
  <w:num w:numId="3" w16cid:durableId="1237516355">
    <w:abstractNumId w:val="23"/>
  </w:num>
  <w:num w:numId="4" w16cid:durableId="1092700584">
    <w:abstractNumId w:val="24"/>
  </w:num>
  <w:num w:numId="5" w16cid:durableId="736585916">
    <w:abstractNumId w:val="10"/>
  </w:num>
  <w:num w:numId="6" w16cid:durableId="1444694277">
    <w:abstractNumId w:val="5"/>
  </w:num>
  <w:num w:numId="7" w16cid:durableId="952590218">
    <w:abstractNumId w:val="26"/>
  </w:num>
  <w:num w:numId="8" w16cid:durableId="1192378019">
    <w:abstractNumId w:val="14"/>
  </w:num>
  <w:num w:numId="9" w16cid:durableId="304505506">
    <w:abstractNumId w:val="13"/>
  </w:num>
  <w:num w:numId="10" w16cid:durableId="1107969136">
    <w:abstractNumId w:val="22"/>
  </w:num>
  <w:num w:numId="11" w16cid:durableId="1407998372">
    <w:abstractNumId w:val="21"/>
  </w:num>
  <w:num w:numId="12" w16cid:durableId="431705821">
    <w:abstractNumId w:val="12"/>
  </w:num>
  <w:num w:numId="13" w16cid:durableId="642344216">
    <w:abstractNumId w:val="1"/>
  </w:num>
  <w:num w:numId="14" w16cid:durableId="1726949543">
    <w:abstractNumId w:val="3"/>
  </w:num>
  <w:num w:numId="15" w16cid:durableId="453982884">
    <w:abstractNumId w:val="25"/>
  </w:num>
  <w:num w:numId="16" w16cid:durableId="1287741575">
    <w:abstractNumId w:val="9"/>
  </w:num>
  <w:num w:numId="17" w16cid:durableId="1787575517">
    <w:abstractNumId w:val="20"/>
  </w:num>
  <w:num w:numId="18" w16cid:durableId="25179817">
    <w:abstractNumId w:val="2"/>
  </w:num>
  <w:num w:numId="19" w16cid:durableId="145170000">
    <w:abstractNumId w:val="18"/>
  </w:num>
  <w:num w:numId="20" w16cid:durableId="1011764763">
    <w:abstractNumId w:val="4"/>
  </w:num>
  <w:num w:numId="21" w16cid:durableId="1817449248">
    <w:abstractNumId w:val="16"/>
  </w:num>
  <w:num w:numId="22" w16cid:durableId="885334758">
    <w:abstractNumId w:val="15"/>
  </w:num>
  <w:num w:numId="23" w16cid:durableId="2041926989">
    <w:abstractNumId w:val="17"/>
  </w:num>
  <w:num w:numId="24" w16cid:durableId="1121414960">
    <w:abstractNumId w:val="8"/>
  </w:num>
  <w:num w:numId="25" w16cid:durableId="2069646876">
    <w:abstractNumId w:val="6"/>
  </w:num>
  <w:num w:numId="26" w16cid:durableId="1634094798">
    <w:abstractNumId w:val="7"/>
  </w:num>
  <w:num w:numId="27" w16cid:durableId="19454584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emesrach Workie">
    <w15:presenceInfo w15:providerId="AD" w15:userId="S::yemesrach.workie@undp.org::213cd292-6a53-4697-a928-0f1ce6b6ae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7B"/>
    <w:rsid w:val="00056E58"/>
    <w:rsid w:val="00082380"/>
    <w:rsid w:val="00102DD9"/>
    <w:rsid w:val="0011B038"/>
    <w:rsid w:val="002A08AD"/>
    <w:rsid w:val="002A4900"/>
    <w:rsid w:val="002F29EF"/>
    <w:rsid w:val="005B386F"/>
    <w:rsid w:val="005D5A3F"/>
    <w:rsid w:val="006F71C2"/>
    <w:rsid w:val="00712802"/>
    <w:rsid w:val="007401A3"/>
    <w:rsid w:val="0075047B"/>
    <w:rsid w:val="00857838"/>
    <w:rsid w:val="008A36C9"/>
    <w:rsid w:val="0096003C"/>
    <w:rsid w:val="009A46CD"/>
    <w:rsid w:val="00A07D3A"/>
    <w:rsid w:val="00A8526D"/>
    <w:rsid w:val="00AD3255"/>
    <w:rsid w:val="00B632F7"/>
    <w:rsid w:val="00C17429"/>
    <w:rsid w:val="00C82189"/>
    <w:rsid w:val="00C87C59"/>
    <w:rsid w:val="00C94A3F"/>
    <w:rsid w:val="00D96C6F"/>
    <w:rsid w:val="00DF6314"/>
    <w:rsid w:val="00E05C08"/>
    <w:rsid w:val="00E42A75"/>
    <w:rsid w:val="00EB3322"/>
    <w:rsid w:val="00ED1285"/>
    <w:rsid w:val="00EE1221"/>
    <w:rsid w:val="00EE5C1F"/>
    <w:rsid w:val="00F0522E"/>
    <w:rsid w:val="00F70CB4"/>
    <w:rsid w:val="0112201D"/>
    <w:rsid w:val="01324A32"/>
    <w:rsid w:val="01410A52"/>
    <w:rsid w:val="0173E308"/>
    <w:rsid w:val="01D707F7"/>
    <w:rsid w:val="023850DA"/>
    <w:rsid w:val="02A1F37F"/>
    <w:rsid w:val="02EA355F"/>
    <w:rsid w:val="02FEBC65"/>
    <w:rsid w:val="0338B7B8"/>
    <w:rsid w:val="035377FA"/>
    <w:rsid w:val="0396E92A"/>
    <w:rsid w:val="03E5F163"/>
    <w:rsid w:val="03F7E790"/>
    <w:rsid w:val="04A3E825"/>
    <w:rsid w:val="04AE2BF6"/>
    <w:rsid w:val="04BA54A6"/>
    <w:rsid w:val="04E84970"/>
    <w:rsid w:val="050C5D97"/>
    <w:rsid w:val="051B4347"/>
    <w:rsid w:val="056F94FE"/>
    <w:rsid w:val="05996063"/>
    <w:rsid w:val="05AE76FD"/>
    <w:rsid w:val="06718BA4"/>
    <w:rsid w:val="0756426A"/>
    <w:rsid w:val="077EC807"/>
    <w:rsid w:val="078F948E"/>
    <w:rsid w:val="07934414"/>
    <w:rsid w:val="0837E67E"/>
    <w:rsid w:val="08CBF2CF"/>
    <w:rsid w:val="092B248F"/>
    <w:rsid w:val="093B83A6"/>
    <w:rsid w:val="0941E417"/>
    <w:rsid w:val="0991A6B0"/>
    <w:rsid w:val="09AA4227"/>
    <w:rsid w:val="0A377967"/>
    <w:rsid w:val="0A52EACA"/>
    <w:rsid w:val="0AAAD5B5"/>
    <w:rsid w:val="0B4080EF"/>
    <w:rsid w:val="0B42D10B"/>
    <w:rsid w:val="0BD1F3C7"/>
    <w:rsid w:val="0C8C0078"/>
    <w:rsid w:val="0CA4CB7F"/>
    <w:rsid w:val="0D9E4232"/>
    <w:rsid w:val="0DEE33A2"/>
    <w:rsid w:val="0E2726D3"/>
    <w:rsid w:val="0EA326B0"/>
    <w:rsid w:val="0F096C8A"/>
    <w:rsid w:val="0F38D2ED"/>
    <w:rsid w:val="0F5D8D47"/>
    <w:rsid w:val="0F9F0B3B"/>
    <w:rsid w:val="0FF2ED46"/>
    <w:rsid w:val="101331CD"/>
    <w:rsid w:val="10191A58"/>
    <w:rsid w:val="10382A7F"/>
    <w:rsid w:val="10571A91"/>
    <w:rsid w:val="10DA451F"/>
    <w:rsid w:val="1181C2BB"/>
    <w:rsid w:val="1193A7C6"/>
    <w:rsid w:val="1248E00E"/>
    <w:rsid w:val="12579751"/>
    <w:rsid w:val="12BF2A81"/>
    <w:rsid w:val="133827EE"/>
    <w:rsid w:val="1339A629"/>
    <w:rsid w:val="137E2990"/>
    <w:rsid w:val="13849CC2"/>
    <w:rsid w:val="141E9BB4"/>
    <w:rsid w:val="1429B95B"/>
    <w:rsid w:val="142B18E7"/>
    <w:rsid w:val="150C4FC8"/>
    <w:rsid w:val="1525C7E5"/>
    <w:rsid w:val="156E8693"/>
    <w:rsid w:val="16281D06"/>
    <w:rsid w:val="1632895B"/>
    <w:rsid w:val="16A48235"/>
    <w:rsid w:val="175181A0"/>
    <w:rsid w:val="1844453B"/>
    <w:rsid w:val="18B8109A"/>
    <w:rsid w:val="18D0E9A7"/>
    <w:rsid w:val="18E3EC91"/>
    <w:rsid w:val="195FF0DF"/>
    <w:rsid w:val="1A33D188"/>
    <w:rsid w:val="1AB7FBCB"/>
    <w:rsid w:val="1AC3AC7B"/>
    <w:rsid w:val="1B1421D7"/>
    <w:rsid w:val="1BBAEDCC"/>
    <w:rsid w:val="1C06445D"/>
    <w:rsid w:val="1C15593D"/>
    <w:rsid w:val="1C5EF777"/>
    <w:rsid w:val="1D001B0C"/>
    <w:rsid w:val="1D7BA750"/>
    <w:rsid w:val="1DACEA4C"/>
    <w:rsid w:val="1DEEFF2A"/>
    <w:rsid w:val="1E84D4E2"/>
    <w:rsid w:val="1EA1E9CD"/>
    <w:rsid w:val="1F578B82"/>
    <w:rsid w:val="1F91B1CD"/>
    <w:rsid w:val="1FC91870"/>
    <w:rsid w:val="21570927"/>
    <w:rsid w:val="216BC6C9"/>
    <w:rsid w:val="21D0BFA6"/>
    <w:rsid w:val="21D67E66"/>
    <w:rsid w:val="2263CDFB"/>
    <w:rsid w:val="2264A3D8"/>
    <w:rsid w:val="22930B5A"/>
    <w:rsid w:val="22C04763"/>
    <w:rsid w:val="22D36D92"/>
    <w:rsid w:val="22DD27EF"/>
    <w:rsid w:val="253CAE29"/>
    <w:rsid w:val="256C5808"/>
    <w:rsid w:val="2583A85D"/>
    <w:rsid w:val="26087E93"/>
    <w:rsid w:val="26392B70"/>
    <w:rsid w:val="2642FF99"/>
    <w:rsid w:val="26571878"/>
    <w:rsid w:val="26F4AAFB"/>
    <w:rsid w:val="2761693E"/>
    <w:rsid w:val="28DDFCC8"/>
    <w:rsid w:val="28F95507"/>
    <w:rsid w:val="29CB460D"/>
    <w:rsid w:val="2A5CE923"/>
    <w:rsid w:val="2A85F26A"/>
    <w:rsid w:val="2AEB2D83"/>
    <w:rsid w:val="2C6A8130"/>
    <w:rsid w:val="2D090FD8"/>
    <w:rsid w:val="2D596466"/>
    <w:rsid w:val="2DAE0266"/>
    <w:rsid w:val="2DBAC851"/>
    <w:rsid w:val="2E29703C"/>
    <w:rsid w:val="2F051D07"/>
    <w:rsid w:val="2F7DCBC7"/>
    <w:rsid w:val="2FB3797F"/>
    <w:rsid w:val="2FBF4DBC"/>
    <w:rsid w:val="300EBAC1"/>
    <w:rsid w:val="30A73B66"/>
    <w:rsid w:val="3109C548"/>
    <w:rsid w:val="31DEABDD"/>
    <w:rsid w:val="3256C628"/>
    <w:rsid w:val="33BB46A0"/>
    <w:rsid w:val="33C67DBF"/>
    <w:rsid w:val="33E4D7B1"/>
    <w:rsid w:val="3446A85F"/>
    <w:rsid w:val="34C4C254"/>
    <w:rsid w:val="34DFAF46"/>
    <w:rsid w:val="34F52FCE"/>
    <w:rsid w:val="350629A6"/>
    <w:rsid w:val="3515D18C"/>
    <w:rsid w:val="355C33F9"/>
    <w:rsid w:val="35CD446B"/>
    <w:rsid w:val="35E0F118"/>
    <w:rsid w:val="35EE3855"/>
    <w:rsid w:val="3619E934"/>
    <w:rsid w:val="36938017"/>
    <w:rsid w:val="36CF50CF"/>
    <w:rsid w:val="370C4849"/>
    <w:rsid w:val="372FF2EC"/>
    <w:rsid w:val="3796567A"/>
    <w:rsid w:val="37BD435D"/>
    <w:rsid w:val="3876206C"/>
    <w:rsid w:val="38AA0A2D"/>
    <w:rsid w:val="394F0AC5"/>
    <w:rsid w:val="3957F221"/>
    <w:rsid w:val="397BE2A7"/>
    <w:rsid w:val="3B0037EE"/>
    <w:rsid w:val="3B1E09F3"/>
    <w:rsid w:val="3BBB4761"/>
    <w:rsid w:val="3BE1BAAA"/>
    <w:rsid w:val="3C12A6AE"/>
    <w:rsid w:val="3C723676"/>
    <w:rsid w:val="3CE0B594"/>
    <w:rsid w:val="3D1E7A52"/>
    <w:rsid w:val="3D860D95"/>
    <w:rsid w:val="3DD15F66"/>
    <w:rsid w:val="3DF0902A"/>
    <w:rsid w:val="3DF1B0CE"/>
    <w:rsid w:val="3E740152"/>
    <w:rsid w:val="3E7B13F0"/>
    <w:rsid w:val="3E97A502"/>
    <w:rsid w:val="3EB99D7B"/>
    <w:rsid w:val="3EBEFC94"/>
    <w:rsid w:val="3EE453BE"/>
    <w:rsid w:val="3F097EFA"/>
    <w:rsid w:val="3F253981"/>
    <w:rsid w:val="3F27BE7A"/>
    <w:rsid w:val="3F9FDC73"/>
    <w:rsid w:val="3FF9E228"/>
    <w:rsid w:val="400136F8"/>
    <w:rsid w:val="4054D5D6"/>
    <w:rsid w:val="40B369B3"/>
    <w:rsid w:val="40C684C4"/>
    <w:rsid w:val="40C828EB"/>
    <w:rsid w:val="40FE9BCC"/>
    <w:rsid w:val="41024615"/>
    <w:rsid w:val="412B1E60"/>
    <w:rsid w:val="4149D4B1"/>
    <w:rsid w:val="41CE46BB"/>
    <w:rsid w:val="41D6CBF5"/>
    <w:rsid w:val="4250D7C4"/>
    <w:rsid w:val="4339BF58"/>
    <w:rsid w:val="4389A550"/>
    <w:rsid w:val="446D23D5"/>
    <w:rsid w:val="449DCE71"/>
    <w:rsid w:val="450A14EC"/>
    <w:rsid w:val="45FD4A49"/>
    <w:rsid w:val="46184A18"/>
    <w:rsid w:val="466AF9D8"/>
    <w:rsid w:val="4683C2AA"/>
    <w:rsid w:val="46D67048"/>
    <w:rsid w:val="4705731A"/>
    <w:rsid w:val="47104D5E"/>
    <w:rsid w:val="47248105"/>
    <w:rsid w:val="47BCA673"/>
    <w:rsid w:val="480627D4"/>
    <w:rsid w:val="482629C5"/>
    <w:rsid w:val="4992F822"/>
    <w:rsid w:val="4A2B25E6"/>
    <w:rsid w:val="4A32B3C0"/>
    <w:rsid w:val="4A4330B5"/>
    <w:rsid w:val="4AAE5A33"/>
    <w:rsid w:val="4B0DE17A"/>
    <w:rsid w:val="4B2AE394"/>
    <w:rsid w:val="4B3DF79D"/>
    <w:rsid w:val="4B6C1C6D"/>
    <w:rsid w:val="4C4060B0"/>
    <w:rsid w:val="4C668810"/>
    <w:rsid w:val="4C8BD2A8"/>
    <w:rsid w:val="4CF4FAED"/>
    <w:rsid w:val="4CFD83E8"/>
    <w:rsid w:val="4D1B3F4C"/>
    <w:rsid w:val="4D206567"/>
    <w:rsid w:val="4D4C35D3"/>
    <w:rsid w:val="4D944991"/>
    <w:rsid w:val="4DA40BB0"/>
    <w:rsid w:val="4E0273E4"/>
    <w:rsid w:val="4E1949E9"/>
    <w:rsid w:val="4E4E213E"/>
    <w:rsid w:val="4EBF42B5"/>
    <w:rsid w:val="4EC2D006"/>
    <w:rsid w:val="4F1D1AB3"/>
    <w:rsid w:val="4F7A9903"/>
    <w:rsid w:val="4FC8B39C"/>
    <w:rsid w:val="4FCE6F43"/>
    <w:rsid w:val="500C2B87"/>
    <w:rsid w:val="5020B864"/>
    <w:rsid w:val="502EBFA4"/>
    <w:rsid w:val="510F7B5F"/>
    <w:rsid w:val="5147AAA2"/>
    <w:rsid w:val="517CD3BD"/>
    <w:rsid w:val="51BAA034"/>
    <w:rsid w:val="5205435C"/>
    <w:rsid w:val="52093CFB"/>
    <w:rsid w:val="529661D3"/>
    <w:rsid w:val="5351A220"/>
    <w:rsid w:val="53B1E805"/>
    <w:rsid w:val="53E596FA"/>
    <w:rsid w:val="53EC3AD8"/>
    <w:rsid w:val="5438143F"/>
    <w:rsid w:val="54512224"/>
    <w:rsid w:val="548AA8D7"/>
    <w:rsid w:val="549F4027"/>
    <w:rsid w:val="5540B4A4"/>
    <w:rsid w:val="5565C1FB"/>
    <w:rsid w:val="55E0894C"/>
    <w:rsid w:val="55ED032D"/>
    <w:rsid w:val="5601020D"/>
    <w:rsid w:val="561D7132"/>
    <w:rsid w:val="56337F21"/>
    <w:rsid w:val="567404B8"/>
    <w:rsid w:val="5685EA42"/>
    <w:rsid w:val="568CCFAD"/>
    <w:rsid w:val="568D91E7"/>
    <w:rsid w:val="5751027C"/>
    <w:rsid w:val="575B3D2A"/>
    <w:rsid w:val="5774004B"/>
    <w:rsid w:val="581F8AB9"/>
    <w:rsid w:val="588FE85F"/>
    <w:rsid w:val="589A8348"/>
    <w:rsid w:val="593CF5E2"/>
    <w:rsid w:val="594543DC"/>
    <w:rsid w:val="59B643DF"/>
    <w:rsid w:val="59C532E0"/>
    <w:rsid w:val="59D3C711"/>
    <w:rsid w:val="5A04B190"/>
    <w:rsid w:val="5A466E7C"/>
    <w:rsid w:val="5A800655"/>
    <w:rsid w:val="5AA91DE3"/>
    <w:rsid w:val="5ABCB2E2"/>
    <w:rsid w:val="5BDC7CB8"/>
    <w:rsid w:val="5C03AFE6"/>
    <w:rsid w:val="5C46DCD2"/>
    <w:rsid w:val="5CD5CF19"/>
    <w:rsid w:val="5D008FD9"/>
    <w:rsid w:val="5DF8B026"/>
    <w:rsid w:val="5ED25DB2"/>
    <w:rsid w:val="5EE5D1B0"/>
    <w:rsid w:val="5EEA58EE"/>
    <w:rsid w:val="5FD9018E"/>
    <w:rsid w:val="6048738A"/>
    <w:rsid w:val="60966D33"/>
    <w:rsid w:val="60E07CA4"/>
    <w:rsid w:val="60E3BE5A"/>
    <w:rsid w:val="612958FB"/>
    <w:rsid w:val="6148555E"/>
    <w:rsid w:val="61A672D9"/>
    <w:rsid w:val="61B2191F"/>
    <w:rsid w:val="61B2B083"/>
    <w:rsid w:val="61E864E9"/>
    <w:rsid w:val="61ED46CF"/>
    <w:rsid w:val="621789CE"/>
    <w:rsid w:val="624AE137"/>
    <w:rsid w:val="627EA2F4"/>
    <w:rsid w:val="62ADAFF1"/>
    <w:rsid w:val="62ECE252"/>
    <w:rsid w:val="64E8F583"/>
    <w:rsid w:val="658576D1"/>
    <w:rsid w:val="65BDD24D"/>
    <w:rsid w:val="65F17A6B"/>
    <w:rsid w:val="66CDFD92"/>
    <w:rsid w:val="6716E4E3"/>
    <w:rsid w:val="675616DE"/>
    <w:rsid w:val="67563FF1"/>
    <w:rsid w:val="6791A9CD"/>
    <w:rsid w:val="67BD5F5E"/>
    <w:rsid w:val="6814921E"/>
    <w:rsid w:val="681A3A15"/>
    <w:rsid w:val="6870CAFE"/>
    <w:rsid w:val="6875F7EC"/>
    <w:rsid w:val="68FC2929"/>
    <w:rsid w:val="6902413C"/>
    <w:rsid w:val="6932C8D3"/>
    <w:rsid w:val="69D89500"/>
    <w:rsid w:val="6A65B7EE"/>
    <w:rsid w:val="6B34C9AE"/>
    <w:rsid w:val="6B4914D1"/>
    <w:rsid w:val="6BC43519"/>
    <w:rsid w:val="6BCFEA6A"/>
    <w:rsid w:val="6BF76CBB"/>
    <w:rsid w:val="6D3E9840"/>
    <w:rsid w:val="6D48835E"/>
    <w:rsid w:val="6D64A985"/>
    <w:rsid w:val="6D6C9736"/>
    <w:rsid w:val="6D71F71F"/>
    <w:rsid w:val="6DC41348"/>
    <w:rsid w:val="6DF0307E"/>
    <w:rsid w:val="6DFA9EBB"/>
    <w:rsid w:val="6F4275B9"/>
    <w:rsid w:val="6FF7D851"/>
    <w:rsid w:val="7034404C"/>
    <w:rsid w:val="70BF2BFC"/>
    <w:rsid w:val="713FD293"/>
    <w:rsid w:val="7224333B"/>
    <w:rsid w:val="74845610"/>
    <w:rsid w:val="74BCE048"/>
    <w:rsid w:val="756C170D"/>
    <w:rsid w:val="756E21DB"/>
    <w:rsid w:val="75C8AA83"/>
    <w:rsid w:val="76150B76"/>
    <w:rsid w:val="7625181E"/>
    <w:rsid w:val="7668E7BC"/>
    <w:rsid w:val="782E524C"/>
    <w:rsid w:val="78349C87"/>
    <w:rsid w:val="78AD31E9"/>
    <w:rsid w:val="78F4E549"/>
    <w:rsid w:val="794C6EBA"/>
    <w:rsid w:val="79A08ABE"/>
    <w:rsid w:val="79EB42ED"/>
    <w:rsid w:val="7A0B756B"/>
    <w:rsid w:val="7A4EC4E2"/>
    <w:rsid w:val="7A7BE5F1"/>
    <w:rsid w:val="7A822AFC"/>
    <w:rsid w:val="7A82F86A"/>
    <w:rsid w:val="7AD4D65B"/>
    <w:rsid w:val="7AE9D7D9"/>
    <w:rsid w:val="7B992204"/>
    <w:rsid w:val="7BB7DCC6"/>
    <w:rsid w:val="7C9254AB"/>
    <w:rsid w:val="7CAA1F03"/>
    <w:rsid w:val="7D216CA3"/>
    <w:rsid w:val="7D5EF989"/>
    <w:rsid w:val="7D8C963E"/>
    <w:rsid w:val="7E417266"/>
    <w:rsid w:val="7EEBC0EE"/>
    <w:rsid w:val="7F2EEB6E"/>
    <w:rsid w:val="7F563DF5"/>
    <w:rsid w:val="7F62E7FE"/>
    <w:rsid w:val="7F6FCE4C"/>
    <w:rsid w:val="7F7E06A1"/>
    <w:rsid w:val="7FAE0CE7"/>
    <w:rsid w:val="7FBC0284"/>
    <w:rsid w:val="7FF96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B065"/>
  <w15:chartTrackingRefBased/>
  <w15:docId w15:val="{F343D55D-E248-49F4-B113-F03ED45C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0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0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2A1F37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2A1F37F"/>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0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47B"/>
    <w:rPr>
      <w:rFonts w:eastAsiaTheme="majorEastAsia" w:cstheme="majorBidi"/>
      <w:i/>
      <w:iCs/>
      <w:color w:val="272727"/>
      <w:lang w:val="en-GB"/>
    </w:rPr>
  </w:style>
  <w:style w:type="character" w:customStyle="1" w:styleId="Heading9Char">
    <w:name w:val="Heading 9 Char"/>
    <w:basedOn w:val="DefaultParagraphFont"/>
    <w:link w:val="Heading9"/>
    <w:uiPriority w:val="9"/>
    <w:semiHidden/>
    <w:rsid w:val="0075047B"/>
    <w:rPr>
      <w:rFonts w:eastAsiaTheme="majorEastAsia" w:cstheme="majorBidi"/>
      <w:color w:val="272727"/>
      <w:lang w:val="en-GB"/>
    </w:rPr>
  </w:style>
  <w:style w:type="paragraph" w:styleId="Title">
    <w:name w:val="Title"/>
    <w:basedOn w:val="Normal"/>
    <w:next w:val="Normal"/>
    <w:link w:val="TitleChar"/>
    <w:uiPriority w:val="10"/>
    <w:qFormat/>
    <w:rsid w:val="02A1F37F"/>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5047B"/>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2A1F37F"/>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75047B"/>
    <w:rPr>
      <w:rFonts w:eastAsiaTheme="majorEastAsia" w:cstheme="majorBidi"/>
      <w:color w:val="595959" w:themeColor="text1" w:themeTint="A6"/>
      <w:sz w:val="28"/>
      <w:szCs w:val="28"/>
      <w:lang w:val="en-GB"/>
    </w:rPr>
  </w:style>
  <w:style w:type="paragraph" w:styleId="Quote">
    <w:name w:val="Quote"/>
    <w:basedOn w:val="Normal"/>
    <w:next w:val="Normal"/>
    <w:link w:val="QuoteChar"/>
    <w:uiPriority w:val="29"/>
    <w:qFormat/>
    <w:rsid w:val="0075047B"/>
    <w:pPr>
      <w:spacing w:before="160"/>
      <w:jc w:val="center"/>
    </w:pPr>
    <w:rPr>
      <w:i/>
      <w:iCs/>
      <w:color w:val="404040" w:themeColor="text1" w:themeTint="BF"/>
    </w:rPr>
  </w:style>
  <w:style w:type="character" w:customStyle="1" w:styleId="QuoteChar">
    <w:name w:val="Quote Char"/>
    <w:basedOn w:val="DefaultParagraphFont"/>
    <w:link w:val="Quote"/>
    <w:uiPriority w:val="29"/>
    <w:rsid w:val="0075047B"/>
    <w:rPr>
      <w:i/>
      <w:iCs/>
      <w:color w:val="404040" w:themeColor="text1" w:themeTint="BF"/>
    </w:rPr>
  </w:style>
  <w:style w:type="paragraph" w:styleId="ListParagraph">
    <w:name w:val="List Paragraph"/>
    <w:basedOn w:val="Normal"/>
    <w:uiPriority w:val="34"/>
    <w:qFormat/>
    <w:rsid w:val="0075047B"/>
    <w:pPr>
      <w:ind w:left="720"/>
      <w:contextualSpacing/>
    </w:pPr>
  </w:style>
  <w:style w:type="character" w:styleId="IntenseEmphasis">
    <w:name w:val="Intense Emphasis"/>
    <w:basedOn w:val="DefaultParagraphFont"/>
    <w:uiPriority w:val="21"/>
    <w:qFormat/>
    <w:rsid w:val="0075047B"/>
    <w:rPr>
      <w:i/>
      <w:iCs/>
      <w:color w:val="0F4761" w:themeColor="accent1" w:themeShade="BF"/>
    </w:rPr>
  </w:style>
  <w:style w:type="paragraph" w:styleId="IntenseQuote">
    <w:name w:val="Intense Quote"/>
    <w:basedOn w:val="Normal"/>
    <w:next w:val="Normal"/>
    <w:link w:val="IntenseQuoteChar"/>
    <w:uiPriority w:val="30"/>
    <w:qFormat/>
    <w:rsid w:val="00750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47B"/>
    <w:rPr>
      <w:i/>
      <w:iCs/>
      <w:color w:val="0F4761" w:themeColor="accent1" w:themeShade="BF"/>
    </w:rPr>
  </w:style>
  <w:style w:type="character" w:styleId="IntenseReference">
    <w:name w:val="Intense Reference"/>
    <w:basedOn w:val="DefaultParagraphFont"/>
    <w:uiPriority w:val="32"/>
    <w:qFormat/>
    <w:rsid w:val="0075047B"/>
    <w:rPr>
      <w:b/>
      <w:bCs/>
      <w:smallCaps/>
      <w:color w:val="0F4761" w:themeColor="accent1" w:themeShade="BF"/>
      <w:spacing w:val="5"/>
    </w:rPr>
  </w:style>
  <w:style w:type="paragraph" w:styleId="CommentText">
    <w:name w:val="annotation text"/>
    <w:basedOn w:val="Normal"/>
    <w:link w:val="CommentTextChar"/>
    <w:uiPriority w:val="99"/>
    <w:semiHidden/>
    <w:unhideWhenUsed/>
    <w:rsid w:val="0075047B"/>
    <w:pPr>
      <w:spacing w:line="240" w:lineRule="auto"/>
    </w:pPr>
    <w:rPr>
      <w:sz w:val="20"/>
      <w:szCs w:val="20"/>
    </w:rPr>
  </w:style>
  <w:style w:type="character" w:customStyle="1" w:styleId="CommentTextChar">
    <w:name w:val="Comment Text Char"/>
    <w:basedOn w:val="DefaultParagraphFont"/>
    <w:link w:val="CommentText"/>
    <w:uiPriority w:val="99"/>
    <w:semiHidden/>
    <w:rsid w:val="0075047B"/>
    <w:rPr>
      <w:sz w:val="20"/>
      <w:szCs w:val="20"/>
      <w:lang w:val="en-GB"/>
    </w:rPr>
  </w:style>
  <w:style w:type="character" w:styleId="CommentReference">
    <w:name w:val="annotation reference"/>
    <w:basedOn w:val="DefaultParagraphFont"/>
    <w:uiPriority w:val="99"/>
    <w:semiHidden/>
    <w:unhideWhenUsed/>
    <w:rsid w:val="0075047B"/>
    <w:rPr>
      <w:sz w:val="16"/>
      <w:szCs w:val="16"/>
    </w:rPr>
  </w:style>
  <w:style w:type="paragraph" w:styleId="Header">
    <w:name w:val="header"/>
    <w:basedOn w:val="Normal"/>
    <w:link w:val="HeaderChar"/>
    <w:uiPriority w:val="99"/>
    <w:unhideWhenUsed/>
    <w:rsid w:val="00C87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C59"/>
  </w:style>
  <w:style w:type="paragraph" w:styleId="Footer">
    <w:name w:val="footer"/>
    <w:basedOn w:val="Normal"/>
    <w:link w:val="FooterChar"/>
    <w:uiPriority w:val="99"/>
    <w:unhideWhenUsed/>
    <w:rsid w:val="00C87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C59"/>
  </w:style>
  <w:style w:type="paragraph" w:styleId="TOC1">
    <w:name w:val="toc 1"/>
    <w:basedOn w:val="Normal"/>
    <w:next w:val="Normal"/>
    <w:uiPriority w:val="39"/>
    <w:unhideWhenUsed/>
    <w:rsid w:val="00C87C59"/>
    <w:pPr>
      <w:spacing w:after="100"/>
    </w:pPr>
  </w:style>
  <w:style w:type="paragraph" w:styleId="TOC2">
    <w:name w:val="toc 2"/>
    <w:basedOn w:val="Normal"/>
    <w:next w:val="Normal"/>
    <w:uiPriority w:val="39"/>
    <w:unhideWhenUsed/>
    <w:rsid w:val="00C87C59"/>
    <w:pPr>
      <w:spacing w:after="100"/>
      <w:ind w:left="220"/>
    </w:pPr>
  </w:style>
  <w:style w:type="paragraph" w:styleId="TOC3">
    <w:name w:val="toc 3"/>
    <w:basedOn w:val="Normal"/>
    <w:next w:val="Normal"/>
    <w:uiPriority w:val="39"/>
    <w:unhideWhenUsed/>
    <w:rsid w:val="00C87C59"/>
    <w:pPr>
      <w:spacing w:after="100"/>
      <w:ind w:left="440"/>
    </w:pPr>
  </w:style>
  <w:style w:type="paragraph" w:styleId="TOC4">
    <w:name w:val="toc 4"/>
    <w:basedOn w:val="Normal"/>
    <w:next w:val="Normal"/>
    <w:uiPriority w:val="39"/>
    <w:unhideWhenUsed/>
    <w:rsid w:val="00C87C59"/>
    <w:pPr>
      <w:spacing w:after="100"/>
      <w:ind w:left="660"/>
    </w:pPr>
  </w:style>
  <w:style w:type="paragraph" w:styleId="TOC5">
    <w:name w:val="toc 5"/>
    <w:basedOn w:val="Normal"/>
    <w:next w:val="Normal"/>
    <w:uiPriority w:val="39"/>
    <w:unhideWhenUsed/>
    <w:rsid w:val="00C87C59"/>
    <w:pPr>
      <w:spacing w:after="100"/>
      <w:ind w:left="880"/>
    </w:pPr>
  </w:style>
  <w:style w:type="paragraph" w:styleId="TOC6">
    <w:name w:val="toc 6"/>
    <w:basedOn w:val="Normal"/>
    <w:next w:val="Normal"/>
    <w:uiPriority w:val="39"/>
    <w:unhideWhenUsed/>
    <w:rsid w:val="00C87C59"/>
    <w:pPr>
      <w:spacing w:after="100"/>
      <w:ind w:left="1100"/>
    </w:pPr>
  </w:style>
  <w:style w:type="paragraph" w:styleId="TOC7">
    <w:name w:val="toc 7"/>
    <w:basedOn w:val="Normal"/>
    <w:next w:val="Normal"/>
    <w:uiPriority w:val="39"/>
    <w:unhideWhenUsed/>
    <w:rsid w:val="00C87C59"/>
    <w:pPr>
      <w:spacing w:after="100"/>
      <w:ind w:left="1320"/>
    </w:pPr>
  </w:style>
  <w:style w:type="paragraph" w:styleId="TOC8">
    <w:name w:val="toc 8"/>
    <w:basedOn w:val="Normal"/>
    <w:next w:val="Normal"/>
    <w:uiPriority w:val="39"/>
    <w:unhideWhenUsed/>
    <w:rsid w:val="00C87C59"/>
    <w:pPr>
      <w:spacing w:after="100"/>
      <w:ind w:left="1540"/>
    </w:pPr>
  </w:style>
  <w:style w:type="paragraph" w:styleId="TOC9">
    <w:name w:val="toc 9"/>
    <w:basedOn w:val="Normal"/>
    <w:next w:val="Normal"/>
    <w:uiPriority w:val="39"/>
    <w:unhideWhenUsed/>
    <w:rsid w:val="00C87C59"/>
    <w:pPr>
      <w:spacing w:after="100"/>
      <w:ind w:left="1760"/>
    </w:pPr>
  </w:style>
  <w:style w:type="paragraph" w:styleId="EndnoteText">
    <w:name w:val="endnote text"/>
    <w:basedOn w:val="Normal"/>
    <w:link w:val="EndnoteTextChar"/>
    <w:uiPriority w:val="99"/>
    <w:semiHidden/>
    <w:unhideWhenUsed/>
    <w:rsid w:val="00C87C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7C59"/>
    <w:rPr>
      <w:sz w:val="20"/>
      <w:szCs w:val="20"/>
      <w:lang w:val="en-GB"/>
    </w:rPr>
  </w:style>
  <w:style w:type="paragraph" w:styleId="FootnoteText">
    <w:name w:val="footnote text"/>
    <w:basedOn w:val="Normal"/>
    <w:link w:val="FootnoteTextChar"/>
    <w:uiPriority w:val="99"/>
    <w:semiHidden/>
    <w:unhideWhenUsed/>
    <w:rsid w:val="00C87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C59"/>
    <w:rPr>
      <w:sz w:val="20"/>
      <w:szCs w:val="20"/>
      <w:lang w:val="en-GB"/>
    </w:rPr>
  </w:style>
  <w:style w:type="table" w:styleId="TableGrid">
    <w:name w:val="Table Grid"/>
    <w:basedOn w:val="TableNormal"/>
    <w:uiPriority w:val="59"/>
    <w:rsid w:val="00C87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87C59"/>
    <w:rPr>
      <w:i/>
      <w:iCs/>
    </w:rPr>
  </w:style>
  <w:style w:type="character" w:styleId="FootnoteReference">
    <w:name w:val="footnote reference"/>
    <w:basedOn w:val="DefaultParagraphFont"/>
    <w:uiPriority w:val="99"/>
    <w:semiHidden/>
    <w:unhideWhenUsed/>
    <w:rsid w:val="00C87C59"/>
    <w:rPr>
      <w:vertAlign w:val="superscript"/>
    </w:rPr>
  </w:style>
  <w:style w:type="character" w:styleId="Hyperlink">
    <w:name w:val="Hyperlink"/>
    <w:basedOn w:val="DefaultParagraphFont"/>
    <w:uiPriority w:val="99"/>
    <w:unhideWhenUsed/>
    <w:rsid w:val="00C87C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rydata.iatistandard.org/" TargetMode="External"/><Relationship Id="rId13" Type="http://schemas.openxmlformats.org/officeDocument/2006/relationships/hyperlink" Target="https://foreignassistance.gov/donor" TargetMode="External"/><Relationship Id="rId18" Type="http://schemas.microsoft.com/office/2011/relationships/people" Target="people.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d-portal.org/ctrack.html"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mapafrica.afdb.org/en" TargetMode="Externa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cdn.iatistandard.org/prod-iati-website/documents/IATI_Annual_Report_2022_EN.pdf" TargetMode="External"/><Relationship Id="rId2" Type="http://schemas.openxmlformats.org/officeDocument/2006/relationships/hyperlink" Target="https://www.gafs.info/home/" TargetMode="External"/><Relationship Id="rId1" Type="http://schemas.openxmlformats.org/officeDocument/2006/relationships/hyperlink" Target="https://www.iatiregistry.org/" TargetMode="External"/></Relationships>
</file>

<file path=word/documenttasks/documenttasks1.xml><?xml version="1.0" encoding="utf-8"?>
<t:Tasks xmlns:t="http://schemas.microsoft.com/office/tasks/2019/documenttasks" xmlns:oel="http://schemas.microsoft.com/office/2019/extlst">
  <t:Task id="{FF3AC594-2A53-403B-BD6B-152DEB09486B}">
    <t:Anchor>
      <t:Comment id="1799662390"/>
    </t:Anchor>
    <t:History>
      <t:Event id="{ECE0CB53-FF72-450C-B496-93E49434B573}" time="2024-10-15T22:11:27.262Z">
        <t:Attribution userId="S::yemesrach.workie@undp.org::213cd292-6a53-4697-a928-0f1ce6b6ae20" userProvider="AD" userName="Yemesrach Workie"/>
        <t:Anchor>
          <t:Comment id="1799662390"/>
        </t:Anchor>
        <t:Create/>
      </t:Event>
      <t:Event id="{107A1FB6-09D8-435D-8A4E-955D29011FBC}" time="2024-10-15T22:11:27.262Z">
        <t:Attribution userId="S::yemesrach.workie@undp.org::213cd292-6a53-4697-a928-0f1ce6b6ae20" userProvider="AD" userName="Yemesrach Workie"/>
        <t:Anchor>
          <t:Comment id="1799662390"/>
        </t:Anchor>
        <t:Assign userId="S::rohini.simbodyal@undp.org::eefcf8f6-4c31-486f-9dc3-a6c8a2375430" userProvider="AD" userName="Rohini Simbodyal"/>
      </t:Event>
      <t:Event id="{460F2433-8234-4E8F-AB8B-924B37D2CBFC}" time="2024-10-15T22:11:27.262Z">
        <t:Attribution userId="S::yemesrach.workie@undp.org::213cd292-6a53-4697-a928-0f1ce6b6ae20" userProvider="AD" userName="Yemesrach Workie"/>
        <t:Anchor>
          <t:Comment id="1799662390"/>
        </t:Anchor>
        <t:SetTitle title="@Rohini Simbodyal can you mention D-Portal and CDR this will help to show case we offer tools. or provide links to them"/>
      </t:Event>
      <t:Event id="{72C905C6-831D-44F2-A9CE-C82E5CDB7A9A}" time="2024-10-15T22:42:51.779Z">
        <t:Attribution userId="S::jaimie.grant@undp.org::553e8e58-df4b-4f22-bdd8-9d612fac97ad" userProvider="AD" userName="Jaimie Gr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D5FD80A-4CC2-40D2-9005-A1AAEE52F3B7}"/>
</file>

<file path=customXml/itemProps2.xml><?xml version="1.0" encoding="utf-8"?>
<ds:datastoreItem xmlns:ds="http://schemas.openxmlformats.org/officeDocument/2006/customXml" ds:itemID="{83E83DB7-0349-426D-A126-A76972E54A9D}"/>
</file>

<file path=customXml/itemProps3.xml><?xml version="1.0" encoding="utf-8"?>
<ds:datastoreItem xmlns:ds="http://schemas.openxmlformats.org/officeDocument/2006/customXml" ds:itemID="{E321107A-6659-4120-95E7-7ECB87B9D98A}"/>
</file>

<file path=docProps/app.xml><?xml version="1.0" encoding="utf-8"?>
<Properties xmlns="http://schemas.openxmlformats.org/officeDocument/2006/extended-properties" xmlns:vt="http://schemas.openxmlformats.org/officeDocument/2006/docPropsVTypes">
  <Template>Normal</Template>
  <TotalTime>2</TotalTime>
  <Pages>10</Pages>
  <Words>3911</Words>
  <Characters>22295</Characters>
  <Application>Microsoft Office Word</Application>
  <DocSecurity>0</DocSecurity>
  <Lines>185</Lines>
  <Paragraphs>52</Paragraphs>
  <ScaleCrop>false</ScaleCrop>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Grant</dc:creator>
  <cp:keywords/>
  <dc:description/>
  <cp:lastModifiedBy>Jaimie Grant</cp:lastModifiedBy>
  <cp:revision>10</cp:revision>
  <dcterms:created xsi:type="dcterms:W3CDTF">2024-10-11T22:53:00Z</dcterms:created>
  <dcterms:modified xsi:type="dcterms:W3CDTF">2024-10-15T22:53:00Z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