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02E9" w14:textId="13FCC336" w:rsidR="00174569" w:rsidRPr="00D21F8D" w:rsidRDefault="00B37572" w:rsidP="00D21F8D">
      <w:pPr>
        <w:pStyle w:val="DocumentTitle"/>
        <w:ind w:left="0"/>
        <w:jc w:val="center"/>
        <w:rPr>
          <w:sz w:val="36"/>
          <w:szCs w:val="36"/>
        </w:rPr>
      </w:pPr>
      <w:r w:rsidRPr="00D21F8D">
        <w:rPr>
          <w:sz w:val="36"/>
          <w:szCs w:val="36"/>
        </w:rPr>
        <w:t xml:space="preserve">Financing </w:t>
      </w:r>
      <w:r w:rsidR="00251A33" w:rsidRPr="00D21F8D">
        <w:rPr>
          <w:sz w:val="36"/>
          <w:szCs w:val="36"/>
        </w:rPr>
        <w:t>Po</w:t>
      </w:r>
      <w:r w:rsidR="002C6D77" w:rsidRPr="00D21F8D">
        <w:rPr>
          <w:sz w:val="36"/>
          <w:szCs w:val="36"/>
        </w:rPr>
        <w:t xml:space="preserve">licy </w:t>
      </w:r>
      <w:r w:rsidRPr="00D21F8D">
        <w:rPr>
          <w:sz w:val="36"/>
          <w:szCs w:val="36"/>
        </w:rPr>
        <w:t>Brief</w:t>
      </w:r>
      <w:r w:rsidR="00174569" w:rsidRPr="00D21F8D">
        <w:rPr>
          <w:sz w:val="36"/>
          <w:szCs w:val="36"/>
        </w:rPr>
        <w:t xml:space="preserve"> Series </w:t>
      </w:r>
      <w:r w:rsidRPr="00D21F8D">
        <w:rPr>
          <w:sz w:val="36"/>
          <w:szCs w:val="36"/>
        </w:rPr>
        <w:t xml:space="preserve">– </w:t>
      </w:r>
      <w:r w:rsidR="00B52F12" w:rsidRPr="00D21F8D">
        <w:rPr>
          <w:sz w:val="36"/>
          <w:szCs w:val="36"/>
        </w:rPr>
        <w:t>Recommendations for</w:t>
      </w:r>
      <w:r w:rsidRPr="00D21F8D">
        <w:rPr>
          <w:sz w:val="36"/>
          <w:szCs w:val="36"/>
        </w:rPr>
        <w:t xml:space="preserve"> FfD4</w:t>
      </w:r>
      <w:r w:rsidR="00D21F8D">
        <w:rPr>
          <w:sz w:val="36"/>
          <w:szCs w:val="36"/>
        </w:rPr>
        <w:t xml:space="preserve">: </w:t>
      </w:r>
      <w:r w:rsidR="00D84CDD" w:rsidRPr="00D21F8D">
        <w:rPr>
          <w:sz w:val="36"/>
          <w:szCs w:val="36"/>
        </w:rPr>
        <w:t>Financing inclusive structural transformation</w:t>
      </w:r>
    </w:p>
    <w:p w14:paraId="2452FAFE" w14:textId="3F3196C9" w:rsidR="00B37013" w:rsidRPr="00B66EB7" w:rsidRDefault="00B37013" w:rsidP="00B37013">
      <w:pPr>
        <w:pStyle w:val="Headinglevel1"/>
        <w:pageBreakBefore w:val="0"/>
        <w:ind w:hanging="360"/>
        <w:rPr>
          <w:sz w:val="28"/>
          <w:szCs w:val="28"/>
        </w:rPr>
      </w:pPr>
      <w:bookmarkStart w:id="0" w:name="_Hlk179274064"/>
      <w:r w:rsidRPr="00B66EB7">
        <w:rPr>
          <w:sz w:val="28"/>
          <w:szCs w:val="28"/>
        </w:rPr>
        <w:t xml:space="preserve">Summary </w:t>
      </w:r>
    </w:p>
    <w:bookmarkEnd w:id="0"/>
    <w:p w14:paraId="7413BF7C" w14:textId="71FB87E0" w:rsidR="00B37013" w:rsidRPr="00B37013" w:rsidRDefault="00B37013" w:rsidP="00B37013">
      <w:pPr>
        <w:rPr>
          <w:rFonts w:ascii="Noto Sans" w:hAnsi="Noto Sans" w:cs="Noto Sans"/>
          <w:b/>
          <w:bCs/>
          <w:i/>
          <w:iCs/>
          <w:sz w:val="18"/>
          <w:szCs w:val="18"/>
        </w:rPr>
      </w:pPr>
      <w:r w:rsidRPr="00B37013">
        <w:rPr>
          <w:rFonts w:ascii="Noto Sans" w:hAnsi="Noto Sans" w:cs="Noto Sans"/>
          <w:i/>
          <w:iCs/>
          <w:sz w:val="18"/>
          <w:szCs w:val="18"/>
        </w:rPr>
        <w:t>This policy brief emphasizes the need for financing inclusive structural transformation to foster economic</w:t>
      </w:r>
      <w:r w:rsidRPr="00B37013">
        <w:rPr>
          <w:rFonts w:ascii="Noto Sans" w:hAnsi="Noto Sans" w:cs="Noto Sans"/>
          <w:i/>
          <w:iCs/>
          <w:sz w:val="18"/>
          <w:szCs w:val="18"/>
        </w:rPr>
        <w:t xml:space="preserve"> </w:t>
      </w:r>
      <w:r w:rsidRPr="00B37013">
        <w:rPr>
          <w:rFonts w:ascii="Noto Sans" w:hAnsi="Noto Sans" w:cs="Noto Sans"/>
          <w:i/>
          <w:iCs/>
          <w:sz w:val="18"/>
          <w:szCs w:val="18"/>
        </w:rPr>
        <w:t>growth, create decent jobs, and ensure sustainable development. Developing countries face challenges due to limited financial resources, premature deindustrialization, and a shift towards low-productivity sectors. The brief recommends strengthening national public development banks, forming public-private alliances, and adopting tailored macroeconomic frameworks. These efforts, combined with social partner involvement and multilateral cooperation, are crucial to overcoming financing barriers and supporting long-term, inclusive development.</w:t>
      </w:r>
    </w:p>
    <w:p w14:paraId="4931A488" w14:textId="06152406" w:rsidR="00B37572" w:rsidRPr="00D21F8D" w:rsidRDefault="00174569" w:rsidP="00D21F8D">
      <w:pPr>
        <w:pStyle w:val="Headinglevel1"/>
        <w:pageBreakBefore w:val="0"/>
        <w:ind w:hanging="360"/>
        <w:rPr>
          <w:sz w:val="28"/>
          <w:szCs w:val="28"/>
        </w:rPr>
      </w:pPr>
      <w:r w:rsidRPr="00D21F8D">
        <w:rPr>
          <w:sz w:val="28"/>
          <w:szCs w:val="28"/>
        </w:rPr>
        <w:t xml:space="preserve">Key messages </w:t>
      </w:r>
    </w:p>
    <w:p w14:paraId="2D22CA62" w14:textId="40BCE3E4" w:rsidR="00280A45" w:rsidRPr="00D21F8D" w:rsidRDefault="00813E33" w:rsidP="00A603B0">
      <w:pPr>
        <w:pStyle w:val="ListParagraph"/>
        <w:numPr>
          <w:ilvl w:val="0"/>
          <w:numId w:val="6"/>
        </w:numPr>
        <w:rPr>
          <w:rFonts w:ascii="Noto Sans" w:hAnsi="Noto Sans" w:cs="Noto Sans"/>
          <w:sz w:val="18"/>
          <w:szCs w:val="18"/>
        </w:rPr>
      </w:pPr>
      <w:r w:rsidRPr="00D21F8D">
        <w:rPr>
          <w:rFonts w:ascii="Noto Sans" w:hAnsi="Noto Sans" w:cs="Noto Sans"/>
          <w:sz w:val="18"/>
          <w:szCs w:val="18"/>
        </w:rPr>
        <w:t>Structural transformation is essential for growth, decent job creation, and sustainable development.</w:t>
      </w:r>
      <w:r w:rsidR="00280A45" w:rsidRPr="00D21F8D">
        <w:rPr>
          <w:rFonts w:ascii="Noto Sans" w:hAnsi="Noto Sans" w:cs="Noto Sans"/>
          <w:sz w:val="18"/>
          <w:szCs w:val="18"/>
        </w:rPr>
        <w:t xml:space="preserve"> The lack of financial resources, in particular long-term financing to support the expansion of productive capacities,</w:t>
      </w:r>
      <w:r w:rsidR="008A4716" w:rsidRPr="00D21F8D">
        <w:rPr>
          <w:rFonts w:ascii="Noto Sans" w:hAnsi="Noto Sans" w:cs="Noto Sans"/>
          <w:sz w:val="18"/>
          <w:szCs w:val="18"/>
        </w:rPr>
        <w:t xml:space="preserve"> </w:t>
      </w:r>
      <w:r w:rsidR="00F25587" w:rsidRPr="00D21F8D">
        <w:rPr>
          <w:rFonts w:ascii="Noto Sans" w:hAnsi="Noto Sans" w:cs="Noto Sans"/>
          <w:sz w:val="18"/>
          <w:szCs w:val="18"/>
        </w:rPr>
        <w:t xml:space="preserve">often </w:t>
      </w:r>
      <w:r w:rsidR="008A4716" w:rsidRPr="00D21F8D">
        <w:rPr>
          <w:rFonts w:ascii="Noto Sans" w:hAnsi="Noto Sans" w:cs="Noto Sans"/>
          <w:sz w:val="18"/>
          <w:szCs w:val="18"/>
        </w:rPr>
        <w:t xml:space="preserve">limits these transformations </w:t>
      </w:r>
      <w:r w:rsidR="00F25587" w:rsidRPr="00D21F8D">
        <w:rPr>
          <w:rFonts w:ascii="Noto Sans" w:hAnsi="Noto Sans" w:cs="Noto Sans"/>
          <w:sz w:val="18"/>
          <w:szCs w:val="18"/>
        </w:rPr>
        <w:t xml:space="preserve">in developing countries </w:t>
      </w:r>
      <w:r w:rsidR="008A4716" w:rsidRPr="00D21F8D">
        <w:rPr>
          <w:rFonts w:ascii="Noto Sans" w:hAnsi="Noto Sans" w:cs="Noto Sans"/>
          <w:sz w:val="18"/>
          <w:szCs w:val="18"/>
        </w:rPr>
        <w:t>while the</w:t>
      </w:r>
      <w:r w:rsidR="00896844" w:rsidRPr="00D21F8D">
        <w:rPr>
          <w:rFonts w:ascii="Noto Sans" w:hAnsi="Noto Sans" w:cs="Noto Sans"/>
          <w:sz w:val="18"/>
          <w:szCs w:val="18"/>
        </w:rPr>
        <w:t xml:space="preserve"> </w:t>
      </w:r>
      <w:r w:rsidR="00280A45" w:rsidRPr="00D21F8D">
        <w:rPr>
          <w:rFonts w:ascii="Noto Sans" w:hAnsi="Noto Sans" w:cs="Noto Sans"/>
          <w:sz w:val="18"/>
          <w:szCs w:val="18"/>
        </w:rPr>
        <w:t xml:space="preserve">lack of structural transformation </w:t>
      </w:r>
      <w:r w:rsidR="00280A45" w:rsidRPr="00D21F8D">
        <w:rPr>
          <w:rFonts w:ascii="Noto Sans" w:hAnsi="Noto Sans" w:cs="Noto Sans"/>
          <w:i/>
          <w:iCs/>
          <w:sz w:val="18"/>
          <w:szCs w:val="18"/>
        </w:rPr>
        <w:t>itself</w:t>
      </w:r>
      <w:r w:rsidR="00280A45" w:rsidRPr="00D21F8D">
        <w:rPr>
          <w:rFonts w:ascii="Noto Sans" w:hAnsi="Noto Sans" w:cs="Noto Sans"/>
          <w:sz w:val="18"/>
          <w:szCs w:val="18"/>
        </w:rPr>
        <w:t xml:space="preserve"> exacerbates financing challenges.</w:t>
      </w:r>
    </w:p>
    <w:p w14:paraId="0D0C220A" w14:textId="0F58D304" w:rsidR="003949B8" w:rsidRPr="00D21F8D" w:rsidRDefault="00A91C20" w:rsidP="003949B8">
      <w:pPr>
        <w:pStyle w:val="ListParagraph"/>
        <w:numPr>
          <w:ilvl w:val="0"/>
          <w:numId w:val="6"/>
        </w:numPr>
        <w:rPr>
          <w:rFonts w:ascii="Noto Sans" w:hAnsi="Noto Sans" w:cs="Noto Sans"/>
          <w:sz w:val="18"/>
          <w:szCs w:val="18"/>
        </w:rPr>
      </w:pPr>
      <w:r w:rsidRPr="00D21F8D">
        <w:rPr>
          <w:rFonts w:ascii="Noto Sans" w:hAnsi="Noto Sans" w:cs="Noto Sans"/>
          <w:sz w:val="18"/>
          <w:szCs w:val="18"/>
        </w:rPr>
        <w:t xml:space="preserve">Structural transformation can be financed by </w:t>
      </w:r>
      <w:r w:rsidR="00AE56C6" w:rsidRPr="00D21F8D">
        <w:rPr>
          <w:rFonts w:ascii="Noto Sans" w:hAnsi="Noto Sans" w:cs="Noto Sans"/>
          <w:sz w:val="18"/>
          <w:szCs w:val="18"/>
        </w:rPr>
        <w:t>(</w:t>
      </w:r>
      <w:proofErr w:type="spellStart"/>
      <w:r w:rsidR="00AE56C6" w:rsidRPr="00D21F8D">
        <w:rPr>
          <w:rFonts w:ascii="Noto Sans" w:hAnsi="Noto Sans" w:cs="Noto Sans"/>
          <w:sz w:val="18"/>
          <w:szCs w:val="18"/>
        </w:rPr>
        <w:t>i</w:t>
      </w:r>
      <w:proofErr w:type="spellEnd"/>
      <w:r w:rsidR="00AE56C6" w:rsidRPr="00D21F8D">
        <w:rPr>
          <w:rFonts w:ascii="Noto Sans" w:hAnsi="Noto Sans" w:cs="Noto Sans"/>
          <w:sz w:val="18"/>
          <w:szCs w:val="18"/>
        </w:rPr>
        <w:t>) s</w:t>
      </w:r>
      <w:r w:rsidR="00572C69" w:rsidRPr="00D21F8D">
        <w:rPr>
          <w:rFonts w:ascii="Noto Sans" w:hAnsi="Noto Sans" w:cs="Noto Sans"/>
          <w:sz w:val="18"/>
          <w:szCs w:val="18"/>
        </w:rPr>
        <w:t>trengthen national public development banks to provide long-term finance and counter-cyclical lending</w:t>
      </w:r>
      <w:r w:rsidR="00AE56C6" w:rsidRPr="00D21F8D">
        <w:rPr>
          <w:rFonts w:ascii="Noto Sans" w:hAnsi="Noto Sans" w:cs="Noto Sans"/>
          <w:sz w:val="18"/>
          <w:szCs w:val="18"/>
        </w:rPr>
        <w:t xml:space="preserve">; (ii) </w:t>
      </w:r>
      <w:r w:rsidR="00AE56C6" w:rsidRPr="00D21F8D">
        <w:rPr>
          <w:rFonts w:ascii="Noto Sans" w:hAnsi="Noto Sans" w:cs="Noto Sans"/>
          <w:sz w:val="18"/>
          <w:szCs w:val="18"/>
          <w:lang w:val="en-GB"/>
        </w:rPr>
        <w:t>e</w:t>
      </w:r>
      <w:r w:rsidR="00572C69" w:rsidRPr="00D21F8D">
        <w:rPr>
          <w:rFonts w:ascii="Noto Sans" w:hAnsi="Noto Sans" w:cs="Noto Sans"/>
          <w:sz w:val="18"/>
          <w:szCs w:val="18"/>
          <w:lang w:val="en-GB"/>
        </w:rPr>
        <w:t>stablish</w:t>
      </w:r>
      <w:r w:rsidR="00AE56C6" w:rsidRPr="00D21F8D">
        <w:rPr>
          <w:rFonts w:ascii="Noto Sans" w:hAnsi="Noto Sans" w:cs="Noto Sans"/>
          <w:sz w:val="18"/>
          <w:szCs w:val="18"/>
          <w:lang w:val="en-GB"/>
        </w:rPr>
        <w:t>ing</w:t>
      </w:r>
      <w:r w:rsidR="00572C69" w:rsidRPr="00D21F8D">
        <w:rPr>
          <w:rFonts w:ascii="Noto Sans" w:hAnsi="Noto Sans" w:cs="Noto Sans"/>
          <w:sz w:val="18"/>
          <w:szCs w:val="18"/>
          <w:lang w:val="en-GB"/>
        </w:rPr>
        <w:t xml:space="preserve"> and strengthen</w:t>
      </w:r>
      <w:r w:rsidR="00AE56C6" w:rsidRPr="00D21F8D">
        <w:rPr>
          <w:rFonts w:ascii="Noto Sans" w:hAnsi="Noto Sans" w:cs="Noto Sans"/>
          <w:sz w:val="18"/>
          <w:szCs w:val="18"/>
          <w:lang w:val="en-GB"/>
        </w:rPr>
        <w:t>ing</w:t>
      </w:r>
      <w:r w:rsidR="00572C69" w:rsidRPr="00D21F8D">
        <w:rPr>
          <w:rFonts w:ascii="Noto Sans" w:hAnsi="Noto Sans" w:cs="Noto Sans"/>
          <w:sz w:val="18"/>
          <w:szCs w:val="18"/>
          <w:lang w:val="en-GB"/>
        </w:rPr>
        <w:t xml:space="preserve"> public-private </w:t>
      </w:r>
      <w:r w:rsidR="00572C69" w:rsidRPr="00D21F8D">
        <w:rPr>
          <w:rFonts w:ascii="Noto Sans" w:hAnsi="Noto Sans" w:cs="Noto Sans"/>
          <w:sz w:val="18"/>
          <w:szCs w:val="18"/>
        </w:rPr>
        <w:t xml:space="preserve">alliances </w:t>
      </w:r>
      <w:r w:rsidR="00572C69" w:rsidRPr="00D21F8D">
        <w:rPr>
          <w:rFonts w:ascii="Noto Sans" w:hAnsi="Noto Sans" w:cs="Noto Sans"/>
          <w:sz w:val="18"/>
          <w:szCs w:val="18"/>
          <w:lang w:val="en-GB"/>
        </w:rPr>
        <w:t xml:space="preserve">on </w:t>
      </w:r>
      <w:r w:rsidR="00572C69" w:rsidRPr="00D21F8D">
        <w:rPr>
          <w:rFonts w:ascii="Noto Sans" w:hAnsi="Noto Sans" w:cs="Noto Sans"/>
          <w:sz w:val="18"/>
          <w:szCs w:val="18"/>
        </w:rPr>
        <w:t>structural  transformations</w:t>
      </w:r>
      <w:r w:rsidR="007D3E19" w:rsidRPr="00D21F8D">
        <w:rPr>
          <w:rFonts w:ascii="Noto Sans" w:hAnsi="Noto Sans" w:cs="Noto Sans"/>
          <w:sz w:val="18"/>
          <w:szCs w:val="18"/>
        </w:rPr>
        <w:t xml:space="preserve">, including with a view to overcoming financing coordination failures; </w:t>
      </w:r>
      <w:r w:rsidR="007E05AF" w:rsidRPr="00D21F8D">
        <w:rPr>
          <w:rFonts w:ascii="Noto Sans" w:hAnsi="Noto Sans" w:cs="Noto Sans"/>
          <w:sz w:val="18"/>
          <w:szCs w:val="18"/>
        </w:rPr>
        <w:t>(iii) u</w:t>
      </w:r>
      <w:r w:rsidR="00572C69" w:rsidRPr="00D21F8D">
        <w:rPr>
          <w:rFonts w:ascii="Noto Sans" w:hAnsi="Noto Sans" w:cs="Noto Sans"/>
          <w:sz w:val="18"/>
          <w:szCs w:val="18"/>
        </w:rPr>
        <w:t>ndertak</w:t>
      </w:r>
      <w:r w:rsidR="007E05AF" w:rsidRPr="00D21F8D">
        <w:rPr>
          <w:rFonts w:ascii="Noto Sans" w:hAnsi="Noto Sans" w:cs="Noto Sans"/>
          <w:sz w:val="18"/>
          <w:szCs w:val="18"/>
        </w:rPr>
        <w:t>ing</w:t>
      </w:r>
      <w:r w:rsidR="00572C69" w:rsidRPr="00D21F8D">
        <w:rPr>
          <w:rFonts w:ascii="Noto Sans" w:hAnsi="Noto Sans" w:cs="Noto Sans"/>
          <w:sz w:val="18"/>
          <w:szCs w:val="18"/>
        </w:rPr>
        <w:t xml:space="preserve"> national consultations </w:t>
      </w:r>
      <w:r w:rsidR="007E05AF" w:rsidRPr="00D21F8D">
        <w:rPr>
          <w:rFonts w:ascii="Noto Sans" w:hAnsi="Noto Sans" w:cs="Noto Sans"/>
          <w:sz w:val="18"/>
          <w:szCs w:val="18"/>
        </w:rPr>
        <w:t xml:space="preserve">on </w:t>
      </w:r>
      <w:r w:rsidR="00572C69" w:rsidRPr="00D21F8D">
        <w:rPr>
          <w:rFonts w:ascii="Noto Sans" w:hAnsi="Noto Sans" w:cs="Noto Sans"/>
          <w:sz w:val="18"/>
          <w:szCs w:val="18"/>
        </w:rPr>
        <w:t>country-specific pro-structural transformation macroeconomic frameworks</w:t>
      </w:r>
      <w:r w:rsidR="007E05AF" w:rsidRPr="00D21F8D">
        <w:rPr>
          <w:rFonts w:ascii="Noto Sans" w:hAnsi="Noto Sans" w:cs="Noto Sans"/>
          <w:sz w:val="18"/>
          <w:szCs w:val="18"/>
        </w:rPr>
        <w:t xml:space="preserve"> that </w:t>
      </w:r>
      <w:r w:rsidR="003949B8" w:rsidRPr="00D21F8D">
        <w:rPr>
          <w:rFonts w:ascii="Noto Sans" w:hAnsi="Noto Sans" w:cs="Noto Sans"/>
          <w:sz w:val="18"/>
          <w:szCs w:val="18"/>
        </w:rPr>
        <w:t xml:space="preserve">support stability, decent jobs and </w:t>
      </w:r>
      <w:r w:rsidR="00572C69" w:rsidRPr="00D21F8D">
        <w:rPr>
          <w:rFonts w:ascii="Noto Sans" w:hAnsi="Noto Sans" w:cs="Noto Sans"/>
          <w:sz w:val="18"/>
          <w:szCs w:val="18"/>
        </w:rPr>
        <w:t xml:space="preserve"> actively promote long-term investments in dynamic sectors</w:t>
      </w:r>
      <w:r w:rsidR="003949B8" w:rsidRPr="00D21F8D">
        <w:rPr>
          <w:rFonts w:ascii="Noto Sans" w:hAnsi="Noto Sans" w:cs="Noto Sans"/>
          <w:sz w:val="18"/>
          <w:szCs w:val="18"/>
        </w:rPr>
        <w:t>.</w:t>
      </w:r>
    </w:p>
    <w:p w14:paraId="5BB342B9" w14:textId="71CE45B1" w:rsidR="00511B6E" w:rsidRPr="00D21F8D" w:rsidRDefault="00B0170C" w:rsidP="00936C8A">
      <w:pPr>
        <w:pStyle w:val="ListParagraph"/>
        <w:numPr>
          <w:ilvl w:val="0"/>
          <w:numId w:val="6"/>
        </w:numPr>
        <w:rPr>
          <w:rFonts w:ascii="Noto Sans" w:hAnsi="Noto Sans" w:cs="Noto Sans"/>
          <w:sz w:val="18"/>
          <w:szCs w:val="18"/>
        </w:rPr>
      </w:pPr>
      <w:r w:rsidRPr="00D21F8D">
        <w:rPr>
          <w:rFonts w:ascii="Noto Sans" w:hAnsi="Noto Sans" w:cs="Noto Sans"/>
          <w:sz w:val="18"/>
          <w:szCs w:val="18"/>
        </w:rPr>
        <w:t xml:space="preserve">In these actions, the active involvement of </w:t>
      </w:r>
      <w:r w:rsidR="00097BE7" w:rsidRPr="00D21F8D">
        <w:rPr>
          <w:rFonts w:ascii="Noto Sans" w:hAnsi="Noto Sans" w:cs="Noto Sans"/>
          <w:sz w:val="18"/>
          <w:szCs w:val="18"/>
        </w:rPr>
        <w:t xml:space="preserve">social partners (governments, </w:t>
      </w:r>
      <w:proofErr w:type="gramStart"/>
      <w:r w:rsidR="00097BE7" w:rsidRPr="00D21F8D">
        <w:rPr>
          <w:rFonts w:ascii="Noto Sans" w:hAnsi="Noto Sans" w:cs="Noto Sans"/>
          <w:sz w:val="18"/>
          <w:szCs w:val="18"/>
        </w:rPr>
        <w:t>workers’</w:t>
      </w:r>
      <w:proofErr w:type="gramEnd"/>
      <w:r w:rsidR="00097BE7" w:rsidRPr="00D21F8D">
        <w:rPr>
          <w:rFonts w:ascii="Noto Sans" w:hAnsi="Noto Sans" w:cs="Noto Sans"/>
          <w:sz w:val="18"/>
          <w:szCs w:val="18"/>
        </w:rPr>
        <w:t xml:space="preserve"> and employers’ organizations</w:t>
      </w:r>
      <w:r w:rsidR="00EF0D11" w:rsidRPr="00D21F8D">
        <w:rPr>
          <w:rFonts w:ascii="Noto Sans" w:hAnsi="Noto Sans" w:cs="Noto Sans"/>
          <w:sz w:val="18"/>
          <w:szCs w:val="18"/>
        </w:rPr>
        <w:t xml:space="preserve">) </w:t>
      </w:r>
      <w:r w:rsidRPr="00D21F8D">
        <w:rPr>
          <w:rFonts w:ascii="Noto Sans" w:hAnsi="Noto Sans" w:cs="Noto Sans"/>
          <w:sz w:val="18"/>
          <w:szCs w:val="18"/>
        </w:rPr>
        <w:t>is critical in ensu</w:t>
      </w:r>
      <w:r w:rsidR="00633262" w:rsidRPr="00D21F8D">
        <w:rPr>
          <w:rFonts w:ascii="Noto Sans" w:hAnsi="Noto Sans" w:cs="Noto Sans"/>
          <w:sz w:val="18"/>
          <w:szCs w:val="18"/>
        </w:rPr>
        <w:t xml:space="preserve">ring national buy-in of structural transformation policies and their </w:t>
      </w:r>
      <w:r w:rsidR="00936C8A" w:rsidRPr="00D21F8D">
        <w:rPr>
          <w:rFonts w:ascii="Noto Sans" w:hAnsi="Noto Sans" w:cs="Noto Sans"/>
          <w:sz w:val="18"/>
          <w:szCs w:val="18"/>
        </w:rPr>
        <w:t>financing strategies.</w:t>
      </w:r>
    </w:p>
    <w:p w14:paraId="2B511B58" w14:textId="2BFDB9A4" w:rsidR="00174569" w:rsidRPr="00D21F8D" w:rsidRDefault="00174569" w:rsidP="00D21F8D">
      <w:pPr>
        <w:pStyle w:val="Headinglevel1"/>
        <w:pageBreakBefore w:val="0"/>
        <w:ind w:hanging="360"/>
        <w:rPr>
          <w:sz w:val="28"/>
          <w:szCs w:val="28"/>
        </w:rPr>
      </w:pPr>
      <w:r w:rsidRPr="00D21F8D">
        <w:rPr>
          <w:sz w:val="28"/>
          <w:szCs w:val="28"/>
        </w:rPr>
        <w:t xml:space="preserve">Problem statement </w:t>
      </w:r>
    </w:p>
    <w:p w14:paraId="164A1C8C" w14:textId="4B3E9097" w:rsidR="00D930DE" w:rsidRPr="00D21F8D" w:rsidRDefault="00D930DE" w:rsidP="00D930DE">
      <w:pPr>
        <w:jc w:val="both"/>
        <w:rPr>
          <w:rFonts w:ascii="Noto Sans" w:hAnsi="Noto Sans" w:cs="Noto Sans"/>
          <w:sz w:val="18"/>
          <w:szCs w:val="18"/>
        </w:rPr>
      </w:pPr>
      <w:bookmarkStart w:id="1" w:name="_Hlk176265654"/>
      <w:r w:rsidRPr="00D21F8D">
        <w:rPr>
          <w:rFonts w:ascii="Noto Sans" w:hAnsi="Noto Sans" w:cs="Noto Sans"/>
          <w:sz w:val="18"/>
          <w:szCs w:val="18"/>
        </w:rPr>
        <w:t>Structural transformation—the reallocation of resources and labo</w:t>
      </w:r>
      <w:r w:rsidR="00744FE1" w:rsidRPr="00D21F8D">
        <w:rPr>
          <w:rFonts w:ascii="Noto Sans" w:hAnsi="Noto Sans" w:cs="Noto Sans"/>
          <w:sz w:val="18"/>
          <w:szCs w:val="18"/>
        </w:rPr>
        <w:t>u</w:t>
      </w:r>
      <w:r w:rsidRPr="00D21F8D">
        <w:rPr>
          <w:rFonts w:ascii="Noto Sans" w:hAnsi="Noto Sans" w:cs="Noto Sans"/>
          <w:sz w:val="18"/>
          <w:szCs w:val="18"/>
        </w:rPr>
        <w:t>r from low-productivity to high</w:t>
      </w:r>
      <w:r w:rsidR="00E77A4C" w:rsidRPr="00D21F8D">
        <w:rPr>
          <w:rFonts w:ascii="Noto Sans" w:hAnsi="Noto Sans" w:cs="Noto Sans"/>
          <w:sz w:val="18"/>
          <w:szCs w:val="18"/>
        </w:rPr>
        <w:t>er</w:t>
      </w:r>
      <w:r w:rsidRPr="00D21F8D">
        <w:rPr>
          <w:rFonts w:ascii="Noto Sans" w:hAnsi="Noto Sans" w:cs="Noto Sans"/>
          <w:sz w:val="18"/>
          <w:szCs w:val="18"/>
        </w:rPr>
        <w:t xml:space="preserve">-productivity activities—is central to economic growth, the creation of decent jobs, and overall development. Such a </w:t>
      </w:r>
      <w:r w:rsidRPr="00D21F8D">
        <w:rPr>
          <w:rFonts w:ascii="Noto Sans" w:hAnsi="Noto Sans" w:cs="Noto Sans"/>
          <w:sz w:val="18"/>
          <w:szCs w:val="18"/>
        </w:rPr>
        <w:lastRenderedPageBreak/>
        <w:t>reallocation</w:t>
      </w:r>
      <w:r w:rsidR="003A7259" w:rsidRPr="00D21F8D">
        <w:rPr>
          <w:rFonts w:ascii="Noto Sans" w:hAnsi="Noto Sans" w:cs="Noto Sans"/>
          <w:sz w:val="18"/>
          <w:szCs w:val="18"/>
        </w:rPr>
        <w:t xml:space="preserve"> </w:t>
      </w:r>
      <w:r w:rsidRPr="00D21F8D">
        <w:rPr>
          <w:rFonts w:ascii="Noto Sans" w:hAnsi="Noto Sans" w:cs="Noto Sans"/>
          <w:sz w:val="18"/>
          <w:szCs w:val="18"/>
        </w:rPr>
        <w:t xml:space="preserve">enhances aggregate productivity, which in turn can lead to higher incomes and improved working conditions. Recognizing its importance, </w:t>
      </w:r>
      <w:r w:rsidR="00627579" w:rsidRPr="00D21F8D">
        <w:rPr>
          <w:rFonts w:ascii="Noto Sans" w:hAnsi="Noto Sans" w:cs="Noto Sans"/>
          <w:sz w:val="18"/>
          <w:szCs w:val="18"/>
        </w:rPr>
        <w:t xml:space="preserve">the </w:t>
      </w:r>
      <w:r w:rsidRPr="00D21F8D">
        <w:rPr>
          <w:rFonts w:ascii="Noto Sans" w:hAnsi="Noto Sans" w:cs="Noto Sans"/>
          <w:sz w:val="18"/>
          <w:szCs w:val="18"/>
        </w:rPr>
        <w:t>Sustainable Development Goal</w:t>
      </w:r>
      <w:r w:rsidR="00627579" w:rsidRPr="00D21F8D">
        <w:rPr>
          <w:rFonts w:ascii="Noto Sans" w:hAnsi="Noto Sans" w:cs="Noto Sans"/>
          <w:sz w:val="18"/>
          <w:szCs w:val="18"/>
        </w:rPr>
        <w:t xml:space="preserve">s </w:t>
      </w:r>
      <w:r w:rsidRPr="00D21F8D">
        <w:rPr>
          <w:rFonts w:ascii="Noto Sans" w:hAnsi="Noto Sans" w:cs="Noto Sans"/>
          <w:sz w:val="18"/>
          <w:szCs w:val="18"/>
        </w:rPr>
        <w:t>underscore the critical role of structural transformation in achieving sustainable development.</w:t>
      </w:r>
    </w:p>
    <w:p w14:paraId="2EF43C46" w14:textId="1E54968D" w:rsidR="00231EA4" w:rsidRPr="00D21F8D" w:rsidRDefault="00E14605" w:rsidP="00D930DE">
      <w:pPr>
        <w:jc w:val="both"/>
        <w:rPr>
          <w:rFonts w:ascii="Noto Sans" w:hAnsi="Noto Sans" w:cs="Noto Sans"/>
          <w:sz w:val="18"/>
          <w:szCs w:val="18"/>
        </w:rPr>
      </w:pPr>
      <w:r w:rsidRPr="00D21F8D">
        <w:rPr>
          <w:rFonts w:ascii="Noto Sans" w:hAnsi="Noto Sans" w:cs="Noto Sans"/>
          <w:sz w:val="18"/>
          <w:szCs w:val="18"/>
        </w:rPr>
        <w:t>M</w:t>
      </w:r>
      <w:r w:rsidR="00D930DE" w:rsidRPr="00D21F8D">
        <w:rPr>
          <w:rFonts w:ascii="Noto Sans" w:hAnsi="Noto Sans" w:cs="Noto Sans"/>
          <w:sz w:val="18"/>
          <w:szCs w:val="18"/>
        </w:rPr>
        <w:t xml:space="preserve">any developing countries </w:t>
      </w:r>
      <w:r w:rsidRPr="00D21F8D">
        <w:rPr>
          <w:rFonts w:ascii="Noto Sans" w:hAnsi="Noto Sans" w:cs="Noto Sans"/>
          <w:sz w:val="18"/>
          <w:szCs w:val="18"/>
        </w:rPr>
        <w:t>h</w:t>
      </w:r>
      <w:r w:rsidR="00D83B12" w:rsidRPr="00D21F8D">
        <w:rPr>
          <w:rFonts w:ascii="Noto Sans" w:hAnsi="Noto Sans" w:cs="Noto Sans"/>
          <w:sz w:val="18"/>
          <w:szCs w:val="18"/>
        </w:rPr>
        <w:t xml:space="preserve">owever </w:t>
      </w:r>
      <w:r w:rsidR="00B02B53" w:rsidRPr="00D21F8D">
        <w:rPr>
          <w:rFonts w:ascii="Noto Sans" w:hAnsi="Noto Sans" w:cs="Noto Sans"/>
          <w:sz w:val="18"/>
          <w:szCs w:val="18"/>
        </w:rPr>
        <w:t xml:space="preserve">are </w:t>
      </w:r>
      <w:r w:rsidR="00D930DE" w:rsidRPr="00D21F8D">
        <w:rPr>
          <w:rFonts w:ascii="Noto Sans" w:hAnsi="Noto Sans" w:cs="Noto Sans"/>
          <w:sz w:val="18"/>
          <w:szCs w:val="18"/>
        </w:rPr>
        <w:t>fac</w:t>
      </w:r>
      <w:r w:rsidR="00B02B53" w:rsidRPr="00D21F8D">
        <w:rPr>
          <w:rFonts w:ascii="Noto Sans" w:hAnsi="Noto Sans" w:cs="Noto Sans"/>
          <w:sz w:val="18"/>
          <w:szCs w:val="18"/>
        </w:rPr>
        <w:t>ing</w:t>
      </w:r>
      <w:r w:rsidR="00D930DE" w:rsidRPr="00D21F8D">
        <w:rPr>
          <w:rFonts w:ascii="Noto Sans" w:hAnsi="Noto Sans" w:cs="Noto Sans"/>
          <w:sz w:val="18"/>
          <w:szCs w:val="18"/>
        </w:rPr>
        <w:t xml:space="preserve"> significant challenges in fostering </w:t>
      </w:r>
      <w:r w:rsidR="00B02B53" w:rsidRPr="00D21F8D">
        <w:rPr>
          <w:rFonts w:ascii="Noto Sans" w:hAnsi="Noto Sans" w:cs="Noto Sans"/>
          <w:sz w:val="18"/>
          <w:szCs w:val="18"/>
        </w:rPr>
        <w:t xml:space="preserve">sustained and inclusive structural transformation. </w:t>
      </w:r>
      <w:r w:rsidR="00265E66" w:rsidRPr="00D21F8D">
        <w:rPr>
          <w:rFonts w:ascii="Noto Sans" w:hAnsi="Noto Sans" w:cs="Noto Sans"/>
          <w:sz w:val="18"/>
          <w:szCs w:val="18"/>
        </w:rPr>
        <w:t xml:space="preserve">Rather than following the classical </w:t>
      </w:r>
      <w:r w:rsidR="00D930DE" w:rsidRPr="00D21F8D">
        <w:rPr>
          <w:rFonts w:ascii="Noto Sans" w:hAnsi="Noto Sans" w:cs="Noto Sans"/>
          <w:sz w:val="18"/>
          <w:szCs w:val="18"/>
        </w:rPr>
        <w:t xml:space="preserve">path of structural transformation </w:t>
      </w:r>
      <w:r w:rsidR="00E81D62" w:rsidRPr="00D21F8D">
        <w:rPr>
          <w:rFonts w:ascii="Noto Sans" w:hAnsi="Noto Sans" w:cs="Noto Sans"/>
          <w:sz w:val="18"/>
          <w:szCs w:val="18"/>
        </w:rPr>
        <w:t xml:space="preserve">that involves a </w:t>
      </w:r>
      <w:r w:rsidR="00D930DE" w:rsidRPr="00D21F8D">
        <w:rPr>
          <w:rFonts w:ascii="Noto Sans" w:hAnsi="Noto Sans" w:cs="Noto Sans"/>
          <w:sz w:val="18"/>
          <w:szCs w:val="18"/>
        </w:rPr>
        <w:t xml:space="preserve">shift from agriculture to </w:t>
      </w:r>
      <w:r w:rsidR="000768DF" w:rsidRPr="00D21F8D">
        <w:rPr>
          <w:rFonts w:ascii="Noto Sans" w:hAnsi="Noto Sans" w:cs="Noto Sans"/>
          <w:sz w:val="18"/>
          <w:szCs w:val="18"/>
        </w:rPr>
        <w:t>manufacturing</w:t>
      </w:r>
      <w:r w:rsidR="00E81D62" w:rsidRPr="00D21F8D">
        <w:rPr>
          <w:rFonts w:ascii="Noto Sans" w:hAnsi="Noto Sans" w:cs="Noto Sans"/>
          <w:sz w:val="18"/>
          <w:szCs w:val="18"/>
        </w:rPr>
        <w:t xml:space="preserve"> and then </w:t>
      </w:r>
      <w:r w:rsidR="00D930DE" w:rsidRPr="00D21F8D">
        <w:rPr>
          <w:rFonts w:ascii="Noto Sans" w:hAnsi="Noto Sans" w:cs="Noto Sans"/>
          <w:sz w:val="18"/>
          <w:szCs w:val="18"/>
        </w:rPr>
        <w:t>to services</w:t>
      </w:r>
      <w:r w:rsidR="00E81D62" w:rsidRPr="00D21F8D">
        <w:rPr>
          <w:rFonts w:ascii="Noto Sans" w:hAnsi="Noto Sans" w:cs="Noto Sans"/>
          <w:sz w:val="18"/>
          <w:szCs w:val="18"/>
        </w:rPr>
        <w:t xml:space="preserve">, </w:t>
      </w:r>
      <w:r w:rsidR="00D930DE" w:rsidRPr="00D21F8D">
        <w:rPr>
          <w:rFonts w:ascii="Noto Sans" w:hAnsi="Noto Sans" w:cs="Noto Sans"/>
          <w:sz w:val="18"/>
          <w:szCs w:val="18"/>
        </w:rPr>
        <w:t xml:space="preserve">many developing countries </w:t>
      </w:r>
      <w:r w:rsidR="00E81D62" w:rsidRPr="00D21F8D">
        <w:rPr>
          <w:rFonts w:ascii="Noto Sans" w:hAnsi="Noto Sans" w:cs="Noto Sans"/>
          <w:sz w:val="18"/>
          <w:szCs w:val="18"/>
        </w:rPr>
        <w:t xml:space="preserve">have </w:t>
      </w:r>
      <w:r w:rsidR="00D930DE" w:rsidRPr="00D21F8D">
        <w:rPr>
          <w:rFonts w:ascii="Noto Sans" w:hAnsi="Noto Sans" w:cs="Noto Sans"/>
          <w:sz w:val="18"/>
          <w:szCs w:val="18"/>
        </w:rPr>
        <w:t>experienc</w:t>
      </w:r>
      <w:r w:rsidR="00AB0D26" w:rsidRPr="00D21F8D">
        <w:rPr>
          <w:rFonts w:ascii="Noto Sans" w:hAnsi="Noto Sans" w:cs="Noto Sans"/>
          <w:sz w:val="18"/>
          <w:szCs w:val="18"/>
        </w:rPr>
        <w:t>ed</w:t>
      </w:r>
      <w:r w:rsidR="00D930DE" w:rsidRPr="00D21F8D">
        <w:rPr>
          <w:rFonts w:ascii="Noto Sans" w:hAnsi="Noto Sans" w:cs="Noto Sans"/>
          <w:sz w:val="18"/>
          <w:szCs w:val="18"/>
        </w:rPr>
        <w:t xml:space="preserve"> a direct shift from agriculture to services, bypassing manufacturing—a phenomenon termed “premature deindustrialization” (Dasgupta and Singh 2006; Rodrik 2016). This trajectory raises concerns that these countries may miss out on the benefits that manufacturing has traditionally offered, such as economies of scale and productivity spillovers that drive growth and employment.</w:t>
      </w:r>
    </w:p>
    <w:p w14:paraId="62C600FC" w14:textId="2244AD78" w:rsidR="00D930DE" w:rsidRPr="00D21F8D" w:rsidRDefault="00D930DE" w:rsidP="00D930DE">
      <w:pPr>
        <w:jc w:val="both"/>
        <w:rPr>
          <w:rFonts w:ascii="Noto Sans" w:hAnsi="Noto Sans" w:cs="Noto Sans"/>
          <w:sz w:val="18"/>
          <w:szCs w:val="18"/>
        </w:rPr>
      </w:pPr>
      <w:r w:rsidRPr="00D21F8D">
        <w:rPr>
          <w:rFonts w:ascii="Noto Sans" w:hAnsi="Noto Sans" w:cs="Noto Sans"/>
          <w:sz w:val="18"/>
          <w:szCs w:val="18"/>
        </w:rPr>
        <w:t xml:space="preserve">Furthermore, </w:t>
      </w:r>
      <w:r w:rsidR="00926DF1" w:rsidRPr="00D21F8D">
        <w:rPr>
          <w:rFonts w:ascii="Noto Sans" w:hAnsi="Noto Sans" w:cs="Noto Sans"/>
          <w:sz w:val="18"/>
          <w:szCs w:val="18"/>
        </w:rPr>
        <w:t xml:space="preserve">rather than towards </w:t>
      </w:r>
      <w:r w:rsidR="00D927D7" w:rsidRPr="00D21F8D">
        <w:rPr>
          <w:rFonts w:ascii="Noto Sans" w:hAnsi="Noto Sans" w:cs="Noto Sans"/>
          <w:sz w:val="18"/>
          <w:szCs w:val="18"/>
        </w:rPr>
        <w:t xml:space="preserve">modern, high-productivity services sectors, </w:t>
      </w:r>
      <w:r w:rsidR="00CF68D3" w:rsidRPr="00D21F8D">
        <w:rPr>
          <w:rFonts w:ascii="Noto Sans" w:hAnsi="Noto Sans" w:cs="Noto Sans"/>
          <w:sz w:val="18"/>
          <w:szCs w:val="18"/>
        </w:rPr>
        <w:t xml:space="preserve">structural transformation in today’s </w:t>
      </w:r>
      <w:r w:rsidRPr="00D21F8D">
        <w:rPr>
          <w:rFonts w:ascii="Noto Sans" w:hAnsi="Noto Sans" w:cs="Noto Sans"/>
          <w:sz w:val="18"/>
          <w:szCs w:val="18"/>
        </w:rPr>
        <w:t xml:space="preserve">developing countries has </w:t>
      </w:r>
      <w:r w:rsidR="00CF68D3" w:rsidRPr="00D21F8D">
        <w:rPr>
          <w:rFonts w:ascii="Noto Sans" w:hAnsi="Noto Sans" w:cs="Noto Sans"/>
          <w:sz w:val="18"/>
          <w:szCs w:val="18"/>
        </w:rPr>
        <w:t xml:space="preserve">often </w:t>
      </w:r>
      <w:r w:rsidR="00231EA4" w:rsidRPr="00D21F8D">
        <w:rPr>
          <w:rFonts w:ascii="Noto Sans" w:hAnsi="Noto Sans" w:cs="Noto Sans"/>
          <w:sz w:val="18"/>
          <w:szCs w:val="18"/>
          <w:lang w:val="en-GB"/>
        </w:rPr>
        <w:t xml:space="preserve">been towards traditional, low-productivity services </w:t>
      </w:r>
      <w:r w:rsidR="00231EA4" w:rsidRPr="00D21F8D">
        <w:rPr>
          <w:rFonts w:ascii="Noto Sans" w:hAnsi="Noto Sans" w:cs="Noto Sans"/>
          <w:sz w:val="18"/>
          <w:szCs w:val="18"/>
        </w:rPr>
        <w:t>(Dasgupta, Kim, and Pinedo-Caro 2017).</w:t>
      </w:r>
      <w:r w:rsidRPr="00D21F8D">
        <w:rPr>
          <w:rFonts w:ascii="Noto Sans" w:hAnsi="Noto Sans" w:cs="Noto Sans"/>
          <w:sz w:val="18"/>
          <w:szCs w:val="18"/>
        </w:rPr>
        <w:t xml:space="preserve"> In some cases, </w:t>
      </w:r>
      <w:r w:rsidR="00231EA4" w:rsidRPr="00D21F8D">
        <w:rPr>
          <w:rFonts w:ascii="Noto Sans" w:hAnsi="Noto Sans" w:cs="Noto Sans"/>
          <w:sz w:val="18"/>
          <w:szCs w:val="18"/>
        </w:rPr>
        <w:t xml:space="preserve">structural transformation has even </w:t>
      </w:r>
      <w:r w:rsidRPr="00D21F8D">
        <w:rPr>
          <w:rFonts w:ascii="Noto Sans" w:hAnsi="Noto Sans" w:cs="Noto Sans"/>
          <w:sz w:val="18"/>
          <w:szCs w:val="18"/>
        </w:rPr>
        <w:t xml:space="preserve">shifted from higher-productivity to lower-productivity activities (McMillan et al. 2014). As a result, </w:t>
      </w:r>
      <w:r w:rsidR="005379FC" w:rsidRPr="00D21F8D">
        <w:rPr>
          <w:rFonts w:ascii="Noto Sans" w:hAnsi="Noto Sans" w:cs="Noto Sans"/>
          <w:sz w:val="18"/>
          <w:szCs w:val="18"/>
        </w:rPr>
        <w:t xml:space="preserve">low- and lower-middle income countries have </w:t>
      </w:r>
      <w:r w:rsidRPr="00D21F8D">
        <w:rPr>
          <w:rFonts w:ascii="Noto Sans" w:hAnsi="Noto Sans" w:cs="Noto Sans"/>
          <w:sz w:val="18"/>
          <w:szCs w:val="18"/>
        </w:rPr>
        <w:t>struggled to close the productivity gap with high-income countries</w:t>
      </w:r>
      <w:r w:rsidR="00813E33" w:rsidRPr="00D21F8D">
        <w:rPr>
          <w:rFonts w:ascii="Noto Sans" w:hAnsi="Noto Sans" w:cs="Noto Sans"/>
          <w:sz w:val="18"/>
          <w:szCs w:val="18"/>
        </w:rPr>
        <w:t xml:space="preserve"> (figure 1)</w:t>
      </w:r>
      <w:r w:rsidRPr="00D21F8D">
        <w:rPr>
          <w:rFonts w:ascii="Noto Sans" w:hAnsi="Noto Sans" w:cs="Noto Sans"/>
          <w:sz w:val="18"/>
          <w:szCs w:val="18"/>
        </w:rPr>
        <w:t xml:space="preserve">. </w:t>
      </w:r>
      <w:r w:rsidR="00CC1E50" w:rsidRPr="00D21F8D">
        <w:rPr>
          <w:rFonts w:ascii="Noto Sans" w:hAnsi="Noto Sans" w:cs="Noto Sans"/>
          <w:sz w:val="18"/>
          <w:szCs w:val="18"/>
        </w:rPr>
        <w:t>Moreover, as the world grapples with significant environmental challenges, it is increasingly clear that the "brown" development paths of the past— typically characterized by heavy industrialization at the cost of environmental degradation—are neither feasible nor desirable for today’s developing countries. Instead, these countries are challenged to pursue “green” and more productive patterns of structural transformation.</w:t>
      </w:r>
    </w:p>
    <w:p w14:paraId="626790FE" w14:textId="2053F5A1" w:rsidR="00CA03C1" w:rsidRPr="00D21F8D" w:rsidRDefault="00711219" w:rsidP="00711219">
      <w:pPr>
        <w:jc w:val="both"/>
        <w:rPr>
          <w:rFonts w:ascii="Noto Sans" w:hAnsi="Noto Sans" w:cs="Noto Sans"/>
          <w:b/>
          <w:bCs/>
          <w:sz w:val="18"/>
          <w:szCs w:val="18"/>
        </w:rPr>
      </w:pPr>
      <w:r w:rsidRPr="00D21F8D">
        <w:rPr>
          <w:rFonts w:ascii="Noto Sans" w:hAnsi="Noto Sans" w:cs="Noto Sans"/>
          <w:b/>
          <w:bCs/>
          <w:sz w:val="18"/>
          <w:szCs w:val="18"/>
        </w:rPr>
        <w:t>Figure 1:</w:t>
      </w:r>
      <w:r w:rsidR="00CA03C1" w:rsidRPr="00D21F8D">
        <w:rPr>
          <w:rFonts w:ascii="Noto Sans" w:hAnsi="Noto Sans" w:cs="Noto Sans"/>
          <w:b/>
          <w:bCs/>
          <w:sz w:val="18"/>
          <w:szCs w:val="18"/>
        </w:rPr>
        <w:t xml:space="preserve"> Level of labour productivity as percentage of that in high-income countries</w:t>
      </w:r>
    </w:p>
    <w:p w14:paraId="491F356F" w14:textId="0244B157" w:rsidR="00711219" w:rsidRPr="00D21F8D" w:rsidRDefault="00711219" w:rsidP="004D350A">
      <w:pPr>
        <w:spacing w:after="0" w:line="240" w:lineRule="auto"/>
        <w:jc w:val="both"/>
        <w:rPr>
          <w:rFonts w:ascii="Noto Sans" w:hAnsi="Noto Sans" w:cs="Noto Sans"/>
          <w:sz w:val="18"/>
          <w:szCs w:val="18"/>
        </w:rPr>
      </w:pPr>
      <w:r w:rsidRPr="00D21F8D">
        <w:rPr>
          <w:rFonts w:ascii="Noto Sans" w:hAnsi="Noto Sans" w:cs="Noto Sans"/>
          <w:b/>
          <w:bCs/>
          <w:sz w:val="18"/>
          <w:szCs w:val="18"/>
        </w:rPr>
        <w:t xml:space="preserve"> </w:t>
      </w:r>
      <w:r w:rsidRPr="00D21F8D">
        <w:rPr>
          <w:rFonts w:ascii="Noto Sans" w:hAnsi="Noto Sans" w:cs="Noto Sans"/>
          <w:noProof/>
          <w:sz w:val="18"/>
          <w:szCs w:val="18"/>
        </w:rPr>
        <w:drawing>
          <wp:inline distT="0" distB="0" distL="0" distR="0" wp14:anchorId="0F68E45B" wp14:editId="460D2AD6">
            <wp:extent cx="4572000" cy="2743200"/>
            <wp:effectExtent l="0" t="0" r="0" b="0"/>
            <wp:docPr id="475229238" name="Chart 1">
              <a:extLst xmlns:a="http://schemas.openxmlformats.org/drawingml/2006/main">
                <a:ext uri="{FF2B5EF4-FFF2-40B4-BE49-F238E27FC236}">
                  <a16:creationId xmlns:a16="http://schemas.microsoft.com/office/drawing/2014/main" id="{AEAE1D14-8C6A-A309-F8DB-1DAAE2769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EF3575" w14:textId="607BD6D1" w:rsidR="00CA03C1" w:rsidRPr="00D21F8D" w:rsidRDefault="00CA03C1" w:rsidP="004D350A">
      <w:pPr>
        <w:spacing w:after="0" w:line="240" w:lineRule="auto"/>
        <w:rPr>
          <w:rFonts w:ascii="Noto Sans" w:hAnsi="Noto Sans" w:cs="Noto Sans"/>
          <w:sz w:val="18"/>
          <w:szCs w:val="18"/>
        </w:rPr>
      </w:pPr>
      <w:r w:rsidRPr="00D21F8D">
        <w:rPr>
          <w:rFonts w:ascii="Noto Sans" w:hAnsi="Noto Sans" w:cs="Noto Sans"/>
          <w:sz w:val="18"/>
          <w:szCs w:val="18"/>
        </w:rPr>
        <w:t>Note</w:t>
      </w:r>
      <w:r w:rsidR="004D350A" w:rsidRPr="00D21F8D">
        <w:rPr>
          <w:rFonts w:ascii="Noto Sans" w:hAnsi="Noto Sans" w:cs="Noto Sans"/>
          <w:sz w:val="18"/>
          <w:szCs w:val="18"/>
        </w:rPr>
        <w:t>:</w:t>
      </w:r>
      <w:r w:rsidRPr="00D21F8D">
        <w:rPr>
          <w:rFonts w:ascii="Noto Sans" w:hAnsi="Noto Sans" w:cs="Noto Sans"/>
          <w:sz w:val="18"/>
          <w:szCs w:val="18"/>
        </w:rPr>
        <w:t xml:space="preserve"> Labour productivity measured in output per hour worked </w:t>
      </w:r>
      <w:r w:rsidR="004D350A" w:rsidRPr="00D21F8D">
        <w:rPr>
          <w:rFonts w:ascii="Noto Sans" w:hAnsi="Noto Sans" w:cs="Noto Sans"/>
          <w:sz w:val="18"/>
          <w:szCs w:val="18"/>
        </w:rPr>
        <w:t>(</w:t>
      </w:r>
      <w:r w:rsidRPr="00D21F8D">
        <w:rPr>
          <w:rFonts w:ascii="Noto Sans" w:hAnsi="Noto Sans" w:cs="Noto Sans"/>
          <w:sz w:val="18"/>
          <w:szCs w:val="18"/>
        </w:rPr>
        <w:t>GDP constant 2017 international $ in PPP)</w:t>
      </w:r>
      <w:r w:rsidR="004D350A" w:rsidRPr="00D21F8D">
        <w:rPr>
          <w:rFonts w:ascii="Noto Sans" w:hAnsi="Noto Sans" w:cs="Noto Sans"/>
          <w:sz w:val="18"/>
          <w:szCs w:val="18"/>
        </w:rPr>
        <w:t>.</w:t>
      </w:r>
    </w:p>
    <w:p w14:paraId="261C019E" w14:textId="23D080F0" w:rsidR="00711219" w:rsidRPr="00D21F8D" w:rsidRDefault="00711219" w:rsidP="004D350A">
      <w:pPr>
        <w:spacing w:after="0" w:line="240" w:lineRule="auto"/>
        <w:rPr>
          <w:rFonts w:ascii="Noto Sans" w:hAnsi="Noto Sans" w:cs="Noto Sans"/>
          <w:sz w:val="18"/>
          <w:szCs w:val="18"/>
        </w:rPr>
      </w:pPr>
      <w:r w:rsidRPr="00D21F8D">
        <w:rPr>
          <w:rFonts w:ascii="Noto Sans" w:hAnsi="Noto Sans" w:cs="Noto Sans"/>
          <w:sz w:val="18"/>
          <w:szCs w:val="18"/>
        </w:rPr>
        <w:t xml:space="preserve">Source: ILO modelled estimates, November 2023. </w:t>
      </w:r>
    </w:p>
    <w:p w14:paraId="0E16FEF8" w14:textId="77777777" w:rsidR="00CA03C1" w:rsidRPr="00D21F8D" w:rsidRDefault="00CA03C1" w:rsidP="00CA03C1">
      <w:pPr>
        <w:jc w:val="both"/>
        <w:rPr>
          <w:rFonts w:ascii="Noto Sans" w:hAnsi="Noto Sans" w:cs="Noto Sans"/>
          <w:sz w:val="18"/>
          <w:szCs w:val="18"/>
        </w:rPr>
      </w:pPr>
    </w:p>
    <w:p w14:paraId="78C6BED0" w14:textId="674FBE2E" w:rsidR="00231EA4" w:rsidRPr="00D21F8D" w:rsidRDefault="00F93A81" w:rsidP="000768DF">
      <w:pPr>
        <w:jc w:val="both"/>
        <w:rPr>
          <w:rFonts w:ascii="Noto Sans" w:hAnsi="Noto Sans" w:cs="Noto Sans"/>
          <w:sz w:val="18"/>
          <w:szCs w:val="18"/>
        </w:rPr>
      </w:pPr>
      <w:r w:rsidRPr="00D21F8D">
        <w:rPr>
          <w:rFonts w:ascii="Noto Sans" w:hAnsi="Noto Sans" w:cs="Noto Sans"/>
          <w:sz w:val="18"/>
          <w:szCs w:val="18"/>
        </w:rPr>
        <w:t>The lack of technology, infrastructure and skills are some of the factors behind the</w:t>
      </w:r>
      <w:r w:rsidR="00090461" w:rsidRPr="00D21F8D">
        <w:rPr>
          <w:rFonts w:ascii="Noto Sans" w:hAnsi="Noto Sans" w:cs="Noto Sans"/>
          <w:sz w:val="18"/>
          <w:szCs w:val="18"/>
        </w:rPr>
        <w:t xml:space="preserve"> </w:t>
      </w:r>
      <w:proofErr w:type="spellStart"/>
      <w:r w:rsidR="00090461" w:rsidRPr="00D21F8D">
        <w:rPr>
          <w:rFonts w:ascii="Noto Sans" w:hAnsi="Noto Sans" w:cs="Noto Sans"/>
          <w:sz w:val="18"/>
          <w:szCs w:val="18"/>
        </w:rPr>
        <w:t>unfavourable</w:t>
      </w:r>
      <w:proofErr w:type="spellEnd"/>
      <w:r w:rsidR="00090461" w:rsidRPr="00D21F8D">
        <w:rPr>
          <w:rFonts w:ascii="Noto Sans" w:hAnsi="Noto Sans" w:cs="Noto Sans"/>
          <w:sz w:val="18"/>
          <w:szCs w:val="18"/>
        </w:rPr>
        <w:t xml:space="preserve"> pace and direction of structural transformation. The lack of </w:t>
      </w:r>
      <w:r w:rsidR="001D5175" w:rsidRPr="00D21F8D">
        <w:rPr>
          <w:rFonts w:ascii="Noto Sans" w:hAnsi="Noto Sans" w:cs="Noto Sans"/>
          <w:sz w:val="18"/>
          <w:szCs w:val="18"/>
        </w:rPr>
        <w:t xml:space="preserve">financial resources, in particular long-term </w:t>
      </w:r>
      <w:r w:rsidR="003D0250" w:rsidRPr="00D21F8D">
        <w:rPr>
          <w:rFonts w:ascii="Noto Sans" w:hAnsi="Noto Sans" w:cs="Noto Sans"/>
          <w:sz w:val="18"/>
          <w:szCs w:val="18"/>
        </w:rPr>
        <w:t>financing to support the expansion of productive capacities</w:t>
      </w:r>
      <w:r w:rsidR="00C339A3" w:rsidRPr="00D21F8D">
        <w:rPr>
          <w:rFonts w:ascii="Noto Sans" w:hAnsi="Noto Sans" w:cs="Noto Sans"/>
          <w:sz w:val="18"/>
          <w:szCs w:val="18"/>
        </w:rPr>
        <w:t>,</w:t>
      </w:r>
      <w:r w:rsidR="003D0250" w:rsidRPr="00D21F8D">
        <w:rPr>
          <w:rFonts w:ascii="Noto Sans" w:hAnsi="Noto Sans" w:cs="Noto Sans"/>
          <w:sz w:val="18"/>
          <w:szCs w:val="18"/>
        </w:rPr>
        <w:t xml:space="preserve"> is another. F</w:t>
      </w:r>
      <w:r w:rsidR="00120239" w:rsidRPr="00D21F8D">
        <w:rPr>
          <w:rFonts w:ascii="Noto Sans" w:hAnsi="Noto Sans" w:cs="Noto Sans"/>
          <w:sz w:val="18"/>
          <w:szCs w:val="18"/>
        </w:rPr>
        <w:t>urthermore,</w:t>
      </w:r>
      <w:r w:rsidR="009E7618" w:rsidRPr="00D21F8D">
        <w:rPr>
          <w:rFonts w:ascii="Noto Sans" w:hAnsi="Noto Sans" w:cs="Noto Sans"/>
          <w:sz w:val="18"/>
          <w:szCs w:val="18"/>
        </w:rPr>
        <w:t xml:space="preserve"> </w:t>
      </w:r>
      <w:r w:rsidR="005E1436" w:rsidRPr="00D21F8D">
        <w:rPr>
          <w:rFonts w:ascii="Noto Sans" w:hAnsi="Noto Sans" w:cs="Noto Sans"/>
          <w:sz w:val="18"/>
          <w:szCs w:val="18"/>
        </w:rPr>
        <w:t xml:space="preserve">the </w:t>
      </w:r>
      <w:r w:rsidR="003D0250" w:rsidRPr="00D21F8D">
        <w:rPr>
          <w:rFonts w:ascii="Noto Sans" w:hAnsi="Noto Sans" w:cs="Noto Sans"/>
          <w:sz w:val="18"/>
          <w:szCs w:val="18"/>
        </w:rPr>
        <w:t xml:space="preserve">lack of structural </w:t>
      </w:r>
      <w:r w:rsidR="00310DCC" w:rsidRPr="00D21F8D">
        <w:rPr>
          <w:rFonts w:ascii="Noto Sans" w:hAnsi="Noto Sans" w:cs="Noto Sans"/>
          <w:sz w:val="18"/>
          <w:szCs w:val="18"/>
        </w:rPr>
        <w:t xml:space="preserve">transformation </w:t>
      </w:r>
      <w:r w:rsidR="005E1436" w:rsidRPr="00D21F8D">
        <w:rPr>
          <w:rFonts w:ascii="Noto Sans" w:hAnsi="Noto Sans" w:cs="Noto Sans"/>
          <w:i/>
          <w:iCs/>
          <w:sz w:val="18"/>
          <w:szCs w:val="18"/>
        </w:rPr>
        <w:t>itself</w:t>
      </w:r>
      <w:r w:rsidR="005E1436" w:rsidRPr="00D21F8D">
        <w:rPr>
          <w:rFonts w:ascii="Noto Sans" w:hAnsi="Noto Sans" w:cs="Noto Sans"/>
          <w:sz w:val="18"/>
          <w:szCs w:val="18"/>
        </w:rPr>
        <w:t xml:space="preserve"> </w:t>
      </w:r>
      <w:r w:rsidR="00231EA4" w:rsidRPr="00D21F8D">
        <w:rPr>
          <w:rFonts w:ascii="Noto Sans" w:hAnsi="Noto Sans" w:cs="Noto Sans"/>
          <w:sz w:val="18"/>
          <w:szCs w:val="18"/>
        </w:rPr>
        <w:t xml:space="preserve">exacerbates financing challenges. When the process of structural transformation is stalled, countries </w:t>
      </w:r>
      <w:r w:rsidR="00231EA4" w:rsidRPr="00D21F8D">
        <w:rPr>
          <w:rFonts w:ascii="Noto Sans" w:hAnsi="Noto Sans" w:cs="Noto Sans"/>
          <w:sz w:val="18"/>
          <w:szCs w:val="18"/>
        </w:rPr>
        <w:lastRenderedPageBreak/>
        <w:t xml:space="preserve">remain dependent on traditional sectors like agriculture and the informal economy, which typically generate lower income and tax revenue. As a result, the state's fiscal base remains narrow, limiting its ability to invest in sustainable development. Large segments of the workforce engaged in low-productivity activities not only perpetuates poverty and inequality but also reduces the state’s capacity to mobilize domestic resources through taxation. </w:t>
      </w:r>
      <w:r w:rsidR="003A7259" w:rsidRPr="00D21F8D">
        <w:rPr>
          <w:rFonts w:ascii="Noto Sans" w:hAnsi="Noto Sans" w:cs="Noto Sans"/>
          <w:sz w:val="18"/>
          <w:szCs w:val="18"/>
        </w:rPr>
        <w:t>L</w:t>
      </w:r>
      <w:r w:rsidR="00231EA4" w:rsidRPr="00D21F8D">
        <w:rPr>
          <w:rFonts w:ascii="Noto Sans" w:hAnsi="Noto Sans" w:cs="Noto Sans"/>
          <w:sz w:val="18"/>
          <w:szCs w:val="18"/>
        </w:rPr>
        <w:t>abo</w:t>
      </w:r>
      <w:r w:rsidR="00744FE1" w:rsidRPr="00D21F8D">
        <w:rPr>
          <w:rFonts w:ascii="Noto Sans" w:hAnsi="Noto Sans" w:cs="Noto Sans"/>
          <w:sz w:val="18"/>
          <w:szCs w:val="18"/>
        </w:rPr>
        <w:t>u</w:t>
      </w:r>
      <w:r w:rsidR="00231EA4" w:rsidRPr="00D21F8D">
        <w:rPr>
          <w:rFonts w:ascii="Noto Sans" w:hAnsi="Noto Sans" w:cs="Noto Sans"/>
          <w:sz w:val="18"/>
          <w:szCs w:val="18"/>
        </w:rPr>
        <w:t>r markets with limited formal employment opportunities fail to generate significant social security contributions, further constraining the state's ability to finance social protection systems</w:t>
      </w:r>
      <w:r w:rsidR="00485C84" w:rsidRPr="00D21F8D">
        <w:rPr>
          <w:rFonts w:ascii="Noto Sans" w:hAnsi="Noto Sans" w:cs="Noto Sans"/>
          <w:sz w:val="18"/>
          <w:szCs w:val="18"/>
        </w:rPr>
        <w:t xml:space="preserve"> needed to </w:t>
      </w:r>
      <w:r w:rsidR="00300EFD" w:rsidRPr="00D21F8D">
        <w:rPr>
          <w:rFonts w:ascii="Noto Sans" w:hAnsi="Noto Sans" w:cs="Noto Sans"/>
          <w:sz w:val="18"/>
          <w:szCs w:val="18"/>
        </w:rPr>
        <w:t>cushion the creative destruction processes of structural transformation</w:t>
      </w:r>
      <w:r w:rsidR="00231EA4" w:rsidRPr="00D21F8D">
        <w:rPr>
          <w:rFonts w:ascii="Noto Sans" w:hAnsi="Noto Sans" w:cs="Noto Sans"/>
          <w:sz w:val="18"/>
          <w:szCs w:val="18"/>
        </w:rPr>
        <w:t xml:space="preserve">. Moreover, the absence of structural transformation leaves economies vulnerable to external shocks, such as commodity price fluctuations, which can destabilize public finances. Additionally, inadequate structural transformation </w:t>
      </w:r>
      <w:r w:rsidR="000768DF" w:rsidRPr="00D21F8D">
        <w:rPr>
          <w:rFonts w:ascii="Noto Sans" w:hAnsi="Noto Sans" w:cs="Noto Sans"/>
          <w:sz w:val="18"/>
          <w:szCs w:val="18"/>
        </w:rPr>
        <w:t>can restrict access to international financing</w:t>
      </w:r>
      <w:r w:rsidR="00231EA4" w:rsidRPr="00D21F8D">
        <w:rPr>
          <w:rFonts w:ascii="Noto Sans" w:hAnsi="Noto Sans" w:cs="Noto Sans"/>
          <w:sz w:val="18"/>
          <w:szCs w:val="18"/>
        </w:rPr>
        <w:t>, as countries with low levels of economic diversification are often perceived as high-risk by international investors and lenders, leading to higher borrowing costs and reduced access to credit.</w:t>
      </w:r>
    </w:p>
    <w:bookmarkEnd w:id="1"/>
    <w:p w14:paraId="25A69E5F" w14:textId="55EFC54B" w:rsidR="00EB60C6" w:rsidRPr="00D21F8D" w:rsidRDefault="00EB60C6" w:rsidP="00D21F8D">
      <w:pPr>
        <w:pStyle w:val="Headinglevel1"/>
        <w:pageBreakBefore w:val="0"/>
        <w:ind w:hanging="360"/>
        <w:rPr>
          <w:sz w:val="28"/>
          <w:szCs w:val="28"/>
        </w:rPr>
      </w:pPr>
      <w:r w:rsidRPr="00D21F8D">
        <w:rPr>
          <w:sz w:val="28"/>
          <w:szCs w:val="28"/>
        </w:rPr>
        <w:t xml:space="preserve">Policy solutions </w:t>
      </w:r>
    </w:p>
    <w:p w14:paraId="45E24426" w14:textId="77777777" w:rsidR="002B46AF" w:rsidRPr="00D21F8D" w:rsidRDefault="00744FE1" w:rsidP="002B46AF">
      <w:pPr>
        <w:jc w:val="both"/>
        <w:rPr>
          <w:rFonts w:ascii="Noto Sans" w:hAnsi="Noto Sans" w:cs="Noto Sans"/>
          <w:sz w:val="18"/>
          <w:szCs w:val="18"/>
        </w:rPr>
      </w:pPr>
      <w:r w:rsidRPr="00D21F8D">
        <w:rPr>
          <w:rFonts w:ascii="Noto Sans" w:hAnsi="Noto Sans" w:cs="Noto Sans"/>
          <w:sz w:val="18"/>
          <w:szCs w:val="18"/>
        </w:rPr>
        <w:t xml:space="preserve">Given the challenges, a greater appreciation and consensus has emerged on the need for the structural transformation process to be shaped and governed to achieve the desired economic, </w:t>
      </w:r>
      <w:proofErr w:type="gramStart"/>
      <w:r w:rsidRPr="00D21F8D">
        <w:rPr>
          <w:rFonts w:ascii="Noto Sans" w:hAnsi="Noto Sans" w:cs="Noto Sans"/>
          <w:sz w:val="18"/>
          <w:szCs w:val="18"/>
        </w:rPr>
        <w:t>social</w:t>
      </w:r>
      <w:proofErr w:type="gramEnd"/>
      <w:r w:rsidRPr="00D21F8D">
        <w:rPr>
          <w:rFonts w:ascii="Noto Sans" w:hAnsi="Noto Sans" w:cs="Noto Sans"/>
          <w:sz w:val="18"/>
          <w:szCs w:val="18"/>
        </w:rPr>
        <w:t xml:space="preserve"> and labour market outcomes, including through industrial policies (or sectoral policies) whereby governments make proactive strategic efforts to support specific industries or sectors. These policies </w:t>
      </w:r>
      <w:r w:rsidR="001129C0" w:rsidRPr="00D21F8D">
        <w:rPr>
          <w:rFonts w:ascii="Noto Sans" w:hAnsi="Noto Sans" w:cs="Noto Sans"/>
          <w:sz w:val="18"/>
          <w:szCs w:val="18"/>
        </w:rPr>
        <w:t xml:space="preserve">have enjoyed a renaissance in recent years, in both developing and advanced economies. </w:t>
      </w:r>
      <w:r w:rsidR="00427489" w:rsidRPr="00D21F8D">
        <w:rPr>
          <w:rFonts w:ascii="Noto Sans" w:hAnsi="Noto Sans" w:cs="Noto Sans"/>
          <w:sz w:val="18"/>
          <w:szCs w:val="18"/>
        </w:rPr>
        <w:t xml:space="preserve">Industrial policies are instrumental in fostering inclusive structural transformation. </w:t>
      </w:r>
      <w:r w:rsidR="002B46AF" w:rsidRPr="00D21F8D">
        <w:rPr>
          <w:rFonts w:ascii="Noto Sans" w:hAnsi="Noto Sans" w:cs="Noto Sans"/>
          <w:sz w:val="18"/>
          <w:szCs w:val="18"/>
        </w:rPr>
        <w:t>Contemporary industrial policies are playing an important role in facilitating the transition towards net zero, promoting diversification and structural change, and nurturing strategic sectors. Key success factors for such policies include an in-depth self-discovery process, the availability of sufficient finances and functioning institutions and the active engagement of a broad range of stakeholders (Kucera, Schmidt-Klau and Weiss 2020).</w:t>
      </w:r>
    </w:p>
    <w:p w14:paraId="570C28C9" w14:textId="5629944F" w:rsidR="00427489" w:rsidRPr="00D21F8D" w:rsidRDefault="00427489" w:rsidP="00744FE1">
      <w:pPr>
        <w:jc w:val="both"/>
        <w:rPr>
          <w:rFonts w:ascii="Noto Sans" w:hAnsi="Noto Sans" w:cs="Noto Sans"/>
          <w:sz w:val="18"/>
          <w:szCs w:val="18"/>
        </w:rPr>
      </w:pPr>
      <w:r w:rsidRPr="00D21F8D">
        <w:rPr>
          <w:rFonts w:ascii="Noto Sans" w:hAnsi="Noto Sans" w:cs="Noto Sans"/>
          <w:sz w:val="18"/>
          <w:szCs w:val="18"/>
        </w:rPr>
        <w:t>While traditional industrial policy tools such as public subsidies and credit guarantees remain relevant, modern industrial policies increasingly focus on sustained public-private collaboration around shared transformational goals (</w:t>
      </w:r>
      <w:proofErr w:type="spellStart"/>
      <w:r w:rsidRPr="00D21F8D">
        <w:rPr>
          <w:rFonts w:ascii="Noto Sans" w:hAnsi="Noto Sans" w:cs="Noto Sans"/>
          <w:sz w:val="18"/>
          <w:szCs w:val="18"/>
        </w:rPr>
        <w:t>Aiginger</w:t>
      </w:r>
      <w:proofErr w:type="spellEnd"/>
      <w:r w:rsidRPr="00D21F8D">
        <w:rPr>
          <w:rFonts w:ascii="Noto Sans" w:hAnsi="Noto Sans" w:cs="Noto Sans"/>
          <w:sz w:val="18"/>
          <w:szCs w:val="18"/>
        </w:rPr>
        <w:t xml:space="preserve"> and Rodrik, 2020). Such collaboration is crucial for overcoming coordination failures, particularly in financing. Often, multiple investments or actions must occur simultaneously for a sector or project to become viable over the long term, yet independent actors operating in their own self-interest struggle to align these investments. Public-private </w:t>
      </w:r>
      <w:r w:rsidR="00FC043D" w:rsidRPr="00D21F8D">
        <w:rPr>
          <w:rFonts w:ascii="Noto Sans" w:hAnsi="Noto Sans" w:cs="Noto Sans"/>
          <w:sz w:val="18"/>
          <w:szCs w:val="18"/>
        </w:rPr>
        <w:t>alliances</w:t>
      </w:r>
      <w:r w:rsidRPr="00D21F8D">
        <w:rPr>
          <w:rFonts w:ascii="Noto Sans" w:hAnsi="Noto Sans" w:cs="Noto Sans"/>
          <w:sz w:val="18"/>
          <w:szCs w:val="18"/>
        </w:rPr>
        <w:t>, which include employer</w:t>
      </w:r>
      <w:r w:rsidR="00FC043D" w:rsidRPr="00D21F8D">
        <w:rPr>
          <w:rFonts w:ascii="Noto Sans" w:hAnsi="Noto Sans" w:cs="Noto Sans"/>
          <w:sz w:val="18"/>
          <w:szCs w:val="18"/>
        </w:rPr>
        <w:t>s’</w:t>
      </w:r>
      <w:r w:rsidRPr="00D21F8D">
        <w:rPr>
          <w:rFonts w:ascii="Noto Sans" w:hAnsi="Noto Sans" w:cs="Noto Sans"/>
          <w:sz w:val="18"/>
          <w:szCs w:val="18"/>
        </w:rPr>
        <w:t xml:space="preserve"> and worker</w:t>
      </w:r>
      <w:r w:rsidR="00FC043D" w:rsidRPr="00D21F8D">
        <w:rPr>
          <w:rFonts w:ascii="Noto Sans" w:hAnsi="Noto Sans" w:cs="Noto Sans"/>
          <w:sz w:val="18"/>
          <w:szCs w:val="18"/>
        </w:rPr>
        <w:t>s’</w:t>
      </w:r>
      <w:r w:rsidRPr="00D21F8D">
        <w:rPr>
          <w:rFonts w:ascii="Noto Sans" w:hAnsi="Noto Sans" w:cs="Noto Sans"/>
          <w:sz w:val="18"/>
          <w:szCs w:val="18"/>
        </w:rPr>
        <w:t xml:space="preserve"> organizations, </w:t>
      </w:r>
      <w:r w:rsidR="00FC043D" w:rsidRPr="00D21F8D">
        <w:rPr>
          <w:rFonts w:ascii="Noto Sans" w:hAnsi="Noto Sans" w:cs="Noto Sans"/>
          <w:sz w:val="18"/>
          <w:szCs w:val="18"/>
        </w:rPr>
        <w:t xml:space="preserve">can </w:t>
      </w:r>
      <w:r w:rsidRPr="00D21F8D">
        <w:rPr>
          <w:rFonts w:ascii="Noto Sans" w:hAnsi="Noto Sans" w:cs="Noto Sans"/>
          <w:sz w:val="18"/>
          <w:szCs w:val="18"/>
        </w:rPr>
        <w:t xml:space="preserve">play a key role in coordinating </w:t>
      </w:r>
      <w:r w:rsidR="00C4252A" w:rsidRPr="00D21F8D">
        <w:rPr>
          <w:rFonts w:ascii="Noto Sans" w:hAnsi="Noto Sans" w:cs="Noto Sans"/>
          <w:sz w:val="18"/>
          <w:szCs w:val="18"/>
        </w:rPr>
        <w:t xml:space="preserve">financing </w:t>
      </w:r>
      <w:r w:rsidRPr="00D21F8D">
        <w:rPr>
          <w:rFonts w:ascii="Noto Sans" w:hAnsi="Noto Sans" w:cs="Noto Sans"/>
          <w:sz w:val="18"/>
          <w:szCs w:val="18"/>
        </w:rPr>
        <w:t>flows, addressing market failures, and de-risking investments. Public development banks</w:t>
      </w:r>
      <w:proofErr w:type="gramStart"/>
      <w:r w:rsidRPr="00D21F8D">
        <w:rPr>
          <w:rFonts w:ascii="Noto Sans" w:hAnsi="Noto Sans" w:cs="Noto Sans"/>
          <w:sz w:val="18"/>
          <w:szCs w:val="18"/>
        </w:rPr>
        <w:t>, in particular, are</w:t>
      </w:r>
      <w:proofErr w:type="gramEnd"/>
      <w:r w:rsidRPr="00D21F8D">
        <w:rPr>
          <w:rFonts w:ascii="Noto Sans" w:hAnsi="Noto Sans" w:cs="Noto Sans"/>
          <w:sz w:val="18"/>
          <w:szCs w:val="18"/>
        </w:rPr>
        <w:t xml:space="preserve"> vital in bridging the short-term outlook of private financial institutions with the longer-term investment horizons required for s</w:t>
      </w:r>
      <w:r w:rsidR="00C4252A" w:rsidRPr="00D21F8D">
        <w:rPr>
          <w:rFonts w:ascii="Noto Sans" w:hAnsi="Noto Sans" w:cs="Noto Sans"/>
          <w:sz w:val="18"/>
          <w:szCs w:val="18"/>
        </w:rPr>
        <w:t xml:space="preserve">tructural </w:t>
      </w:r>
      <w:r w:rsidRPr="00D21F8D">
        <w:rPr>
          <w:rFonts w:ascii="Noto Sans" w:hAnsi="Noto Sans" w:cs="Noto Sans"/>
          <w:sz w:val="18"/>
          <w:szCs w:val="18"/>
        </w:rPr>
        <w:t>transformation.</w:t>
      </w:r>
    </w:p>
    <w:p w14:paraId="615E8668" w14:textId="78C6E8E7" w:rsidR="00DE1C3D" w:rsidRPr="00D21F8D" w:rsidRDefault="001E42DB" w:rsidP="00DE5E8F">
      <w:pPr>
        <w:jc w:val="both"/>
        <w:rPr>
          <w:rFonts w:ascii="Noto Sans" w:hAnsi="Noto Sans" w:cs="Noto Sans"/>
          <w:sz w:val="18"/>
          <w:szCs w:val="18"/>
          <w:lang w:val="en-GB"/>
        </w:rPr>
      </w:pPr>
      <w:r w:rsidRPr="00D21F8D">
        <w:rPr>
          <w:rFonts w:ascii="Noto Sans" w:hAnsi="Noto Sans" w:cs="Noto Sans"/>
          <w:sz w:val="18"/>
          <w:szCs w:val="18"/>
        </w:rPr>
        <w:t>The macroeconomic environment plays an important role in facilitating structural transformation but also in determining the cost of capital (</w:t>
      </w:r>
      <w:r w:rsidRPr="00D21F8D">
        <w:rPr>
          <w:rFonts w:ascii="Noto Sans" w:hAnsi="Noto Sans" w:cs="Noto Sans"/>
          <w:sz w:val="18"/>
          <w:szCs w:val="18"/>
          <w:lang w:val="en-GB"/>
        </w:rPr>
        <w:t xml:space="preserve">United Nations 2023). Macroeconomic policies are typically geared towards maintaining stability, whether in terms of prices or </w:t>
      </w:r>
      <w:r w:rsidR="00DE5E8F" w:rsidRPr="00D21F8D">
        <w:rPr>
          <w:rFonts w:ascii="Noto Sans" w:hAnsi="Noto Sans" w:cs="Noto Sans"/>
          <w:sz w:val="18"/>
          <w:szCs w:val="18"/>
          <w:lang w:val="en-GB"/>
        </w:rPr>
        <w:t xml:space="preserve">public finances, but it has become clear that </w:t>
      </w:r>
      <w:r w:rsidRPr="00D21F8D">
        <w:rPr>
          <w:rFonts w:ascii="Noto Sans" w:hAnsi="Noto Sans" w:cs="Noto Sans"/>
          <w:sz w:val="18"/>
          <w:szCs w:val="18"/>
          <w:lang w:val="en-GB"/>
        </w:rPr>
        <w:t xml:space="preserve">maintaining stability alone </w:t>
      </w:r>
      <w:r w:rsidR="00DE5E8F" w:rsidRPr="00D21F8D">
        <w:rPr>
          <w:rFonts w:ascii="Noto Sans" w:hAnsi="Noto Sans" w:cs="Noto Sans"/>
          <w:sz w:val="18"/>
          <w:szCs w:val="18"/>
          <w:lang w:val="en-GB"/>
        </w:rPr>
        <w:t>is</w:t>
      </w:r>
      <w:r w:rsidRPr="00D21F8D">
        <w:rPr>
          <w:rFonts w:ascii="Noto Sans" w:hAnsi="Noto Sans" w:cs="Noto Sans"/>
          <w:sz w:val="18"/>
          <w:szCs w:val="18"/>
          <w:lang w:val="en-GB"/>
        </w:rPr>
        <w:t xml:space="preserve"> insufficient to support sustained and inclusive structural transformation and broad-based productive employment creation</w:t>
      </w:r>
      <w:r w:rsidR="00DE5E8F" w:rsidRPr="00D21F8D">
        <w:rPr>
          <w:rFonts w:ascii="Noto Sans" w:hAnsi="Noto Sans" w:cs="Noto Sans"/>
          <w:sz w:val="18"/>
          <w:szCs w:val="18"/>
          <w:lang w:val="en-GB"/>
        </w:rPr>
        <w:t xml:space="preserve">. </w:t>
      </w:r>
      <w:r w:rsidRPr="00D21F8D">
        <w:rPr>
          <w:rFonts w:ascii="Noto Sans" w:hAnsi="Noto Sans" w:cs="Noto Sans"/>
          <w:sz w:val="18"/>
          <w:szCs w:val="18"/>
          <w:lang w:val="en-GB"/>
        </w:rPr>
        <w:t>The Great Recession and the COVID-19 pandemic</w:t>
      </w:r>
      <w:r w:rsidR="00DE5E8F" w:rsidRPr="00D21F8D">
        <w:rPr>
          <w:rFonts w:ascii="Noto Sans" w:hAnsi="Noto Sans" w:cs="Noto Sans"/>
          <w:sz w:val="18"/>
          <w:szCs w:val="18"/>
          <w:lang w:val="en-GB"/>
        </w:rPr>
        <w:t xml:space="preserve"> and its aftermath</w:t>
      </w:r>
      <w:r w:rsidRPr="00D21F8D">
        <w:rPr>
          <w:rFonts w:ascii="Noto Sans" w:hAnsi="Noto Sans" w:cs="Noto Sans"/>
          <w:sz w:val="18"/>
          <w:szCs w:val="18"/>
          <w:lang w:val="en-GB"/>
        </w:rPr>
        <w:t xml:space="preserve"> have led to a reconsideration of macroeconomic policies, including a greater appreciation of counter-cyclical fiscal and monetary policies in fighting recessions and of policy frameworks that support</w:t>
      </w:r>
      <w:r w:rsidR="00DE5E8F" w:rsidRPr="00D21F8D">
        <w:rPr>
          <w:rFonts w:ascii="Noto Sans" w:hAnsi="Noto Sans" w:cs="Noto Sans"/>
          <w:sz w:val="18"/>
          <w:szCs w:val="18"/>
          <w:lang w:val="en-GB"/>
        </w:rPr>
        <w:t xml:space="preserve"> productive jobs, </w:t>
      </w:r>
      <w:proofErr w:type="gramStart"/>
      <w:r w:rsidR="00DE5E8F" w:rsidRPr="00D21F8D">
        <w:rPr>
          <w:rFonts w:ascii="Noto Sans" w:hAnsi="Noto Sans" w:cs="Noto Sans"/>
          <w:sz w:val="18"/>
          <w:szCs w:val="18"/>
          <w:lang w:val="en-GB"/>
        </w:rPr>
        <w:t>inequality</w:t>
      </w:r>
      <w:proofErr w:type="gramEnd"/>
      <w:r w:rsidR="00DE5E8F" w:rsidRPr="00D21F8D">
        <w:rPr>
          <w:rFonts w:ascii="Noto Sans" w:hAnsi="Noto Sans" w:cs="Noto Sans"/>
          <w:sz w:val="18"/>
          <w:szCs w:val="18"/>
          <w:lang w:val="en-GB"/>
        </w:rPr>
        <w:t xml:space="preserve"> and climate change. </w:t>
      </w:r>
      <w:r w:rsidR="00B512B1" w:rsidRPr="00D21F8D">
        <w:rPr>
          <w:rFonts w:ascii="Noto Sans" w:hAnsi="Noto Sans" w:cs="Noto Sans"/>
          <w:sz w:val="18"/>
          <w:szCs w:val="18"/>
          <w:lang w:val="en-GB"/>
        </w:rPr>
        <w:t>Indeed, in a time of increased disruption and income dispersion from digital transformation and climate change, maximizing the synergy between production, jobs and distribution within an economy needs to be a central priority of macroeconomic policy (Samans 2024).</w:t>
      </w:r>
      <w:r w:rsidR="00C4252A" w:rsidRPr="00D21F8D">
        <w:rPr>
          <w:rFonts w:ascii="Noto Sans" w:hAnsi="Noto Sans" w:cs="Noto Sans"/>
          <w:sz w:val="18"/>
          <w:szCs w:val="18"/>
          <w:lang w:val="en-GB"/>
        </w:rPr>
        <w:t xml:space="preserve"> Building </w:t>
      </w:r>
      <w:r w:rsidR="00DE1C3D" w:rsidRPr="00D21F8D">
        <w:rPr>
          <w:rFonts w:ascii="Noto Sans" w:hAnsi="Noto Sans" w:cs="Noto Sans"/>
          <w:sz w:val="18"/>
          <w:szCs w:val="18"/>
          <w:lang w:val="en-GB"/>
        </w:rPr>
        <w:t xml:space="preserve">on these developments, </w:t>
      </w:r>
      <w:r w:rsidR="00DE1C3D" w:rsidRPr="00D21F8D">
        <w:rPr>
          <w:rFonts w:ascii="Noto Sans" w:hAnsi="Noto Sans" w:cs="Noto Sans"/>
          <w:sz w:val="18"/>
          <w:szCs w:val="18"/>
        </w:rPr>
        <w:t>pro-</w:t>
      </w:r>
      <w:r w:rsidR="00DE1C3D" w:rsidRPr="00D21F8D">
        <w:rPr>
          <w:rFonts w:ascii="Noto Sans" w:hAnsi="Noto Sans" w:cs="Noto Sans"/>
          <w:sz w:val="18"/>
          <w:szCs w:val="18"/>
        </w:rPr>
        <w:lastRenderedPageBreak/>
        <w:t xml:space="preserve">structural transformation macroeconomic policy frameworks, tailored to country circumstances, can </w:t>
      </w:r>
      <w:r w:rsidR="00680FDD" w:rsidRPr="00D21F8D">
        <w:rPr>
          <w:rFonts w:ascii="Noto Sans" w:hAnsi="Noto Sans" w:cs="Noto Sans"/>
          <w:sz w:val="18"/>
          <w:szCs w:val="18"/>
        </w:rPr>
        <w:t>influ</w:t>
      </w:r>
      <w:r w:rsidR="00CE2D2A" w:rsidRPr="00D21F8D">
        <w:rPr>
          <w:rFonts w:ascii="Noto Sans" w:hAnsi="Noto Sans" w:cs="Noto Sans"/>
          <w:sz w:val="18"/>
          <w:szCs w:val="18"/>
        </w:rPr>
        <w:t>ence the financing landscape for countries</w:t>
      </w:r>
      <w:r w:rsidR="00DE1C3D" w:rsidRPr="00D21F8D">
        <w:rPr>
          <w:rFonts w:ascii="Noto Sans" w:hAnsi="Noto Sans" w:cs="Noto Sans"/>
          <w:sz w:val="18"/>
          <w:szCs w:val="18"/>
        </w:rPr>
        <w:t>.</w:t>
      </w:r>
    </w:p>
    <w:p w14:paraId="7D0C4FB8" w14:textId="3AA5C187" w:rsidR="00CE2D2A" w:rsidRPr="00D21F8D" w:rsidRDefault="00FD658A" w:rsidP="00EC07C4">
      <w:pPr>
        <w:jc w:val="both"/>
        <w:rPr>
          <w:rFonts w:ascii="Noto Sans" w:hAnsi="Noto Sans" w:cs="Noto Sans"/>
          <w:sz w:val="18"/>
          <w:szCs w:val="18"/>
          <w:lang w:val="en-GB"/>
        </w:rPr>
      </w:pPr>
      <w:r w:rsidRPr="00D21F8D">
        <w:rPr>
          <w:rFonts w:ascii="Noto Sans" w:hAnsi="Noto Sans" w:cs="Noto Sans"/>
          <w:sz w:val="18"/>
          <w:szCs w:val="18"/>
        </w:rPr>
        <w:t xml:space="preserve">Mobilizing the financing needed to support structural transformation requires a coordinated approach. This involves not only public-private collaboration and coherent macroeconomic frameworks but also multilateral cooperation. These elements form the foundation of the United Nations Global Accelerator on Jobs and Social Protection for Just Transitions. The Accelerator aims to bring together member states, international financial institutions, social partners, civil society, and the private sector to help create 400 million decent jobs—particularly in the green, digital, and care economies—and extend social protection coverage to the 4 billion people currently excluded. </w:t>
      </w:r>
      <w:r w:rsidR="00BE74F2" w:rsidRPr="00D21F8D">
        <w:rPr>
          <w:rFonts w:ascii="Noto Sans" w:hAnsi="Noto Sans" w:cs="Noto Sans"/>
          <w:sz w:val="18"/>
          <w:szCs w:val="18"/>
        </w:rPr>
        <w:t xml:space="preserve">Through the Accelerator, </w:t>
      </w:r>
      <w:r w:rsidR="008247EB" w:rsidRPr="00D21F8D">
        <w:rPr>
          <w:rFonts w:ascii="Noto Sans" w:hAnsi="Noto Sans" w:cs="Noto Sans"/>
          <w:sz w:val="18"/>
          <w:szCs w:val="18"/>
        </w:rPr>
        <w:t xml:space="preserve">integrated </w:t>
      </w:r>
      <w:r w:rsidRPr="00D21F8D">
        <w:rPr>
          <w:rFonts w:ascii="Noto Sans" w:hAnsi="Noto Sans" w:cs="Noto Sans"/>
          <w:sz w:val="18"/>
          <w:szCs w:val="18"/>
        </w:rPr>
        <w:t>national frameworks for the adequate and sustainable financing of social protection and employment initiatives, both essential for long-term structural transformation</w:t>
      </w:r>
      <w:r w:rsidR="008247EB" w:rsidRPr="00D21F8D">
        <w:rPr>
          <w:rFonts w:ascii="Noto Sans" w:hAnsi="Noto Sans" w:cs="Noto Sans"/>
          <w:sz w:val="18"/>
          <w:szCs w:val="18"/>
        </w:rPr>
        <w:t>, can be supported and implemented</w:t>
      </w:r>
      <w:r w:rsidR="00D21F8D">
        <w:rPr>
          <w:rFonts w:ascii="Noto Sans" w:hAnsi="Noto Sans" w:cs="Noto Sans"/>
          <w:sz w:val="18"/>
          <w:szCs w:val="18"/>
        </w:rPr>
        <w:t>.</w:t>
      </w:r>
    </w:p>
    <w:p w14:paraId="4A15F5A3" w14:textId="69CE9FF1" w:rsidR="005A3F61" w:rsidRPr="00D21F8D" w:rsidRDefault="005A3F61" w:rsidP="00D21F8D">
      <w:pPr>
        <w:pStyle w:val="Headinglevel1"/>
        <w:pageBreakBefore w:val="0"/>
        <w:ind w:hanging="360"/>
        <w:rPr>
          <w:sz w:val="28"/>
          <w:szCs w:val="28"/>
        </w:rPr>
      </w:pPr>
      <w:r w:rsidRPr="00D21F8D">
        <w:rPr>
          <w:sz w:val="28"/>
          <w:szCs w:val="28"/>
        </w:rPr>
        <w:t xml:space="preserve">Specific recommendations for FFD4 </w:t>
      </w:r>
    </w:p>
    <w:p w14:paraId="6840C791" w14:textId="7FBF0037" w:rsidR="00122FB5" w:rsidRPr="00D21F8D" w:rsidRDefault="009C3498" w:rsidP="00EC07C4">
      <w:pPr>
        <w:jc w:val="both"/>
        <w:rPr>
          <w:rFonts w:ascii="Noto Sans" w:hAnsi="Noto Sans" w:cs="Noto Sans"/>
          <w:sz w:val="18"/>
          <w:szCs w:val="18"/>
          <w:lang w:val="en-GB"/>
        </w:rPr>
      </w:pPr>
      <w:r w:rsidRPr="00D21F8D">
        <w:rPr>
          <w:rFonts w:ascii="Noto Sans" w:hAnsi="Noto Sans" w:cs="Noto Sans"/>
          <w:sz w:val="18"/>
          <w:szCs w:val="18"/>
        </w:rPr>
        <w:t>The Outcome document of FFD4 should: </w:t>
      </w:r>
    </w:p>
    <w:p w14:paraId="04FA1B8C" w14:textId="42AA48B2" w:rsidR="00122FB5" w:rsidRPr="00D21F8D" w:rsidRDefault="00122FB5" w:rsidP="00122FB5">
      <w:pPr>
        <w:rPr>
          <w:rFonts w:ascii="Noto Sans" w:hAnsi="Noto Sans" w:cs="Noto Sans"/>
          <w:sz w:val="18"/>
          <w:szCs w:val="18"/>
        </w:rPr>
      </w:pPr>
      <w:r w:rsidRPr="00D21F8D">
        <w:rPr>
          <w:rFonts w:ascii="Noto Sans" w:hAnsi="Noto Sans" w:cs="Noto Sans"/>
          <w:b/>
          <w:bCs/>
          <w:sz w:val="18"/>
          <w:szCs w:val="18"/>
        </w:rPr>
        <w:t xml:space="preserve">Strengthen national public development banks to provide long-term finance and counter-cyclical lending, thereby contributing to structural transformation and the SDGs. </w:t>
      </w:r>
      <w:r w:rsidRPr="00D21F8D">
        <w:rPr>
          <w:rFonts w:ascii="Noto Sans" w:hAnsi="Noto Sans" w:cs="Noto Sans"/>
          <w:sz w:val="18"/>
          <w:szCs w:val="18"/>
          <w:lang w:val="en-GB"/>
        </w:rPr>
        <w:t xml:space="preserve">National public development banks (PDBs) </w:t>
      </w:r>
      <w:r w:rsidRPr="00D21F8D">
        <w:rPr>
          <w:rFonts w:ascii="Noto Sans" w:hAnsi="Noto Sans" w:cs="Noto Sans"/>
          <w:sz w:val="18"/>
          <w:szCs w:val="18"/>
        </w:rPr>
        <w:t>can</w:t>
      </w:r>
      <w:r w:rsidR="002304DC" w:rsidRPr="00D21F8D">
        <w:rPr>
          <w:rFonts w:ascii="Noto Sans" w:hAnsi="Noto Sans" w:cs="Noto Sans"/>
          <w:sz w:val="18"/>
          <w:szCs w:val="18"/>
        </w:rPr>
        <w:t xml:space="preserve"> provide</w:t>
      </w:r>
      <w:r w:rsidRPr="00D21F8D">
        <w:rPr>
          <w:rFonts w:ascii="Noto Sans" w:hAnsi="Noto Sans" w:cs="Noto Sans"/>
          <w:sz w:val="18"/>
          <w:szCs w:val="18"/>
        </w:rPr>
        <w:t xml:space="preserve"> </w:t>
      </w:r>
      <w:r w:rsidRPr="00D21F8D">
        <w:rPr>
          <w:rFonts w:ascii="Noto Sans" w:hAnsi="Noto Sans" w:cs="Noto Sans"/>
          <w:sz w:val="18"/>
          <w:szCs w:val="18"/>
          <w:lang w:val="en-GB"/>
        </w:rPr>
        <w:t>the long-term financing that private capital often avoids due to perceived risks</w:t>
      </w:r>
      <w:r w:rsidRPr="00D21F8D">
        <w:rPr>
          <w:rFonts w:ascii="Noto Sans" w:hAnsi="Noto Sans" w:cs="Noto Sans"/>
          <w:sz w:val="18"/>
          <w:szCs w:val="18"/>
        </w:rPr>
        <w:t xml:space="preserve"> and coordination failures</w:t>
      </w:r>
      <w:r w:rsidRPr="00D21F8D">
        <w:rPr>
          <w:rFonts w:ascii="Noto Sans" w:hAnsi="Noto Sans" w:cs="Noto Sans"/>
          <w:sz w:val="18"/>
          <w:szCs w:val="18"/>
          <w:lang w:val="en-GB"/>
        </w:rPr>
        <w:t xml:space="preserve">. By offering counter-cyclical lending during economic downturns, PDBs can </w:t>
      </w:r>
      <w:r w:rsidRPr="00D21F8D">
        <w:rPr>
          <w:rFonts w:ascii="Noto Sans" w:hAnsi="Noto Sans" w:cs="Noto Sans"/>
          <w:sz w:val="18"/>
          <w:szCs w:val="18"/>
        </w:rPr>
        <w:t xml:space="preserve">also </w:t>
      </w:r>
      <w:r w:rsidRPr="00D21F8D">
        <w:rPr>
          <w:rFonts w:ascii="Noto Sans" w:hAnsi="Noto Sans" w:cs="Noto Sans"/>
          <w:sz w:val="18"/>
          <w:szCs w:val="18"/>
          <w:lang w:val="en-GB"/>
        </w:rPr>
        <w:t>stabilize critical investments</w:t>
      </w:r>
      <w:r w:rsidRPr="00D21F8D">
        <w:rPr>
          <w:rFonts w:ascii="Noto Sans" w:hAnsi="Noto Sans" w:cs="Noto Sans"/>
          <w:sz w:val="18"/>
          <w:szCs w:val="18"/>
        </w:rPr>
        <w:t xml:space="preserve"> and </w:t>
      </w:r>
      <w:r w:rsidRPr="00D21F8D">
        <w:rPr>
          <w:rFonts w:ascii="Noto Sans" w:hAnsi="Noto Sans" w:cs="Noto Sans"/>
          <w:sz w:val="18"/>
          <w:szCs w:val="18"/>
          <w:lang w:val="en-GB"/>
        </w:rPr>
        <w:t>mitigate the impacts of external shocks</w:t>
      </w:r>
      <w:r w:rsidRPr="00D21F8D">
        <w:rPr>
          <w:rFonts w:ascii="Noto Sans" w:hAnsi="Noto Sans" w:cs="Noto Sans"/>
          <w:sz w:val="18"/>
          <w:szCs w:val="18"/>
        </w:rPr>
        <w:t xml:space="preserve">. </w:t>
      </w:r>
      <w:r w:rsidR="002304DC" w:rsidRPr="00D21F8D">
        <w:rPr>
          <w:rFonts w:ascii="Noto Sans" w:hAnsi="Noto Sans" w:cs="Noto Sans"/>
          <w:sz w:val="18"/>
          <w:szCs w:val="18"/>
        </w:rPr>
        <w:t xml:space="preserve">Fostering </w:t>
      </w:r>
      <w:r w:rsidRPr="00D21F8D">
        <w:rPr>
          <w:rFonts w:ascii="Noto Sans" w:hAnsi="Noto Sans" w:cs="Noto Sans"/>
          <w:sz w:val="18"/>
          <w:szCs w:val="18"/>
          <w:lang w:val="en-GB"/>
        </w:rPr>
        <w:t xml:space="preserve">regional cooperation between </w:t>
      </w:r>
      <w:r w:rsidRPr="00D21F8D">
        <w:rPr>
          <w:rFonts w:ascii="Noto Sans" w:hAnsi="Noto Sans" w:cs="Noto Sans"/>
          <w:sz w:val="18"/>
          <w:szCs w:val="18"/>
        </w:rPr>
        <w:t xml:space="preserve">national </w:t>
      </w:r>
      <w:r w:rsidRPr="00D21F8D">
        <w:rPr>
          <w:rFonts w:ascii="Noto Sans" w:hAnsi="Noto Sans" w:cs="Noto Sans"/>
          <w:sz w:val="18"/>
          <w:szCs w:val="18"/>
          <w:lang w:val="en-GB"/>
        </w:rPr>
        <w:t>PDBs</w:t>
      </w:r>
      <w:r w:rsidRPr="00D21F8D">
        <w:rPr>
          <w:rFonts w:ascii="Noto Sans" w:hAnsi="Noto Sans" w:cs="Noto Sans"/>
          <w:sz w:val="18"/>
          <w:szCs w:val="18"/>
        </w:rPr>
        <w:t xml:space="preserve">, particularly those in small economies, can serve to </w:t>
      </w:r>
      <w:r w:rsidRPr="00D21F8D">
        <w:rPr>
          <w:rFonts w:ascii="Noto Sans" w:hAnsi="Noto Sans" w:cs="Noto Sans"/>
          <w:sz w:val="18"/>
          <w:szCs w:val="18"/>
          <w:lang w:val="en-GB"/>
        </w:rPr>
        <w:t xml:space="preserve">pool resources to finance </w:t>
      </w:r>
      <w:r w:rsidRPr="00D21F8D">
        <w:rPr>
          <w:rFonts w:ascii="Noto Sans" w:hAnsi="Noto Sans" w:cs="Noto Sans"/>
          <w:sz w:val="18"/>
          <w:szCs w:val="18"/>
        </w:rPr>
        <w:t>structural transformation across borders.</w:t>
      </w:r>
    </w:p>
    <w:p w14:paraId="09FF7446" w14:textId="7059AE5C" w:rsidR="00122FB5" w:rsidRPr="00D21F8D" w:rsidRDefault="00122FB5" w:rsidP="00122FB5">
      <w:pPr>
        <w:rPr>
          <w:rFonts w:ascii="Noto Sans" w:hAnsi="Noto Sans" w:cs="Noto Sans"/>
          <w:sz w:val="18"/>
          <w:szCs w:val="18"/>
        </w:rPr>
      </w:pPr>
      <w:r w:rsidRPr="00D21F8D">
        <w:rPr>
          <w:rFonts w:ascii="Noto Sans" w:hAnsi="Noto Sans" w:cs="Noto Sans"/>
          <w:b/>
          <w:bCs/>
          <w:sz w:val="18"/>
          <w:szCs w:val="18"/>
          <w:lang w:val="en-GB"/>
        </w:rPr>
        <w:t xml:space="preserve">Establish and strengthen public-private </w:t>
      </w:r>
      <w:r w:rsidRPr="00D21F8D">
        <w:rPr>
          <w:rFonts w:ascii="Noto Sans" w:hAnsi="Noto Sans" w:cs="Noto Sans"/>
          <w:b/>
          <w:bCs/>
          <w:sz w:val="18"/>
          <w:szCs w:val="18"/>
        </w:rPr>
        <w:t xml:space="preserve">alliances </w:t>
      </w:r>
      <w:r w:rsidRPr="00D21F8D">
        <w:rPr>
          <w:rFonts w:ascii="Noto Sans" w:hAnsi="Noto Sans" w:cs="Noto Sans"/>
          <w:b/>
          <w:bCs/>
          <w:sz w:val="18"/>
          <w:szCs w:val="18"/>
          <w:lang w:val="en-GB"/>
        </w:rPr>
        <w:t xml:space="preserve">on </w:t>
      </w:r>
      <w:r w:rsidRPr="00D21F8D">
        <w:rPr>
          <w:rFonts w:ascii="Noto Sans" w:hAnsi="Noto Sans" w:cs="Noto Sans"/>
          <w:b/>
          <w:bCs/>
          <w:sz w:val="18"/>
          <w:szCs w:val="18"/>
        </w:rPr>
        <w:t xml:space="preserve">structural transformations. </w:t>
      </w:r>
      <w:r w:rsidRPr="00D21F8D">
        <w:rPr>
          <w:rFonts w:ascii="Noto Sans" w:hAnsi="Noto Sans" w:cs="Noto Sans"/>
          <w:sz w:val="18"/>
          <w:szCs w:val="18"/>
        </w:rPr>
        <w:t xml:space="preserve">These alliances can serve to identify and overcame the primary constraints required for structural transformation. If driven by strong political leadership, these alliances can coordinate collective actions, identify different financing </w:t>
      </w:r>
      <w:proofErr w:type="gramStart"/>
      <w:r w:rsidRPr="00D21F8D">
        <w:rPr>
          <w:rFonts w:ascii="Noto Sans" w:hAnsi="Noto Sans" w:cs="Noto Sans"/>
          <w:sz w:val="18"/>
          <w:szCs w:val="18"/>
        </w:rPr>
        <w:t>opportunities</w:t>
      </w:r>
      <w:proofErr w:type="gramEnd"/>
      <w:r w:rsidRPr="00D21F8D">
        <w:rPr>
          <w:rFonts w:ascii="Noto Sans" w:hAnsi="Noto Sans" w:cs="Noto Sans"/>
          <w:sz w:val="18"/>
          <w:szCs w:val="18"/>
        </w:rPr>
        <w:t xml:space="preserve"> and motivate investment and risk taking. The active participation of employers’ and workers’ organizations in these alliances are critical in ensuring national buy-in of policies and their financing strategies over the longer-term.</w:t>
      </w:r>
    </w:p>
    <w:p w14:paraId="281C4D90" w14:textId="3F39AAC8" w:rsidR="00122FB5" w:rsidRPr="00D21F8D" w:rsidRDefault="00122FB5" w:rsidP="00122FB5">
      <w:pPr>
        <w:rPr>
          <w:rFonts w:ascii="Noto Sans" w:hAnsi="Noto Sans" w:cs="Noto Sans"/>
          <w:sz w:val="18"/>
          <w:szCs w:val="18"/>
        </w:rPr>
      </w:pPr>
      <w:r w:rsidRPr="00D21F8D">
        <w:rPr>
          <w:rFonts w:ascii="Noto Sans" w:hAnsi="Noto Sans" w:cs="Noto Sans"/>
          <w:b/>
          <w:bCs/>
          <w:sz w:val="18"/>
          <w:szCs w:val="18"/>
        </w:rPr>
        <w:t xml:space="preserve">Undertake national consultations </w:t>
      </w:r>
      <w:r w:rsidR="007E05AF" w:rsidRPr="00D21F8D">
        <w:rPr>
          <w:rFonts w:ascii="Noto Sans" w:hAnsi="Noto Sans" w:cs="Noto Sans"/>
          <w:b/>
          <w:bCs/>
          <w:sz w:val="18"/>
          <w:szCs w:val="18"/>
        </w:rPr>
        <w:t xml:space="preserve">on </w:t>
      </w:r>
      <w:r w:rsidRPr="00D21F8D">
        <w:rPr>
          <w:rFonts w:ascii="Noto Sans" w:hAnsi="Noto Sans" w:cs="Noto Sans"/>
          <w:b/>
          <w:bCs/>
          <w:sz w:val="18"/>
          <w:szCs w:val="18"/>
        </w:rPr>
        <w:t xml:space="preserve">country-specific pro-structural transformation macroeconomic frameworks. </w:t>
      </w:r>
      <w:r w:rsidRPr="00D21F8D">
        <w:rPr>
          <w:rFonts w:ascii="Noto Sans" w:hAnsi="Noto Sans" w:cs="Noto Sans"/>
          <w:sz w:val="18"/>
          <w:szCs w:val="18"/>
        </w:rPr>
        <w:t xml:space="preserve">National-level discussions should engage a broad range of actors, including the government ministries, central banks, social </w:t>
      </w:r>
      <w:proofErr w:type="gramStart"/>
      <w:r w:rsidRPr="00D21F8D">
        <w:rPr>
          <w:rFonts w:ascii="Noto Sans" w:hAnsi="Noto Sans" w:cs="Noto Sans"/>
          <w:sz w:val="18"/>
          <w:szCs w:val="18"/>
        </w:rPr>
        <w:t>partners</w:t>
      </w:r>
      <w:proofErr w:type="gramEnd"/>
      <w:r w:rsidRPr="00D21F8D">
        <w:rPr>
          <w:rFonts w:ascii="Noto Sans" w:hAnsi="Noto Sans" w:cs="Noto Sans"/>
          <w:sz w:val="18"/>
          <w:szCs w:val="18"/>
        </w:rPr>
        <w:t xml:space="preserve"> and others, to design macroeconomic frameworks that are tailored to the unique structural challenges of each country. These frameworks must go beyond traditional stabilization policies to actively promote long-term investments in dynamic sectors and generate decent jobs. These consultations should also embed counter-cyclicality and resilience into macroeconomic policies to better withstand external shocks </w:t>
      </w:r>
      <w:proofErr w:type="gramStart"/>
      <w:r w:rsidRPr="00D21F8D">
        <w:rPr>
          <w:rFonts w:ascii="Noto Sans" w:hAnsi="Noto Sans" w:cs="Noto Sans"/>
          <w:sz w:val="18"/>
          <w:szCs w:val="18"/>
        </w:rPr>
        <w:t>in order to</w:t>
      </w:r>
      <w:proofErr w:type="gramEnd"/>
      <w:r w:rsidRPr="00D21F8D">
        <w:rPr>
          <w:rFonts w:ascii="Noto Sans" w:hAnsi="Noto Sans" w:cs="Noto Sans"/>
          <w:sz w:val="18"/>
          <w:szCs w:val="18"/>
        </w:rPr>
        <w:t xml:space="preserve"> ensure a conducive environment for long-term financing of structural transformation.</w:t>
      </w:r>
    </w:p>
    <w:p w14:paraId="60D866A0" w14:textId="5F1E07F8" w:rsidR="00122FB5" w:rsidRPr="00D21F8D" w:rsidRDefault="00122FB5" w:rsidP="00122FB5">
      <w:pPr>
        <w:rPr>
          <w:rFonts w:ascii="Noto Sans" w:hAnsi="Noto Sans" w:cs="Noto Sans"/>
          <w:sz w:val="18"/>
          <w:szCs w:val="18"/>
        </w:rPr>
      </w:pPr>
      <w:r w:rsidRPr="00D21F8D">
        <w:rPr>
          <w:rFonts w:ascii="Noto Sans" w:hAnsi="Noto Sans" w:cs="Noto Sans"/>
          <w:b/>
          <w:bCs/>
          <w:sz w:val="18"/>
          <w:szCs w:val="18"/>
        </w:rPr>
        <w:t xml:space="preserve">Encourage member States, the donor community, international financial institution, national public development banks to continuously support to the United Nations </w:t>
      </w:r>
      <w:r w:rsidRPr="00D21F8D">
        <w:rPr>
          <w:rFonts w:ascii="Noto Sans" w:hAnsi="Noto Sans" w:cs="Noto Sans"/>
          <w:b/>
          <w:bCs/>
          <w:sz w:val="18"/>
          <w:szCs w:val="18"/>
          <w:lang w:val="en-GB"/>
        </w:rPr>
        <w:t>Global Accelerator on Jobs and Social Protection for Just Transitions</w:t>
      </w:r>
      <w:r w:rsidRPr="00D21F8D">
        <w:rPr>
          <w:rFonts w:ascii="Noto Sans" w:hAnsi="Noto Sans" w:cs="Noto Sans"/>
          <w:sz w:val="18"/>
          <w:szCs w:val="18"/>
        </w:rPr>
        <w:t xml:space="preserve">. The Global Accelerator </w:t>
      </w:r>
      <w:proofErr w:type="gramStart"/>
      <w:r w:rsidRPr="00D21F8D">
        <w:rPr>
          <w:rFonts w:ascii="Noto Sans" w:hAnsi="Noto Sans" w:cs="Noto Sans"/>
          <w:sz w:val="18"/>
          <w:szCs w:val="18"/>
        </w:rPr>
        <w:t>in particular can</w:t>
      </w:r>
      <w:proofErr w:type="gramEnd"/>
      <w:r w:rsidRPr="00D21F8D">
        <w:rPr>
          <w:rFonts w:ascii="Noto Sans" w:hAnsi="Noto Sans" w:cs="Noto Sans"/>
          <w:sz w:val="18"/>
          <w:szCs w:val="18"/>
        </w:rPr>
        <w:t xml:space="preserve"> be an important means for knowledge sharing on national financing frameworks and the mobilization of public and private domestic and international resources to invest in universal social protection and inclusive labour markets</w:t>
      </w:r>
      <w:r w:rsidR="00C527CE" w:rsidRPr="00D21F8D">
        <w:rPr>
          <w:rFonts w:ascii="Noto Sans" w:hAnsi="Noto Sans" w:cs="Noto Sans"/>
          <w:sz w:val="18"/>
          <w:szCs w:val="18"/>
        </w:rPr>
        <w:t>.</w:t>
      </w:r>
    </w:p>
    <w:p w14:paraId="4307733E" w14:textId="77777777" w:rsidR="00122FB5" w:rsidRPr="00D21F8D" w:rsidRDefault="00122FB5" w:rsidP="00EC07C4">
      <w:pPr>
        <w:jc w:val="both"/>
        <w:rPr>
          <w:rFonts w:ascii="Noto Sans" w:hAnsi="Noto Sans" w:cs="Noto Sans"/>
          <w:sz w:val="18"/>
          <w:szCs w:val="18"/>
        </w:rPr>
      </w:pPr>
    </w:p>
    <w:p w14:paraId="56309FEB" w14:textId="5C12CA27" w:rsidR="005A3F61" w:rsidRDefault="00AB67F4" w:rsidP="00AB67F4">
      <w:pPr>
        <w:tabs>
          <w:tab w:val="left" w:pos="7150"/>
        </w:tabs>
        <w:jc w:val="both"/>
        <w:rPr>
          <w:lang w:val="en-GB"/>
        </w:rPr>
      </w:pPr>
      <w:r>
        <w:rPr>
          <w:lang w:val="en-GB"/>
        </w:rPr>
        <w:tab/>
      </w:r>
    </w:p>
    <w:sectPr w:rsidR="005A3F61" w:rsidSect="00D21F8D">
      <w:headerReference w:type="default" r:id="rId11"/>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693F" w14:textId="77777777" w:rsidR="00D50E1B" w:rsidRDefault="00D50E1B" w:rsidP="003A03B5">
      <w:pPr>
        <w:spacing w:after="0" w:line="240" w:lineRule="auto"/>
      </w:pPr>
      <w:r>
        <w:separator/>
      </w:r>
    </w:p>
  </w:endnote>
  <w:endnote w:type="continuationSeparator" w:id="0">
    <w:p w14:paraId="3B2BC1CD" w14:textId="77777777" w:rsidR="00D50E1B" w:rsidRDefault="00D50E1B" w:rsidP="003A03B5">
      <w:pPr>
        <w:spacing w:after="0" w:line="240" w:lineRule="auto"/>
      </w:pPr>
      <w:r>
        <w:continuationSeparator/>
      </w:r>
    </w:p>
  </w:endnote>
  <w:endnote w:type="continuationNotice" w:id="1">
    <w:p w14:paraId="342299B8" w14:textId="77777777" w:rsidR="00D50E1B" w:rsidRDefault="00D50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verpass">
    <w:panose1 w:val="00000500000000000000"/>
    <w:charset w:val="00"/>
    <w:family w:val="auto"/>
    <w:pitch w:val="variable"/>
    <w:sig w:usb0="00000007" w:usb1="0000002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Noto Sans">
    <w:panose1 w:val="020B0502040504020204"/>
    <w:charset w:val="00"/>
    <w:family w:val="swiss"/>
    <w:pitch w:val="variable"/>
    <w:sig w:usb0="E00002FF" w:usb1="4000201F" w:usb2="08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CDDB" w14:textId="77777777" w:rsidR="00D50E1B" w:rsidRDefault="00D50E1B" w:rsidP="003A03B5">
      <w:pPr>
        <w:spacing w:after="0" w:line="240" w:lineRule="auto"/>
      </w:pPr>
      <w:r>
        <w:separator/>
      </w:r>
    </w:p>
  </w:footnote>
  <w:footnote w:type="continuationSeparator" w:id="0">
    <w:p w14:paraId="0D2E7C7F" w14:textId="77777777" w:rsidR="00D50E1B" w:rsidRDefault="00D50E1B" w:rsidP="003A03B5">
      <w:pPr>
        <w:spacing w:after="0" w:line="240" w:lineRule="auto"/>
      </w:pPr>
      <w:r>
        <w:continuationSeparator/>
      </w:r>
    </w:p>
  </w:footnote>
  <w:footnote w:type="continuationNotice" w:id="1">
    <w:p w14:paraId="598FCE2E" w14:textId="77777777" w:rsidR="00D50E1B" w:rsidRDefault="00D50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5241" w14:textId="2B52C166" w:rsidR="00D21F8D" w:rsidRDefault="00D21F8D">
    <w:pPr>
      <w:pStyle w:val="Header"/>
    </w:pPr>
    <w:r w:rsidRPr="005A64D3">
      <w:rPr>
        <w:lang w:eastAsia="en-GB"/>
      </w:rPr>
      <w:drawing>
        <wp:inline distT="0" distB="0" distL="0" distR="0" wp14:anchorId="20D2267F" wp14:editId="391B91B5">
          <wp:extent cx="1668780" cy="601916"/>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Logo Organization Horizontal RGB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662" cy="61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D5E8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7E7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BB23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C07E2"/>
    <w:multiLevelType w:val="hybridMultilevel"/>
    <w:tmpl w:val="35F68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F89D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CD9A9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99014310">
    <w:abstractNumId w:val="2"/>
  </w:num>
  <w:num w:numId="2" w16cid:durableId="705714083">
    <w:abstractNumId w:val="10"/>
  </w:num>
  <w:num w:numId="3" w16cid:durableId="1224489899">
    <w:abstractNumId w:val="7"/>
  </w:num>
  <w:num w:numId="4" w16cid:durableId="839007420">
    <w:abstractNumId w:val="8"/>
  </w:num>
  <w:num w:numId="5" w16cid:durableId="1795057800">
    <w:abstractNumId w:val="9"/>
  </w:num>
  <w:num w:numId="6" w16cid:durableId="1539704886">
    <w:abstractNumId w:val="5"/>
  </w:num>
  <w:num w:numId="7" w16cid:durableId="1965765382">
    <w:abstractNumId w:val="4"/>
  </w:num>
  <w:num w:numId="8" w16cid:durableId="74518774">
    <w:abstractNumId w:val="0"/>
  </w:num>
  <w:num w:numId="9" w16cid:durableId="1135563665">
    <w:abstractNumId w:val="1"/>
  </w:num>
  <w:num w:numId="10" w16cid:durableId="910627299">
    <w:abstractNumId w:val="3"/>
  </w:num>
  <w:num w:numId="11" w16cid:durableId="873494544">
    <w:abstractNumId w:val="11"/>
  </w:num>
  <w:num w:numId="12" w16cid:durableId="163251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3D17"/>
    <w:rsid w:val="00030E3E"/>
    <w:rsid w:val="00071553"/>
    <w:rsid w:val="00073BE5"/>
    <w:rsid w:val="000768DF"/>
    <w:rsid w:val="00090461"/>
    <w:rsid w:val="0009284F"/>
    <w:rsid w:val="00097BE7"/>
    <w:rsid w:val="000A3902"/>
    <w:rsid w:val="000B17CE"/>
    <w:rsid w:val="000C7E94"/>
    <w:rsid w:val="001129C0"/>
    <w:rsid w:val="00117FE9"/>
    <w:rsid w:val="001200B4"/>
    <w:rsid w:val="00120239"/>
    <w:rsid w:val="00122FB5"/>
    <w:rsid w:val="0013280A"/>
    <w:rsid w:val="00174569"/>
    <w:rsid w:val="001A0CF3"/>
    <w:rsid w:val="001A71B9"/>
    <w:rsid w:val="001C5FC0"/>
    <w:rsid w:val="001D5175"/>
    <w:rsid w:val="001D5EFD"/>
    <w:rsid w:val="001E42DB"/>
    <w:rsid w:val="001F0EFB"/>
    <w:rsid w:val="001F248C"/>
    <w:rsid w:val="002137E5"/>
    <w:rsid w:val="00226DDE"/>
    <w:rsid w:val="002304DC"/>
    <w:rsid w:val="00230CC0"/>
    <w:rsid w:val="00231EA4"/>
    <w:rsid w:val="00251A33"/>
    <w:rsid w:val="00256658"/>
    <w:rsid w:val="00264832"/>
    <w:rsid w:val="00265E66"/>
    <w:rsid w:val="002723FF"/>
    <w:rsid w:val="00275650"/>
    <w:rsid w:val="00280A45"/>
    <w:rsid w:val="00280A5A"/>
    <w:rsid w:val="002B46AF"/>
    <w:rsid w:val="002C6D77"/>
    <w:rsid w:val="002E31D3"/>
    <w:rsid w:val="002F4A33"/>
    <w:rsid w:val="002F6B6C"/>
    <w:rsid w:val="00300EFD"/>
    <w:rsid w:val="00310DCC"/>
    <w:rsid w:val="003151D7"/>
    <w:rsid w:val="00316586"/>
    <w:rsid w:val="00317113"/>
    <w:rsid w:val="003274BD"/>
    <w:rsid w:val="0034282A"/>
    <w:rsid w:val="003468F0"/>
    <w:rsid w:val="003562DF"/>
    <w:rsid w:val="003949B8"/>
    <w:rsid w:val="003963B8"/>
    <w:rsid w:val="003A03B5"/>
    <w:rsid w:val="003A16A9"/>
    <w:rsid w:val="003A1EF7"/>
    <w:rsid w:val="003A7259"/>
    <w:rsid w:val="003A7C36"/>
    <w:rsid w:val="003B50CB"/>
    <w:rsid w:val="003D0250"/>
    <w:rsid w:val="004126AF"/>
    <w:rsid w:val="0042016D"/>
    <w:rsid w:val="00427489"/>
    <w:rsid w:val="004278CD"/>
    <w:rsid w:val="00485C84"/>
    <w:rsid w:val="004B1DBA"/>
    <w:rsid w:val="004B6AC5"/>
    <w:rsid w:val="004C5A9A"/>
    <w:rsid w:val="004D350A"/>
    <w:rsid w:val="004F4DF5"/>
    <w:rsid w:val="0050785F"/>
    <w:rsid w:val="00511B6E"/>
    <w:rsid w:val="005266D7"/>
    <w:rsid w:val="00530E05"/>
    <w:rsid w:val="005379FC"/>
    <w:rsid w:val="00572C69"/>
    <w:rsid w:val="005910B8"/>
    <w:rsid w:val="005A3F61"/>
    <w:rsid w:val="005A5020"/>
    <w:rsid w:val="005B2A4E"/>
    <w:rsid w:val="005D4FE6"/>
    <w:rsid w:val="005E11E3"/>
    <w:rsid w:val="005E1436"/>
    <w:rsid w:val="00623EC0"/>
    <w:rsid w:val="00627579"/>
    <w:rsid w:val="00633262"/>
    <w:rsid w:val="0063460B"/>
    <w:rsid w:val="00680FDD"/>
    <w:rsid w:val="006A18E9"/>
    <w:rsid w:val="006A343D"/>
    <w:rsid w:val="006D4D4C"/>
    <w:rsid w:val="006E2FD2"/>
    <w:rsid w:val="006F5E34"/>
    <w:rsid w:val="00711219"/>
    <w:rsid w:val="00720078"/>
    <w:rsid w:val="00744FE1"/>
    <w:rsid w:val="0077138E"/>
    <w:rsid w:val="007814DE"/>
    <w:rsid w:val="007A15F4"/>
    <w:rsid w:val="007D1216"/>
    <w:rsid w:val="007D3E19"/>
    <w:rsid w:val="007D7AD6"/>
    <w:rsid w:val="007E05AF"/>
    <w:rsid w:val="007F075C"/>
    <w:rsid w:val="007F5CE9"/>
    <w:rsid w:val="00812F0E"/>
    <w:rsid w:val="00813E33"/>
    <w:rsid w:val="0081669F"/>
    <w:rsid w:val="00817599"/>
    <w:rsid w:val="008247EB"/>
    <w:rsid w:val="008422FD"/>
    <w:rsid w:val="00854F20"/>
    <w:rsid w:val="0088264A"/>
    <w:rsid w:val="00896844"/>
    <w:rsid w:val="008A4716"/>
    <w:rsid w:val="008B16C2"/>
    <w:rsid w:val="008D4AB4"/>
    <w:rsid w:val="008E4BAB"/>
    <w:rsid w:val="00910288"/>
    <w:rsid w:val="00920231"/>
    <w:rsid w:val="00926DF1"/>
    <w:rsid w:val="00936C8A"/>
    <w:rsid w:val="00981368"/>
    <w:rsid w:val="009C126D"/>
    <w:rsid w:val="009C3498"/>
    <w:rsid w:val="009D6678"/>
    <w:rsid w:val="009E0514"/>
    <w:rsid w:val="009E7618"/>
    <w:rsid w:val="00A252C5"/>
    <w:rsid w:val="00A91C20"/>
    <w:rsid w:val="00AB0D26"/>
    <w:rsid w:val="00AB4736"/>
    <w:rsid w:val="00AB67F4"/>
    <w:rsid w:val="00AC5120"/>
    <w:rsid w:val="00AC635D"/>
    <w:rsid w:val="00AD1941"/>
    <w:rsid w:val="00AD1EA1"/>
    <w:rsid w:val="00AE2B30"/>
    <w:rsid w:val="00AE56C6"/>
    <w:rsid w:val="00B0170C"/>
    <w:rsid w:val="00B02B53"/>
    <w:rsid w:val="00B16F5C"/>
    <w:rsid w:val="00B26A67"/>
    <w:rsid w:val="00B303BA"/>
    <w:rsid w:val="00B37013"/>
    <w:rsid w:val="00B37572"/>
    <w:rsid w:val="00B42ACB"/>
    <w:rsid w:val="00B512B1"/>
    <w:rsid w:val="00B52F12"/>
    <w:rsid w:val="00BA5DE6"/>
    <w:rsid w:val="00BB0A39"/>
    <w:rsid w:val="00BC0455"/>
    <w:rsid w:val="00BD0983"/>
    <w:rsid w:val="00BD1E2F"/>
    <w:rsid w:val="00BE74F2"/>
    <w:rsid w:val="00C02B63"/>
    <w:rsid w:val="00C339A3"/>
    <w:rsid w:val="00C401B3"/>
    <w:rsid w:val="00C4252A"/>
    <w:rsid w:val="00C527CE"/>
    <w:rsid w:val="00C52D38"/>
    <w:rsid w:val="00C66D3D"/>
    <w:rsid w:val="00C67DDF"/>
    <w:rsid w:val="00C70F61"/>
    <w:rsid w:val="00C9157B"/>
    <w:rsid w:val="00C93FF3"/>
    <w:rsid w:val="00CA03C1"/>
    <w:rsid w:val="00CC1E50"/>
    <w:rsid w:val="00CE2D2A"/>
    <w:rsid w:val="00CF57F5"/>
    <w:rsid w:val="00CF68D3"/>
    <w:rsid w:val="00D04D94"/>
    <w:rsid w:val="00D06065"/>
    <w:rsid w:val="00D14383"/>
    <w:rsid w:val="00D21F8D"/>
    <w:rsid w:val="00D50E1B"/>
    <w:rsid w:val="00D5534A"/>
    <w:rsid w:val="00D55D7C"/>
    <w:rsid w:val="00D627CC"/>
    <w:rsid w:val="00D6347F"/>
    <w:rsid w:val="00D76D00"/>
    <w:rsid w:val="00D812CC"/>
    <w:rsid w:val="00D83B12"/>
    <w:rsid w:val="00D84CDD"/>
    <w:rsid w:val="00D927D7"/>
    <w:rsid w:val="00D930DE"/>
    <w:rsid w:val="00DB7755"/>
    <w:rsid w:val="00DD7278"/>
    <w:rsid w:val="00DE1C3D"/>
    <w:rsid w:val="00DE5E8F"/>
    <w:rsid w:val="00E0784B"/>
    <w:rsid w:val="00E14605"/>
    <w:rsid w:val="00E2289C"/>
    <w:rsid w:val="00E30C4B"/>
    <w:rsid w:val="00E31774"/>
    <w:rsid w:val="00E322B7"/>
    <w:rsid w:val="00E52E8B"/>
    <w:rsid w:val="00E61F10"/>
    <w:rsid w:val="00E762CB"/>
    <w:rsid w:val="00E77A4C"/>
    <w:rsid w:val="00E81D62"/>
    <w:rsid w:val="00EB44E9"/>
    <w:rsid w:val="00EB60C6"/>
    <w:rsid w:val="00EC07C4"/>
    <w:rsid w:val="00EC70AE"/>
    <w:rsid w:val="00ED3C93"/>
    <w:rsid w:val="00ED7090"/>
    <w:rsid w:val="00EF0D11"/>
    <w:rsid w:val="00F0085E"/>
    <w:rsid w:val="00F25587"/>
    <w:rsid w:val="00F31841"/>
    <w:rsid w:val="00F31DF6"/>
    <w:rsid w:val="00F444D4"/>
    <w:rsid w:val="00F63348"/>
    <w:rsid w:val="00F73E7C"/>
    <w:rsid w:val="00F93A81"/>
    <w:rsid w:val="00FA14E4"/>
    <w:rsid w:val="00FC043D"/>
    <w:rsid w:val="00FD2C8A"/>
    <w:rsid w:val="00FD3317"/>
    <w:rsid w:val="00FD3426"/>
    <w:rsid w:val="00FD658A"/>
    <w:rsid w:val="00FD7E6C"/>
    <w:rsid w:val="00FF2D68"/>
    <w:rsid w:val="00FF5A18"/>
    <w:rsid w:val="081A7F1C"/>
    <w:rsid w:val="0A6370C3"/>
    <w:rsid w:val="0A8F850F"/>
    <w:rsid w:val="14979E02"/>
    <w:rsid w:val="165F3251"/>
    <w:rsid w:val="172CDEE2"/>
    <w:rsid w:val="1BD7F972"/>
    <w:rsid w:val="1F6C41A6"/>
    <w:rsid w:val="22299A09"/>
    <w:rsid w:val="249587DD"/>
    <w:rsid w:val="303E48AD"/>
    <w:rsid w:val="33E8252D"/>
    <w:rsid w:val="3B37654A"/>
    <w:rsid w:val="3E964E33"/>
    <w:rsid w:val="49D2B898"/>
    <w:rsid w:val="4A412222"/>
    <w:rsid w:val="58C6895A"/>
    <w:rsid w:val="5A10B619"/>
    <w:rsid w:val="5B9B7255"/>
    <w:rsid w:val="600089E4"/>
    <w:rsid w:val="62705FD3"/>
    <w:rsid w:val="6C6142F7"/>
    <w:rsid w:val="6F37038C"/>
    <w:rsid w:val="73E97997"/>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Footnotes,single space,footnote text,fn,Footnote Text Char2 Char,Footnote Text Char1 Char Char,Footnote Text Char2 Char Char Char,Footnote Text Char1 Char Char Char Char,Footnote Text Char2 Char Char Char Char Char,ALTS FOOTNOTE,ft"/>
    <w:basedOn w:val="Normal"/>
    <w:link w:val="FootnoteTextChar"/>
    <w:uiPriority w:val="99"/>
    <w:semiHidden/>
    <w:unhideWhenUsed/>
    <w:qFormat/>
    <w:rsid w:val="003A03B5"/>
    <w:pPr>
      <w:spacing w:after="0" w:line="240" w:lineRule="auto"/>
    </w:pPr>
    <w:rPr>
      <w:sz w:val="20"/>
      <w:szCs w:val="20"/>
    </w:rPr>
  </w:style>
  <w:style w:type="character" w:customStyle="1" w:styleId="FootnoteTextChar">
    <w:name w:val="Footnote Text Char"/>
    <w:aliases w:val="Footnotes Char,single space Char,footnote text Char,fn Char,Footnote Text Char2 Char Char,Footnote Text Char1 Char Char Char,Footnote Text Char2 Char Char Char Char,Footnote Text Char1 Char Char Char Char Char,ALTS FOOTNOTE Char"/>
    <w:basedOn w:val="DefaultParagraphFont"/>
    <w:link w:val="FootnoteText"/>
    <w:uiPriority w:val="99"/>
    <w:semiHidden/>
    <w:qFormat/>
    <w:rsid w:val="003A03B5"/>
    <w:rPr>
      <w:sz w:val="20"/>
      <w:szCs w:val="20"/>
    </w:rPr>
  </w:style>
  <w:style w:type="character" w:styleId="FootnoteReference">
    <w:name w:val="footnote reference"/>
    <w:aliases w:val="Error-Fußnotenzeichen5,Error-Fußnotenzeichen6,Error-Fußnotenzeichen3,16 Point,BVI fnr,Footnote Reference Number,Footnote Reference1,Footnote Reference_LVL6,Footnote Reference_LVL61,Re,Ref,Superscript 6 Point,footnote sign,fr,SUPE"/>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UnresolvedMention">
    <w:name w:val="Unresolved Mention"/>
    <w:basedOn w:val="DefaultParagraphFont"/>
    <w:uiPriority w:val="99"/>
    <w:semiHidden/>
    <w:unhideWhenUsed/>
    <w:rsid w:val="00EB60C6"/>
    <w:rPr>
      <w:color w:val="605E5C"/>
      <w:shd w:val="clear" w:color="auto" w:fill="E1DFDD"/>
    </w:rPr>
  </w:style>
  <w:style w:type="paragraph" w:customStyle="1" w:styleId="DocumentTitle">
    <w:name w:val="DocumentTitle"/>
    <w:next w:val="Normal"/>
    <w:qFormat/>
    <w:rsid w:val="00D21F8D"/>
    <w:pPr>
      <w:spacing w:before="1800" w:after="480" w:line="240" w:lineRule="auto"/>
      <w:ind w:left="1080"/>
    </w:pPr>
    <w:rPr>
      <w:rFonts w:ascii="Overpass" w:eastAsia="Batang" w:hAnsi="Overpass" w:cs="Noto Sans"/>
      <w:b/>
      <w:color w:val="1E2DBE"/>
      <w:kern w:val="0"/>
      <w:sz w:val="60"/>
      <w:szCs w:val="60"/>
      <w:lang w:val="en-GB" w:eastAsia="en-US"/>
      <w14:ligatures w14:val="none"/>
    </w:rPr>
  </w:style>
  <w:style w:type="paragraph" w:customStyle="1" w:styleId="Headinglevel1">
    <w:name w:val="Heading level 1"/>
    <w:next w:val="Normal"/>
    <w:uiPriority w:val="3"/>
    <w:qFormat/>
    <w:rsid w:val="00D21F8D"/>
    <w:pPr>
      <w:keepNext/>
      <w:keepLines/>
      <w:pageBreakBefore/>
      <w:pBdr>
        <w:bottom w:val="single" w:sz="4" w:space="6" w:color="1E2DBE"/>
      </w:pBdr>
      <w:spacing w:before="480" w:after="360" w:line="240" w:lineRule="auto"/>
      <w:ind w:left="360"/>
      <w:contextualSpacing/>
      <w:outlineLvl w:val="0"/>
    </w:pPr>
    <w:rPr>
      <w:rFonts w:ascii="Overpass" w:eastAsia="Batang" w:hAnsi="Overpass" w:cs="Noto Sans"/>
      <w:b/>
      <w:bCs/>
      <w:color w:val="1E2DBE"/>
      <w:kern w:val="0"/>
      <w:sz w:val="36"/>
      <w:szCs w:val="36"/>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5586">
      <w:bodyDiv w:val="1"/>
      <w:marLeft w:val="0"/>
      <w:marRight w:val="0"/>
      <w:marTop w:val="0"/>
      <w:marBottom w:val="0"/>
      <w:divBdr>
        <w:top w:val="none" w:sz="0" w:space="0" w:color="auto"/>
        <w:left w:val="none" w:sz="0" w:space="0" w:color="auto"/>
        <w:bottom w:val="none" w:sz="0" w:space="0" w:color="auto"/>
        <w:right w:val="none" w:sz="0" w:space="0" w:color="auto"/>
      </w:divBdr>
    </w:div>
    <w:div w:id="51273741">
      <w:bodyDiv w:val="1"/>
      <w:marLeft w:val="0"/>
      <w:marRight w:val="0"/>
      <w:marTop w:val="0"/>
      <w:marBottom w:val="0"/>
      <w:divBdr>
        <w:top w:val="none" w:sz="0" w:space="0" w:color="auto"/>
        <w:left w:val="none" w:sz="0" w:space="0" w:color="auto"/>
        <w:bottom w:val="none" w:sz="0" w:space="0" w:color="auto"/>
        <w:right w:val="none" w:sz="0" w:space="0" w:color="auto"/>
      </w:divBdr>
    </w:div>
    <w:div w:id="326783761">
      <w:bodyDiv w:val="1"/>
      <w:marLeft w:val="0"/>
      <w:marRight w:val="0"/>
      <w:marTop w:val="0"/>
      <w:marBottom w:val="0"/>
      <w:divBdr>
        <w:top w:val="none" w:sz="0" w:space="0" w:color="auto"/>
        <w:left w:val="none" w:sz="0" w:space="0" w:color="auto"/>
        <w:bottom w:val="none" w:sz="0" w:space="0" w:color="auto"/>
        <w:right w:val="none" w:sz="0" w:space="0" w:color="auto"/>
      </w:divBdr>
    </w:div>
    <w:div w:id="357708011">
      <w:bodyDiv w:val="1"/>
      <w:marLeft w:val="0"/>
      <w:marRight w:val="0"/>
      <w:marTop w:val="0"/>
      <w:marBottom w:val="0"/>
      <w:divBdr>
        <w:top w:val="none" w:sz="0" w:space="0" w:color="auto"/>
        <w:left w:val="none" w:sz="0" w:space="0" w:color="auto"/>
        <w:bottom w:val="none" w:sz="0" w:space="0" w:color="auto"/>
        <w:right w:val="none" w:sz="0" w:space="0" w:color="auto"/>
      </w:divBdr>
    </w:div>
    <w:div w:id="633681388">
      <w:bodyDiv w:val="1"/>
      <w:marLeft w:val="0"/>
      <w:marRight w:val="0"/>
      <w:marTop w:val="0"/>
      <w:marBottom w:val="0"/>
      <w:divBdr>
        <w:top w:val="none" w:sz="0" w:space="0" w:color="auto"/>
        <w:left w:val="none" w:sz="0" w:space="0" w:color="auto"/>
        <w:bottom w:val="none" w:sz="0" w:space="0" w:color="auto"/>
        <w:right w:val="none" w:sz="0" w:space="0" w:color="auto"/>
      </w:divBdr>
    </w:div>
    <w:div w:id="706680461">
      <w:bodyDiv w:val="1"/>
      <w:marLeft w:val="0"/>
      <w:marRight w:val="0"/>
      <w:marTop w:val="0"/>
      <w:marBottom w:val="0"/>
      <w:divBdr>
        <w:top w:val="none" w:sz="0" w:space="0" w:color="auto"/>
        <w:left w:val="none" w:sz="0" w:space="0" w:color="auto"/>
        <w:bottom w:val="none" w:sz="0" w:space="0" w:color="auto"/>
        <w:right w:val="none" w:sz="0" w:space="0" w:color="auto"/>
      </w:divBdr>
    </w:div>
    <w:div w:id="764348201">
      <w:bodyDiv w:val="1"/>
      <w:marLeft w:val="0"/>
      <w:marRight w:val="0"/>
      <w:marTop w:val="0"/>
      <w:marBottom w:val="0"/>
      <w:divBdr>
        <w:top w:val="none" w:sz="0" w:space="0" w:color="auto"/>
        <w:left w:val="none" w:sz="0" w:space="0" w:color="auto"/>
        <w:bottom w:val="none" w:sz="0" w:space="0" w:color="auto"/>
        <w:right w:val="none" w:sz="0" w:space="0" w:color="auto"/>
      </w:divBdr>
    </w:div>
    <w:div w:id="856116583">
      <w:bodyDiv w:val="1"/>
      <w:marLeft w:val="0"/>
      <w:marRight w:val="0"/>
      <w:marTop w:val="0"/>
      <w:marBottom w:val="0"/>
      <w:divBdr>
        <w:top w:val="none" w:sz="0" w:space="0" w:color="auto"/>
        <w:left w:val="none" w:sz="0" w:space="0" w:color="auto"/>
        <w:bottom w:val="none" w:sz="0" w:space="0" w:color="auto"/>
        <w:right w:val="none" w:sz="0" w:space="0" w:color="auto"/>
      </w:divBdr>
    </w:div>
    <w:div w:id="872696207">
      <w:bodyDiv w:val="1"/>
      <w:marLeft w:val="0"/>
      <w:marRight w:val="0"/>
      <w:marTop w:val="0"/>
      <w:marBottom w:val="0"/>
      <w:divBdr>
        <w:top w:val="none" w:sz="0" w:space="0" w:color="auto"/>
        <w:left w:val="none" w:sz="0" w:space="0" w:color="auto"/>
        <w:bottom w:val="none" w:sz="0" w:space="0" w:color="auto"/>
        <w:right w:val="none" w:sz="0" w:space="0" w:color="auto"/>
      </w:divBdr>
    </w:div>
    <w:div w:id="884171823">
      <w:bodyDiv w:val="1"/>
      <w:marLeft w:val="0"/>
      <w:marRight w:val="0"/>
      <w:marTop w:val="0"/>
      <w:marBottom w:val="0"/>
      <w:divBdr>
        <w:top w:val="none" w:sz="0" w:space="0" w:color="auto"/>
        <w:left w:val="none" w:sz="0" w:space="0" w:color="auto"/>
        <w:bottom w:val="none" w:sz="0" w:space="0" w:color="auto"/>
        <w:right w:val="none" w:sz="0" w:space="0" w:color="auto"/>
      </w:divBdr>
    </w:div>
    <w:div w:id="994257398">
      <w:bodyDiv w:val="1"/>
      <w:marLeft w:val="0"/>
      <w:marRight w:val="0"/>
      <w:marTop w:val="0"/>
      <w:marBottom w:val="0"/>
      <w:divBdr>
        <w:top w:val="none" w:sz="0" w:space="0" w:color="auto"/>
        <w:left w:val="none" w:sz="0" w:space="0" w:color="auto"/>
        <w:bottom w:val="none" w:sz="0" w:space="0" w:color="auto"/>
        <w:right w:val="none" w:sz="0" w:space="0" w:color="auto"/>
      </w:divBdr>
    </w:div>
    <w:div w:id="1365865392">
      <w:bodyDiv w:val="1"/>
      <w:marLeft w:val="0"/>
      <w:marRight w:val="0"/>
      <w:marTop w:val="0"/>
      <w:marBottom w:val="0"/>
      <w:divBdr>
        <w:top w:val="none" w:sz="0" w:space="0" w:color="auto"/>
        <w:left w:val="none" w:sz="0" w:space="0" w:color="auto"/>
        <w:bottom w:val="none" w:sz="0" w:space="0" w:color="auto"/>
        <w:right w:val="none" w:sz="0" w:space="0" w:color="auto"/>
      </w:divBdr>
    </w:div>
    <w:div w:id="1409384063">
      <w:bodyDiv w:val="1"/>
      <w:marLeft w:val="0"/>
      <w:marRight w:val="0"/>
      <w:marTop w:val="0"/>
      <w:marBottom w:val="0"/>
      <w:divBdr>
        <w:top w:val="none" w:sz="0" w:space="0" w:color="auto"/>
        <w:left w:val="none" w:sz="0" w:space="0" w:color="auto"/>
        <w:bottom w:val="none" w:sz="0" w:space="0" w:color="auto"/>
        <w:right w:val="none" w:sz="0" w:space="0" w:color="auto"/>
      </w:divBdr>
    </w:div>
    <w:div w:id="1474175932">
      <w:bodyDiv w:val="1"/>
      <w:marLeft w:val="0"/>
      <w:marRight w:val="0"/>
      <w:marTop w:val="0"/>
      <w:marBottom w:val="0"/>
      <w:divBdr>
        <w:top w:val="none" w:sz="0" w:space="0" w:color="auto"/>
        <w:left w:val="none" w:sz="0" w:space="0" w:color="auto"/>
        <w:bottom w:val="none" w:sz="0" w:space="0" w:color="auto"/>
        <w:right w:val="none" w:sz="0" w:space="0" w:color="auto"/>
      </w:divBdr>
    </w:div>
    <w:div w:id="1642996529">
      <w:bodyDiv w:val="1"/>
      <w:marLeft w:val="0"/>
      <w:marRight w:val="0"/>
      <w:marTop w:val="0"/>
      <w:marBottom w:val="0"/>
      <w:divBdr>
        <w:top w:val="none" w:sz="0" w:space="0" w:color="auto"/>
        <w:left w:val="none" w:sz="0" w:space="0" w:color="auto"/>
        <w:bottom w:val="none" w:sz="0" w:space="0" w:color="auto"/>
        <w:right w:val="none" w:sz="0" w:space="0" w:color="auto"/>
      </w:divBdr>
    </w:div>
    <w:div w:id="1700012270">
      <w:bodyDiv w:val="1"/>
      <w:marLeft w:val="0"/>
      <w:marRight w:val="0"/>
      <w:marTop w:val="0"/>
      <w:marBottom w:val="0"/>
      <w:divBdr>
        <w:top w:val="none" w:sz="0" w:space="0" w:color="auto"/>
        <w:left w:val="none" w:sz="0" w:space="0" w:color="auto"/>
        <w:bottom w:val="none" w:sz="0" w:space="0" w:color="auto"/>
        <w:right w:val="none" w:sz="0" w:space="0" w:color="auto"/>
      </w:divBdr>
    </w:div>
    <w:div w:id="1718316590">
      <w:bodyDiv w:val="1"/>
      <w:marLeft w:val="0"/>
      <w:marRight w:val="0"/>
      <w:marTop w:val="0"/>
      <w:marBottom w:val="0"/>
      <w:divBdr>
        <w:top w:val="none" w:sz="0" w:space="0" w:color="auto"/>
        <w:left w:val="none" w:sz="0" w:space="0" w:color="auto"/>
        <w:bottom w:val="none" w:sz="0" w:space="0" w:color="auto"/>
        <w:right w:val="none" w:sz="0" w:space="0" w:color="auto"/>
      </w:divBdr>
    </w:div>
    <w:div w:id="1815444773">
      <w:bodyDiv w:val="1"/>
      <w:marLeft w:val="0"/>
      <w:marRight w:val="0"/>
      <w:marTop w:val="0"/>
      <w:marBottom w:val="0"/>
      <w:divBdr>
        <w:top w:val="none" w:sz="0" w:space="0" w:color="auto"/>
        <w:left w:val="none" w:sz="0" w:space="0" w:color="auto"/>
        <w:bottom w:val="none" w:sz="0" w:space="0" w:color="auto"/>
        <w:right w:val="none" w:sz="0" w:space="0" w:color="auto"/>
      </w:divBdr>
    </w:div>
    <w:div w:id="1854950720">
      <w:bodyDiv w:val="1"/>
      <w:marLeft w:val="0"/>
      <w:marRight w:val="0"/>
      <w:marTop w:val="0"/>
      <w:marBottom w:val="0"/>
      <w:divBdr>
        <w:top w:val="none" w:sz="0" w:space="0" w:color="auto"/>
        <w:left w:val="none" w:sz="0" w:space="0" w:color="auto"/>
        <w:bottom w:val="none" w:sz="0" w:space="0" w:color="auto"/>
        <w:right w:val="none" w:sz="0" w:space="0" w:color="auto"/>
      </w:divBdr>
    </w:div>
    <w:div w:id="1903326620">
      <w:bodyDiv w:val="1"/>
      <w:marLeft w:val="0"/>
      <w:marRight w:val="0"/>
      <w:marTop w:val="0"/>
      <w:marBottom w:val="0"/>
      <w:divBdr>
        <w:top w:val="none" w:sz="0" w:space="0" w:color="auto"/>
        <w:left w:val="none" w:sz="0" w:space="0" w:color="auto"/>
        <w:bottom w:val="none" w:sz="0" w:space="0" w:color="auto"/>
        <w:right w:val="none" w:sz="0" w:space="0" w:color="auto"/>
      </w:divBdr>
    </w:div>
    <w:div w:id="2023390451">
      <w:bodyDiv w:val="1"/>
      <w:marLeft w:val="0"/>
      <w:marRight w:val="0"/>
      <w:marTop w:val="0"/>
      <w:marBottom w:val="0"/>
      <w:divBdr>
        <w:top w:val="none" w:sz="0" w:space="0" w:color="auto"/>
        <w:left w:val="none" w:sz="0" w:space="0" w:color="auto"/>
        <w:bottom w:val="none" w:sz="0" w:space="0" w:color="auto"/>
        <w:right w:val="none" w:sz="0" w:space="0" w:color="auto"/>
      </w:divBdr>
    </w:div>
    <w:div w:id="20270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'GDP_2HRW_NOC_NB_A-reshaped-2024'!$B$7</c:f>
              <c:strCache>
                <c:ptCount val="1"/>
                <c:pt idx="0">
                  <c:v>Low income</c:v>
                </c:pt>
              </c:strCache>
            </c:strRef>
          </c:tx>
          <c:spPr>
            <a:ln w="28575" cap="rnd">
              <a:solidFill>
                <a:schemeClr val="accent1"/>
              </a:solidFill>
              <a:round/>
            </a:ln>
            <a:effectLst/>
          </c:spPr>
          <c:marker>
            <c:symbol val="none"/>
          </c:marker>
          <c:cat>
            <c:numRef>
              <c:f>'GDP_2HRW_NOC_NB_A-reshaped-2024'!$C$6:$V$6</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'GDP_2HRW_NOC_NB_A-reshaped-2024'!$C$7:$V$7</c:f>
              <c:numCache>
                <c:formatCode>0.0</c:formatCode>
                <c:ptCount val="20"/>
                <c:pt idx="0">
                  <c:v>6.0291060291060283</c:v>
                </c:pt>
                <c:pt idx="1">
                  <c:v>6.1475409836065582</c:v>
                </c:pt>
                <c:pt idx="2">
                  <c:v>6.0728744939271255</c:v>
                </c:pt>
                <c:pt idx="3">
                  <c:v>6.262626262626263</c:v>
                </c:pt>
                <c:pt idx="4">
                  <c:v>6.262626262626263</c:v>
                </c:pt>
                <c:pt idx="5">
                  <c:v>6.3241106719367588</c:v>
                </c:pt>
                <c:pt idx="6">
                  <c:v>6.2378167641325541</c:v>
                </c:pt>
                <c:pt idx="7">
                  <c:v>5.8139534883720927</c:v>
                </c:pt>
                <c:pt idx="8">
                  <c:v>5.9500959692898272</c:v>
                </c:pt>
                <c:pt idx="9">
                  <c:v>6.083650190114068</c:v>
                </c:pt>
                <c:pt idx="10">
                  <c:v>5.8161350844277679</c:v>
                </c:pt>
                <c:pt idx="11">
                  <c:v>5.8052434456928843</c:v>
                </c:pt>
                <c:pt idx="12">
                  <c:v>5.5452865064695009</c:v>
                </c:pt>
                <c:pt idx="13">
                  <c:v>5.4744525547445262</c:v>
                </c:pt>
                <c:pt idx="14">
                  <c:v>5.6159420289855069</c:v>
                </c:pt>
                <c:pt idx="15">
                  <c:v>5.4290718038528896</c:v>
                </c:pt>
                <c:pt idx="16">
                  <c:v>5.1903114186851216</c:v>
                </c:pt>
                <c:pt idx="17">
                  <c:v>5.1903114186851216</c:v>
                </c:pt>
                <c:pt idx="18">
                  <c:v>5</c:v>
                </c:pt>
                <c:pt idx="19">
                  <c:v>4.9069373942470387</c:v>
                </c:pt>
              </c:numCache>
            </c:numRef>
          </c:val>
          <c:smooth val="0"/>
          <c:extLst>
            <c:ext xmlns:c16="http://schemas.microsoft.com/office/drawing/2014/chart" uri="{C3380CC4-5D6E-409C-BE32-E72D297353CC}">
              <c16:uniqueId val="{00000000-C911-4BF5-9D60-95459B6DCBAA}"/>
            </c:ext>
          </c:extLst>
        </c:ser>
        <c:ser>
          <c:idx val="1"/>
          <c:order val="1"/>
          <c:tx>
            <c:strRef>
              <c:f>'GDP_2HRW_NOC_NB_A-reshaped-2024'!$B$8</c:f>
              <c:strCache>
                <c:ptCount val="1"/>
                <c:pt idx="0">
                  <c:v>Lower-middle income</c:v>
                </c:pt>
              </c:strCache>
            </c:strRef>
          </c:tx>
          <c:spPr>
            <a:ln w="28575" cap="rnd">
              <a:solidFill>
                <a:schemeClr val="accent2"/>
              </a:solidFill>
              <a:round/>
            </a:ln>
            <a:effectLst/>
          </c:spPr>
          <c:marker>
            <c:symbol val="none"/>
          </c:marker>
          <c:cat>
            <c:numRef>
              <c:f>'GDP_2HRW_NOC_NB_A-reshaped-2024'!$C$6:$V$6</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'GDP_2HRW_NOC_NB_A-reshaped-2024'!$C$8:$V$8</c:f>
              <c:numCache>
                <c:formatCode>0.0</c:formatCode>
                <c:ptCount val="20"/>
                <c:pt idx="0">
                  <c:v>10.187110187110187</c:v>
                </c:pt>
                <c:pt idx="1">
                  <c:v>10.450819672131148</c:v>
                </c:pt>
                <c:pt idx="2">
                  <c:v>10.931174089068826</c:v>
                </c:pt>
                <c:pt idx="3">
                  <c:v>11.111111111111111</c:v>
                </c:pt>
                <c:pt idx="4">
                  <c:v>11.515151515151516</c:v>
                </c:pt>
                <c:pt idx="5">
                  <c:v>11.6600790513834</c:v>
                </c:pt>
                <c:pt idx="6">
                  <c:v>11.890838206627679</c:v>
                </c:pt>
                <c:pt idx="7">
                  <c:v>12.209302325581394</c:v>
                </c:pt>
                <c:pt idx="8">
                  <c:v>12.476007677543185</c:v>
                </c:pt>
                <c:pt idx="9">
                  <c:v>12.927756653992395</c:v>
                </c:pt>
                <c:pt idx="10">
                  <c:v>13.133208255159476</c:v>
                </c:pt>
                <c:pt idx="11">
                  <c:v>13.670411985018728</c:v>
                </c:pt>
                <c:pt idx="12">
                  <c:v>14.048059149722736</c:v>
                </c:pt>
                <c:pt idx="13">
                  <c:v>14.416058394160586</c:v>
                </c:pt>
                <c:pt idx="14">
                  <c:v>14.492753623188406</c:v>
                </c:pt>
                <c:pt idx="15">
                  <c:v>14.185639229422065</c:v>
                </c:pt>
                <c:pt idx="16">
                  <c:v>14.359861591695502</c:v>
                </c:pt>
                <c:pt idx="17">
                  <c:v>14.53287197231834</c:v>
                </c:pt>
                <c:pt idx="18">
                  <c:v>14.655172413793101</c:v>
                </c:pt>
                <c:pt idx="19">
                  <c:v>14.890016920473775</c:v>
                </c:pt>
              </c:numCache>
            </c:numRef>
          </c:val>
          <c:smooth val="0"/>
          <c:extLst>
            <c:ext xmlns:c16="http://schemas.microsoft.com/office/drawing/2014/chart" uri="{C3380CC4-5D6E-409C-BE32-E72D297353CC}">
              <c16:uniqueId val="{00000001-C911-4BF5-9D60-95459B6DCBAA}"/>
            </c:ext>
          </c:extLst>
        </c:ser>
        <c:ser>
          <c:idx val="2"/>
          <c:order val="2"/>
          <c:tx>
            <c:strRef>
              <c:f>'GDP_2HRW_NOC_NB_A-reshaped-2024'!$B$9</c:f>
              <c:strCache>
                <c:ptCount val="1"/>
                <c:pt idx="0">
                  <c:v>Upper-midlle income</c:v>
                </c:pt>
              </c:strCache>
            </c:strRef>
          </c:tx>
          <c:spPr>
            <a:ln w="28575" cap="rnd">
              <a:solidFill>
                <a:schemeClr val="accent3"/>
              </a:solidFill>
              <a:round/>
            </a:ln>
            <a:effectLst/>
          </c:spPr>
          <c:marker>
            <c:symbol val="none"/>
          </c:marker>
          <c:cat>
            <c:numRef>
              <c:f>'GDP_2HRW_NOC_NB_A-reshaped-2024'!$C$6:$V$6</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'GDP_2HRW_NOC_NB_A-reshaped-2024'!$C$9:$V$9</c:f>
              <c:numCache>
                <c:formatCode>0.0</c:formatCode>
                <c:ptCount val="20"/>
                <c:pt idx="0">
                  <c:v>16.216216216216214</c:v>
                </c:pt>
                <c:pt idx="1">
                  <c:v>17.213114754098363</c:v>
                </c:pt>
                <c:pt idx="2">
                  <c:v>18.825910931174093</c:v>
                </c:pt>
                <c:pt idx="3">
                  <c:v>20.202020202020201</c:v>
                </c:pt>
                <c:pt idx="4">
                  <c:v>20.606060606060606</c:v>
                </c:pt>
                <c:pt idx="5">
                  <c:v>20.750988142292488</c:v>
                </c:pt>
                <c:pt idx="6">
                  <c:v>21.832358674463936</c:v>
                </c:pt>
                <c:pt idx="7">
                  <c:v>22.674418604651162</c:v>
                </c:pt>
                <c:pt idx="8">
                  <c:v>23.416506717850286</c:v>
                </c:pt>
                <c:pt idx="9">
                  <c:v>24.144486692015207</c:v>
                </c:pt>
                <c:pt idx="10">
                  <c:v>24.57786116322702</c:v>
                </c:pt>
                <c:pt idx="11">
                  <c:v>25.468164794007492</c:v>
                </c:pt>
                <c:pt idx="12">
                  <c:v>26.247689463955638</c:v>
                </c:pt>
                <c:pt idx="13">
                  <c:v>27.007299270072991</c:v>
                </c:pt>
                <c:pt idx="14">
                  <c:v>27.898550724637683</c:v>
                </c:pt>
                <c:pt idx="15">
                  <c:v>28.721541155866898</c:v>
                </c:pt>
                <c:pt idx="16">
                  <c:v>28.892733564013838</c:v>
                </c:pt>
                <c:pt idx="17">
                  <c:v>28.892733564013838</c:v>
                </c:pt>
                <c:pt idx="18">
                  <c:v>29.827586206896552</c:v>
                </c:pt>
                <c:pt idx="19">
                  <c:v>30.118443316412858</c:v>
                </c:pt>
              </c:numCache>
            </c:numRef>
          </c:val>
          <c:smooth val="0"/>
          <c:extLst>
            <c:ext xmlns:c16="http://schemas.microsoft.com/office/drawing/2014/chart" uri="{C3380CC4-5D6E-409C-BE32-E72D297353CC}">
              <c16:uniqueId val="{00000002-C911-4BF5-9D60-95459B6DCBAA}"/>
            </c:ext>
          </c:extLst>
        </c:ser>
        <c:dLbls>
          <c:showLegendKey val="0"/>
          <c:showVal val="0"/>
          <c:showCatName val="0"/>
          <c:showSerName val="0"/>
          <c:showPercent val="0"/>
          <c:showBubbleSize val="0"/>
        </c:dLbls>
        <c:smooth val="0"/>
        <c:axId val="31080592"/>
        <c:axId val="31098352"/>
      </c:lineChart>
      <c:catAx>
        <c:axId val="3108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98352"/>
        <c:crosses val="autoZero"/>
        <c:auto val="1"/>
        <c:lblAlgn val="ctr"/>
        <c:lblOffset val="100"/>
        <c:noMultiLvlLbl val="0"/>
      </c:catAx>
      <c:valAx>
        <c:axId val="310983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8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Samatar, Yasin</cp:lastModifiedBy>
  <cp:revision>91</cp:revision>
  <dcterms:created xsi:type="dcterms:W3CDTF">2024-09-05T12:54:00Z</dcterms:created>
  <dcterms:modified xsi:type="dcterms:W3CDTF">2024-10-08T14:06:00Z</dcterms:modified>
</cp:coreProperties>
</file>