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65B2701A" w:rsidR="00B37572" w:rsidRDefault="00B37572" w:rsidP="00B37572">
      <w:pPr>
        <w:pStyle w:val="Heading1"/>
        <w:jc w:val="center"/>
      </w:pPr>
      <w:r w:rsidRPr="004929D3">
        <w:t xml:space="preserve">Financing </w:t>
      </w:r>
      <w:r w:rsidR="00251A33">
        <w:t>Po</w:t>
      </w:r>
      <w:r w:rsidR="002C6D77">
        <w:t xml:space="preserve">licy </w:t>
      </w:r>
      <w:r w:rsidRPr="004929D3">
        <w:t>Brief</w:t>
      </w:r>
      <w:r w:rsidR="00174569">
        <w:t xml:space="preserve"> Series </w:t>
      </w:r>
      <w:r w:rsidRPr="004929D3">
        <w:t xml:space="preserve">– </w:t>
      </w:r>
      <w:r w:rsidR="00B52F12">
        <w:t>Recommendations for</w:t>
      </w:r>
      <w:r w:rsidRPr="004929D3">
        <w:t xml:space="preserve"> FfD4</w:t>
      </w:r>
    </w:p>
    <w:p w14:paraId="70B779C3" w14:textId="77777777" w:rsidR="008076EE" w:rsidRDefault="008076EE" w:rsidP="00B37572">
      <w:pPr>
        <w:rPr>
          <w:rFonts w:asciiTheme="majorHAnsi" w:eastAsiaTheme="majorEastAsia" w:hAnsiTheme="majorHAnsi" w:cstheme="majorBidi"/>
          <w:color w:val="2F5496" w:themeColor="accent1" w:themeShade="BF"/>
          <w:sz w:val="32"/>
          <w:szCs w:val="32"/>
        </w:rPr>
      </w:pPr>
    </w:p>
    <w:p w14:paraId="5BD6C9E4" w14:textId="77777777" w:rsidR="000D6406" w:rsidRDefault="007616B2" w:rsidP="000D6406">
      <w:pPr>
        <w:spacing w:after="0"/>
        <w:jc w:val="center"/>
        <w:rPr>
          <w:rFonts w:asciiTheme="majorHAnsi" w:eastAsiaTheme="majorEastAsia" w:hAnsiTheme="majorHAnsi" w:cstheme="majorBidi"/>
          <w:color w:val="2F5496" w:themeColor="accent1" w:themeShade="BF"/>
          <w:sz w:val="32"/>
          <w:szCs w:val="32"/>
        </w:rPr>
      </w:pPr>
      <w:r w:rsidRPr="007616B2">
        <w:rPr>
          <w:rFonts w:asciiTheme="majorHAnsi" w:eastAsiaTheme="majorEastAsia" w:hAnsiTheme="majorHAnsi" w:cstheme="majorBidi"/>
          <w:color w:val="2F5496" w:themeColor="accent1" w:themeShade="BF"/>
          <w:sz w:val="32"/>
          <w:szCs w:val="32"/>
        </w:rPr>
        <w:t>Scaling Up</w:t>
      </w:r>
      <w:r w:rsidR="008076EE" w:rsidRPr="008076EE">
        <w:rPr>
          <w:rFonts w:asciiTheme="majorHAnsi" w:eastAsiaTheme="majorEastAsia" w:hAnsiTheme="majorHAnsi" w:cstheme="majorBidi"/>
          <w:color w:val="2F5496" w:themeColor="accent1" w:themeShade="BF"/>
          <w:sz w:val="32"/>
          <w:szCs w:val="32"/>
        </w:rPr>
        <w:t xml:space="preserve"> the Global Accelerator </w:t>
      </w:r>
    </w:p>
    <w:p w14:paraId="3759A8D8" w14:textId="6A947198" w:rsidR="00B37572" w:rsidRDefault="000D6406" w:rsidP="000D6406">
      <w:pPr>
        <w:spacing w:after="0"/>
        <w:jc w:val="cente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on</w:t>
      </w:r>
      <w:r w:rsidR="008076EE" w:rsidRPr="008076EE">
        <w:rPr>
          <w:rFonts w:asciiTheme="majorHAnsi" w:eastAsiaTheme="majorEastAsia" w:hAnsiTheme="majorHAnsi" w:cstheme="majorBidi"/>
          <w:color w:val="2F5496" w:themeColor="accent1" w:themeShade="BF"/>
          <w:sz w:val="32"/>
          <w:szCs w:val="32"/>
        </w:rPr>
        <w:t xml:space="preserve"> Jobs </w:t>
      </w:r>
      <w:r w:rsidR="00D11114">
        <w:rPr>
          <w:rFonts w:asciiTheme="majorHAnsi" w:eastAsiaTheme="majorEastAsia" w:hAnsiTheme="majorHAnsi" w:cstheme="majorBidi"/>
          <w:color w:val="2F5496" w:themeColor="accent1" w:themeShade="BF"/>
          <w:sz w:val="32"/>
          <w:szCs w:val="32"/>
        </w:rPr>
        <w:t>and</w:t>
      </w:r>
      <w:r w:rsidR="008076EE" w:rsidRPr="008076EE">
        <w:rPr>
          <w:rFonts w:asciiTheme="majorHAnsi" w:eastAsiaTheme="majorEastAsia" w:hAnsiTheme="majorHAnsi" w:cstheme="majorBidi"/>
          <w:color w:val="2F5496" w:themeColor="accent1" w:themeShade="BF"/>
          <w:sz w:val="32"/>
          <w:szCs w:val="32"/>
        </w:rPr>
        <w:t xml:space="preserve"> Social Protection</w:t>
      </w:r>
      <w:r w:rsidR="003A11F9">
        <w:rPr>
          <w:rFonts w:asciiTheme="majorHAnsi" w:eastAsiaTheme="majorEastAsia" w:hAnsiTheme="majorHAnsi" w:cstheme="majorBidi"/>
          <w:color w:val="2F5496" w:themeColor="accent1" w:themeShade="BF"/>
          <w:sz w:val="32"/>
          <w:szCs w:val="32"/>
        </w:rPr>
        <w:t xml:space="preserve"> for Just Transitions</w:t>
      </w:r>
    </w:p>
    <w:p w14:paraId="5BE43055" w14:textId="77777777" w:rsidR="000D6406" w:rsidRDefault="000D6406" w:rsidP="000D6406">
      <w:pPr>
        <w:spacing w:after="0"/>
        <w:jc w:val="center"/>
      </w:pPr>
    </w:p>
    <w:p w14:paraId="5CEC07AF" w14:textId="77777777" w:rsidR="00FC68F9" w:rsidRDefault="00FC68F9" w:rsidP="00FC68F9">
      <w:pPr>
        <w:pStyle w:val="Heading2"/>
      </w:pPr>
    </w:p>
    <w:p w14:paraId="4931A488" w14:textId="075285F6" w:rsidR="00B37572" w:rsidRDefault="00174569" w:rsidP="00B37572">
      <w:pPr>
        <w:pStyle w:val="Heading2"/>
      </w:pPr>
      <w:r>
        <w:t xml:space="preserve">Key messages </w:t>
      </w:r>
    </w:p>
    <w:p w14:paraId="2606BC36" w14:textId="1D4253EA" w:rsidR="00360608" w:rsidRPr="0045485D" w:rsidRDefault="00051768" w:rsidP="0045485D">
      <w:pPr>
        <w:pStyle w:val="ListParagraph"/>
        <w:numPr>
          <w:ilvl w:val="0"/>
          <w:numId w:val="24"/>
        </w:numPr>
        <w:jc w:val="both"/>
        <w:rPr>
          <w:lang w:val="en-GB"/>
        </w:rPr>
      </w:pPr>
      <w:r>
        <w:t>F</w:t>
      </w:r>
      <w:r w:rsidRPr="00FF4692">
        <w:t>inancing and policy gaps</w:t>
      </w:r>
      <w:r w:rsidR="00F41E4F">
        <w:t>,</w:t>
      </w:r>
      <w:r w:rsidRPr="00FF4692">
        <w:t xml:space="preserve"> exacerbated </w:t>
      </w:r>
      <w:r>
        <w:t xml:space="preserve">by </w:t>
      </w:r>
      <w:r w:rsidRPr="003C12D6">
        <w:t>multiple crises</w:t>
      </w:r>
      <w:r w:rsidR="00F41E4F">
        <w:t>,</w:t>
      </w:r>
      <w:r w:rsidRPr="003C12D6">
        <w:t xml:space="preserve"> </w:t>
      </w:r>
      <w:r w:rsidR="00F41E4F">
        <w:t xml:space="preserve">are </w:t>
      </w:r>
      <w:r w:rsidR="008109B1">
        <w:t>increas</w:t>
      </w:r>
      <w:r w:rsidR="00F41E4F">
        <w:t>ing</w:t>
      </w:r>
      <w:r w:rsidR="00E55CA3" w:rsidRPr="003C12D6">
        <w:t xml:space="preserve"> poverty and inequality while </w:t>
      </w:r>
      <w:r w:rsidR="008109B1" w:rsidRPr="0045485D">
        <w:rPr>
          <w:rFonts w:cstheme="minorHAnsi"/>
        </w:rPr>
        <w:t xml:space="preserve">high debt and limited fiscal space </w:t>
      </w:r>
      <w:r w:rsidR="008C345C" w:rsidRPr="0045485D">
        <w:rPr>
          <w:rFonts w:ascii="Calibri" w:hAnsi="Calibri" w:cs="Calibri"/>
        </w:rPr>
        <w:t>constrain</w:t>
      </w:r>
      <w:r w:rsidR="00E55CA3" w:rsidRPr="0045485D">
        <w:rPr>
          <w:rFonts w:ascii="Calibri" w:hAnsi="Calibri" w:cs="Calibri"/>
        </w:rPr>
        <w:t xml:space="preserve"> </w:t>
      </w:r>
      <w:r w:rsidR="00D9665A" w:rsidRPr="0045485D">
        <w:rPr>
          <w:rFonts w:ascii="Calibri" w:hAnsi="Calibri" w:cs="Calibri"/>
        </w:rPr>
        <w:t>countries’ ability to respond</w:t>
      </w:r>
      <w:r w:rsidR="008C345C" w:rsidRPr="0045485D">
        <w:rPr>
          <w:rFonts w:ascii="Calibri" w:hAnsi="Calibri" w:cs="Calibri"/>
        </w:rPr>
        <w:t xml:space="preserve"> effectively</w:t>
      </w:r>
      <w:r w:rsidR="003C12D6" w:rsidRPr="0045485D">
        <w:rPr>
          <w:rFonts w:ascii="Calibri" w:hAnsi="Calibri" w:cs="Calibri"/>
        </w:rPr>
        <w:t>.</w:t>
      </w:r>
      <w:r w:rsidR="00EA0B13">
        <w:t xml:space="preserve"> </w:t>
      </w:r>
      <w:r w:rsidR="003C12D6" w:rsidRPr="0045485D">
        <w:rPr>
          <w:rFonts w:cstheme="minorHAnsi"/>
        </w:rPr>
        <w:t xml:space="preserve">Nearly half the </w:t>
      </w:r>
      <w:r w:rsidR="00E8105C" w:rsidRPr="0045485D">
        <w:rPr>
          <w:rFonts w:cstheme="minorHAnsi"/>
        </w:rPr>
        <w:t xml:space="preserve">world's population </w:t>
      </w:r>
      <w:r w:rsidR="008C345C" w:rsidRPr="0045485D">
        <w:rPr>
          <w:rFonts w:cstheme="minorHAnsi"/>
        </w:rPr>
        <w:t>lacks any form of social</w:t>
      </w:r>
      <w:r w:rsidR="003C12D6" w:rsidRPr="0045485D">
        <w:rPr>
          <w:rFonts w:cstheme="minorHAnsi"/>
        </w:rPr>
        <w:t xml:space="preserve"> </w:t>
      </w:r>
      <w:r w:rsidR="00CE6F75" w:rsidRPr="0045485D">
        <w:rPr>
          <w:rFonts w:cstheme="minorHAnsi"/>
        </w:rPr>
        <w:t>protection,</w:t>
      </w:r>
      <w:r w:rsidR="00A02991" w:rsidRPr="0045485D">
        <w:rPr>
          <w:rFonts w:cstheme="minorHAnsi"/>
        </w:rPr>
        <w:t xml:space="preserve"> and </w:t>
      </w:r>
      <w:r w:rsidR="00AF4ABF" w:rsidRPr="0045485D">
        <w:rPr>
          <w:rFonts w:cstheme="minorHAnsi"/>
        </w:rPr>
        <w:t xml:space="preserve">the global </w:t>
      </w:r>
      <w:r w:rsidR="00A02991" w:rsidRPr="0045485D">
        <w:rPr>
          <w:rFonts w:cstheme="minorHAnsi"/>
        </w:rPr>
        <w:t xml:space="preserve">economy faces </w:t>
      </w:r>
      <w:r w:rsidR="008C345C" w:rsidRPr="0045485D">
        <w:rPr>
          <w:rFonts w:cstheme="minorHAnsi"/>
        </w:rPr>
        <w:t>a significant shortage</w:t>
      </w:r>
      <w:r w:rsidR="00A02991" w:rsidRPr="0045485D">
        <w:rPr>
          <w:rFonts w:cstheme="minorHAnsi"/>
        </w:rPr>
        <w:t xml:space="preserve"> </w:t>
      </w:r>
      <w:r w:rsidR="00AD088F" w:rsidRPr="0045485D">
        <w:rPr>
          <w:rFonts w:cstheme="minorHAnsi"/>
        </w:rPr>
        <w:t>of</w:t>
      </w:r>
      <w:r w:rsidR="00A02991" w:rsidRPr="0045485D">
        <w:rPr>
          <w:rFonts w:cstheme="minorHAnsi"/>
        </w:rPr>
        <w:t xml:space="preserve"> decent jobs, particularly in </w:t>
      </w:r>
      <w:r w:rsidR="00F5576E" w:rsidRPr="0045485D">
        <w:rPr>
          <w:rFonts w:cstheme="minorHAnsi"/>
        </w:rPr>
        <w:t xml:space="preserve">transition </w:t>
      </w:r>
      <w:r w:rsidR="00A02991" w:rsidRPr="0045485D">
        <w:rPr>
          <w:rFonts w:cstheme="minorHAnsi"/>
        </w:rPr>
        <w:t>sectors with high growth potential such as the green, digital, and care economies</w:t>
      </w:r>
      <w:r w:rsidR="00E8105C" w:rsidRPr="0045485D">
        <w:rPr>
          <w:rFonts w:cstheme="minorHAnsi"/>
        </w:rPr>
        <w:t xml:space="preserve">. </w:t>
      </w:r>
    </w:p>
    <w:p w14:paraId="4D3512FF" w14:textId="5191D1F8" w:rsidR="00AA0DF2" w:rsidRPr="0045485D" w:rsidRDefault="28C9F290" w:rsidP="0045485D">
      <w:pPr>
        <w:pStyle w:val="ListParagraph"/>
        <w:numPr>
          <w:ilvl w:val="0"/>
          <w:numId w:val="24"/>
        </w:numPr>
        <w:jc w:val="both"/>
        <w:rPr>
          <w:rFonts w:ascii="Calibri" w:eastAsia="Calibri" w:hAnsi="Calibri" w:cs="Calibri"/>
        </w:rPr>
      </w:pPr>
      <w:r>
        <w:t>Highlight the urgency and benefits of Member States adopting a three-pronged approach of multilateral cooperation, integrated employment and social protection policies, and increased and coordinated inv</w:t>
      </w:r>
      <w:r w:rsidRPr="0045485D">
        <w:rPr>
          <w:rFonts w:ascii="Calibri" w:eastAsia="Calibri" w:hAnsi="Calibri" w:cs="Calibri"/>
        </w:rPr>
        <w:t xml:space="preserve">estments in decent jobs and social protection. </w:t>
      </w:r>
      <w:r w:rsidR="00D13D0D">
        <w:t>This</w:t>
      </w:r>
      <w:r>
        <w:t xml:space="preserve"> will enhance national and international commitments and facilitate revenue mobilization for more investments in social protection and jobs for just transitions. This </w:t>
      </w:r>
      <w:r w:rsidRPr="0045485D">
        <w:rPr>
          <w:rFonts w:ascii="Calibri" w:eastAsia="Calibri" w:hAnsi="Calibri" w:cs="Calibri"/>
        </w:rPr>
        <w:t>feeds into a virtuous cycle of development, enhancing aggregate demand and productivity, which in turn spurs inclusive growth and expands fiscal space for further investments.</w:t>
      </w:r>
      <w:r w:rsidRPr="0045485D">
        <w:rPr>
          <w:lang w:val="en-GB"/>
        </w:rPr>
        <w:t xml:space="preserve"> </w:t>
      </w:r>
    </w:p>
    <w:p w14:paraId="19163C97" w14:textId="5C7955C6" w:rsidR="00174569" w:rsidRDefault="0094380E" w:rsidP="0045485D">
      <w:pPr>
        <w:pStyle w:val="ListParagraph"/>
        <w:numPr>
          <w:ilvl w:val="0"/>
          <w:numId w:val="24"/>
        </w:numPr>
        <w:jc w:val="both"/>
      </w:pPr>
      <w:r w:rsidRPr="0045485D">
        <w:rPr>
          <w:lang w:val="en-GB"/>
        </w:rPr>
        <w:t>T</w:t>
      </w:r>
      <w:r w:rsidR="001349E5" w:rsidRPr="0045485D">
        <w:rPr>
          <w:lang w:val="en-GB"/>
        </w:rPr>
        <w:t xml:space="preserve">he Global Accelerator </w:t>
      </w:r>
      <w:r w:rsidR="00530DC1" w:rsidRPr="0045485D">
        <w:rPr>
          <w:lang w:val="en-GB"/>
        </w:rPr>
        <w:t>on</w:t>
      </w:r>
      <w:r w:rsidR="00AD7C78" w:rsidRPr="0045485D">
        <w:rPr>
          <w:lang w:val="en-GB"/>
        </w:rPr>
        <w:t xml:space="preserve"> Jobs and Social Protection for Just Transitions </w:t>
      </w:r>
      <w:r w:rsidR="001349E5" w:rsidRPr="0045485D">
        <w:rPr>
          <w:lang w:val="en-GB"/>
        </w:rPr>
        <w:t xml:space="preserve">(GA) </w:t>
      </w:r>
      <w:r w:rsidRPr="0045485D">
        <w:rPr>
          <w:lang w:val="en-GB"/>
        </w:rPr>
        <w:t xml:space="preserve">is </w:t>
      </w:r>
      <w:r w:rsidR="001349E5" w:rsidRPr="0045485D">
        <w:rPr>
          <w:lang w:val="en-GB"/>
        </w:rPr>
        <w:t xml:space="preserve">a critical </w:t>
      </w:r>
      <w:r w:rsidR="00693602" w:rsidRPr="0045485D">
        <w:rPr>
          <w:lang w:val="en-GB"/>
        </w:rPr>
        <w:t>initiative</w:t>
      </w:r>
      <w:r w:rsidR="001349E5" w:rsidRPr="0045485D">
        <w:rPr>
          <w:lang w:val="en-GB"/>
        </w:rPr>
        <w:t xml:space="preserve"> for reducing systemic financing gaps</w:t>
      </w:r>
      <w:r w:rsidR="00A1058E" w:rsidRPr="0045485D">
        <w:rPr>
          <w:lang w:val="en-GB"/>
        </w:rPr>
        <w:t xml:space="preserve"> for social protection and decent jobs while mitigating detrimental impacts of </w:t>
      </w:r>
      <w:r w:rsidR="00A1058E">
        <w:t xml:space="preserve">ongoing crises </w:t>
      </w:r>
      <w:r w:rsidR="00D13D0D">
        <w:t>and structural shifts</w:t>
      </w:r>
      <w:r w:rsidR="00A1058E" w:rsidRPr="0045485D">
        <w:rPr>
          <w:lang w:val="en-GB"/>
        </w:rPr>
        <w:t xml:space="preserve">. </w:t>
      </w:r>
      <w:r w:rsidR="00096E21" w:rsidRPr="0045485D">
        <w:rPr>
          <w:lang w:val="en-GB"/>
        </w:rPr>
        <w:t xml:space="preserve">The </w:t>
      </w:r>
      <w:r w:rsidR="00AA0DF2" w:rsidRPr="0045485D">
        <w:rPr>
          <w:lang w:val="en-GB"/>
        </w:rPr>
        <w:t xml:space="preserve">GA </w:t>
      </w:r>
      <w:r w:rsidR="00AA0DF2">
        <w:t xml:space="preserve">has gained significant momentum and </w:t>
      </w:r>
      <w:r w:rsidR="00AA0DF2" w:rsidRPr="0045485D">
        <w:rPr>
          <w:lang w:val="en-GB"/>
        </w:rPr>
        <w:t xml:space="preserve">is being implemented through a joint process of governments, social partners, UN agencies, </w:t>
      </w:r>
      <w:r w:rsidR="00704210" w:rsidRPr="0045485D">
        <w:rPr>
          <w:rFonts w:ascii="Calibri" w:hAnsi="Calibri" w:cs="Calibri"/>
        </w:rPr>
        <w:t>Internation</w:t>
      </w:r>
      <w:r w:rsidR="00A13EBC" w:rsidRPr="0045485D">
        <w:rPr>
          <w:rFonts w:ascii="Calibri" w:hAnsi="Calibri" w:cs="Calibri"/>
        </w:rPr>
        <w:t>al</w:t>
      </w:r>
      <w:r w:rsidR="00704210" w:rsidRPr="0045485D">
        <w:rPr>
          <w:rFonts w:ascii="Calibri" w:hAnsi="Calibri" w:cs="Calibri"/>
        </w:rPr>
        <w:t xml:space="preserve"> Financial Institutions (</w:t>
      </w:r>
      <w:r w:rsidR="00AA0DF2" w:rsidRPr="0045485D">
        <w:rPr>
          <w:lang w:val="en-GB"/>
        </w:rPr>
        <w:t>IFIs</w:t>
      </w:r>
      <w:r w:rsidR="00704210" w:rsidRPr="0045485D">
        <w:rPr>
          <w:lang w:val="en-GB"/>
        </w:rPr>
        <w:t>)</w:t>
      </w:r>
      <w:r w:rsidR="00AA0DF2" w:rsidRPr="0045485D">
        <w:rPr>
          <w:lang w:val="en-GB"/>
        </w:rPr>
        <w:t>, and other key stakeholders building a tailor-made approach adapted to each country’s specific context, including those in fragile and post-conflict settings. </w:t>
      </w:r>
    </w:p>
    <w:p w14:paraId="2034E261" w14:textId="166E943E" w:rsidR="0077129E" w:rsidRPr="0077129E" w:rsidRDefault="00174569" w:rsidP="0077129E">
      <w:pPr>
        <w:pStyle w:val="Heading2"/>
        <w:spacing w:before="0"/>
        <w:rPr>
          <w:lang w:val="en-GB"/>
        </w:rPr>
      </w:pPr>
      <w:r>
        <w:t>Problem statement</w:t>
      </w:r>
    </w:p>
    <w:p w14:paraId="144B4087" w14:textId="76BEA28D" w:rsidR="00FA2AE8" w:rsidRPr="00FC5FCE" w:rsidRDefault="00813927" w:rsidP="0077129E">
      <w:pPr>
        <w:spacing w:after="0"/>
        <w:jc w:val="both"/>
        <w:rPr>
          <w:b/>
          <w:bCs/>
        </w:rPr>
      </w:pPr>
      <w:r w:rsidRPr="00813927">
        <w:rPr>
          <w:b/>
          <w:bCs/>
        </w:rPr>
        <w:t>Intensifying</w:t>
      </w:r>
      <w:r>
        <w:rPr>
          <w:b/>
          <w:bCs/>
        </w:rPr>
        <w:t xml:space="preserve"> </w:t>
      </w:r>
      <w:r w:rsidR="00FC5FCE" w:rsidRPr="00FC5FCE">
        <w:rPr>
          <w:b/>
          <w:bCs/>
        </w:rPr>
        <w:t xml:space="preserve">socio-economic vulnerabilities </w:t>
      </w:r>
      <w:r w:rsidR="00FC5FCE">
        <w:rPr>
          <w:b/>
          <w:bCs/>
        </w:rPr>
        <w:t>and</w:t>
      </w:r>
      <w:r w:rsidR="00AF4ABF">
        <w:rPr>
          <w:b/>
          <w:bCs/>
        </w:rPr>
        <w:t xml:space="preserve"> significant</w:t>
      </w:r>
      <w:r w:rsidR="00FC5FCE" w:rsidRPr="00FC5FCE">
        <w:rPr>
          <w:b/>
          <w:bCs/>
        </w:rPr>
        <w:t xml:space="preserve"> financing </w:t>
      </w:r>
      <w:r w:rsidR="00F03983">
        <w:rPr>
          <w:b/>
          <w:bCs/>
        </w:rPr>
        <w:t>needs</w:t>
      </w:r>
    </w:p>
    <w:p w14:paraId="0A2B534F" w14:textId="13E9A423" w:rsidR="003D6377" w:rsidRDefault="00BC28B8" w:rsidP="003D6377">
      <w:pPr>
        <w:spacing w:after="0"/>
        <w:jc w:val="both"/>
        <w:rPr>
          <w:rFonts w:ascii="Calibri" w:hAnsi="Calibri" w:cs="Calibri"/>
          <w:lang w:val="en-GB"/>
        </w:rPr>
      </w:pPr>
      <w:r>
        <w:t>F</w:t>
      </w:r>
      <w:r w:rsidR="00FF4692" w:rsidRPr="00FF4692">
        <w:t>inancing and policy gaps</w:t>
      </w:r>
      <w:r w:rsidR="0077129E">
        <w:t>,</w:t>
      </w:r>
      <w:r w:rsidR="00FF4692" w:rsidRPr="00FF4692">
        <w:t xml:space="preserve"> exacerbated by the COVID-19 pandemic, climate cris</w:t>
      </w:r>
      <w:r w:rsidR="00401F22">
        <w:t>i</w:t>
      </w:r>
      <w:r w:rsidR="00FF4692" w:rsidRPr="00FF4692">
        <w:t xml:space="preserve">s, and geopolitical </w:t>
      </w:r>
      <w:r w:rsidR="00FE4B3C">
        <w:t>conflicts</w:t>
      </w:r>
      <w:r w:rsidR="00FF4692" w:rsidRPr="00FF4692">
        <w:t xml:space="preserve">, have magnified the socio-economic vulnerabilities of millions of people, leading to job losses, reduced incomes, and a lack of social protection for billions. </w:t>
      </w:r>
      <w:r w:rsidR="00632F50" w:rsidRPr="47570375">
        <w:t xml:space="preserve">47.6 per cent of the global population, about 3.8 billion people, are currently </w:t>
      </w:r>
      <w:r w:rsidR="00F245BA" w:rsidRPr="47570375">
        <w:t xml:space="preserve">without any </w:t>
      </w:r>
      <w:r w:rsidR="005B7724" w:rsidRPr="47570375">
        <w:t xml:space="preserve">social </w:t>
      </w:r>
      <w:r w:rsidR="00F245BA" w:rsidRPr="47570375">
        <w:t>protection</w:t>
      </w:r>
      <w:r w:rsidR="002025DE" w:rsidRPr="47570375">
        <w:t>.</w:t>
      </w:r>
      <w:r w:rsidR="0000694D" w:rsidRPr="47570375">
        <w:rPr>
          <w:rStyle w:val="FootnoteReference"/>
        </w:rPr>
        <w:footnoteReference w:id="2"/>
      </w:r>
      <w:r w:rsidR="002025DE" w:rsidRPr="47570375">
        <w:t xml:space="preserve"> </w:t>
      </w:r>
      <w:r w:rsidR="00A17246" w:rsidRPr="47570375">
        <w:t>Evidence shows that higher expenditure on social protection is associated with lower income inequality and poverty.</w:t>
      </w:r>
      <w:r w:rsidR="00A17246" w:rsidRPr="47570375">
        <w:rPr>
          <w:rStyle w:val="FootnoteReference"/>
        </w:rPr>
        <w:footnoteReference w:id="3"/>
      </w:r>
      <w:r w:rsidR="00A17246" w:rsidRPr="47570375">
        <w:t xml:space="preserve"> </w:t>
      </w:r>
      <w:r w:rsidR="00252CE5" w:rsidRPr="47570375">
        <w:t>However</w:t>
      </w:r>
      <w:r w:rsidR="00252CE5" w:rsidRPr="00252CE5">
        <w:rPr>
          <w:rFonts w:ascii="Calibri" w:hAnsi="Calibri" w:cs="Calibri"/>
        </w:rPr>
        <w:t xml:space="preserve">, </w:t>
      </w:r>
      <w:r w:rsidR="00252CE5" w:rsidRPr="00252CE5">
        <w:rPr>
          <w:rFonts w:ascii="Calibri" w:hAnsi="Calibri" w:cs="Calibri"/>
          <w:lang w:val="en-GB"/>
        </w:rPr>
        <w:t xml:space="preserve">to ensure at least a social protection floor, low- and middle-income countries require an additional </w:t>
      </w:r>
      <w:r w:rsidR="005B7724">
        <w:rPr>
          <w:rFonts w:ascii="Calibri" w:hAnsi="Calibri" w:cs="Calibri"/>
          <w:lang w:val="en-GB"/>
        </w:rPr>
        <w:t xml:space="preserve">annual </w:t>
      </w:r>
      <w:r w:rsidR="00252CE5" w:rsidRPr="00252CE5">
        <w:rPr>
          <w:rFonts w:ascii="Calibri" w:hAnsi="Calibri" w:cs="Calibri"/>
          <w:lang w:val="en-GB"/>
        </w:rPr>
        <w:t xml:space="preserve">investment of US$ 1.4 </w:t>
      </w:r>
      <w:r w:rsidR="00252CE5" w:rsidRPr="00252CE5">
        <w:rPr>
          <w:rFonts w:ascii="Calibri" w:hAnsi="Calibri" w:cs="Calibri"/>
          <w:lang w:val="en-GB"/>
        </w:rPr>
        <w:lastRenderedPageBreak/>
        <w:t>trillion or 3.3 per cent of the aggregate GDP (2024) of these countries.</w:t>
      </w:r>
      <w:r w:rsidR="00252CE5" w:rsidRPr="00252CE5">
        <w:rPr>
          <w:rStyle w:val="FootnoteReference"/>
          <w:rFonts w:ascii="Calibri" w:hAnsi="Calibri" w:cs="Calibri"/>
          <w:lang w:val="en-GB"/>
        </w:rPr>
        <w:footnoteReference w:id="4"/>
      </w:r>
      <w:r w:rsidR="00252CE5" w:rsidRPr="00252CE5">
        <w:rPr>
          <w:rFonts w:ascii="Calibri" w:hAnsi="Calibri" w:cs="Calibri"/>
          <w:lang w:val="en-GB"/>
        </w:rPr>
        <w:t xml:space="preserve"> </w:t>
      </w:r>
      <w:r w:rsidR="00AE7484" w:rsidRPr="47570375">
        <w:t>The global economy</w:t>
      </w:r>
      <w:r w:rsidR="007E0E43" w:rsidRPr="47570375">
        <w:t xml:space="preserve"> also</w:t>
      </w:r>
      <w:r w:rsidR="00AE7484" w:rsidRPr="47570375">
        <w:t xml:space="preserve"> faces a shortfall in decent jobs, particularly in sectors with high growth potential such as the green, digital, and care economies. Low-income and lower-middle-income countries face a </w:t>
      </w:r>
      <w:r w:rsidR="00AE7484" w:rsidRPr="00252CE5">
        <w:rPr>
          <w:rFonts w:ascii="Calibri" w:hAnsi="Calibri" w:cs="Calibri"/>
          <w:lang w:val="en-GB"/>
        </w:rPr>
        <w:t>US</w:t>
      </w:r>
      <w:r w:rsidR="00AE7484" w:rsidRPr="47570375">
        <w:t xml:space="preserve">$982 billion fiscal stimulus gap for economic and </w:t>
      </w:r>
      <w:proofErr w:type="spellStart"/>
      <w:r w:rsidR="00AE7484" w:rsidRPr="47570375">
        <w:t>labo</w:t>
      </w:r>
      <w:r w:rsidR="003D6377" w:rsidRPr="47570375">
        <w:t>u</w:t>
      </w:r>
      <w:r w:rsidR="00AE7484" w:rsidRPr="47570375">
        <w:t>r</w:t>
      </w:r>
      <w:proofErr w:type="spellEnd"/>
      <w:r w:rsidR="00AE7484" w:rsidRPr="47570375">
        <w:t xml:space="preserve"> market recovery.</w:t>
      </w:r>
      <w:r w:rsidR="00B4444C" w:rsidRPr="47570375">
        <w:rPr>
          <w:rStyle w:val="FootnoteReference"/>
        </w:rPr>
        <w:footnoteReference w:id="5"/>
      </w:r>
      <w:r w:rsidR="00AE7484" w:rsidRPr="47570375">
        <w:t xml:space="preserve"> This gap hinders their ability to create the </w:t>
      </w:r>
      <w:r w:rsidR="003D6377" w:rsidRPr="47570375">
        <w:t xml:space="preserve">currently </w:t>
      </w:r>
      <w:r w:rsidR="00AE7484" w:rsidRPr="47570375">
        <w:t>400 million jobs needed globally, leaving millions unemployed or in precarious, informal employment without adequate protections.</w:t>
      </w:r>
      <w:r w:rsidR="00252CE5" w:rsidRPr="006543DA">
        <w:rPr>
          <w:rFonts w:ascii="Calibri" w:hAnsi="Calibri" w:cs="Calibri"/>
          <w:lang w:val="en-GB"/>
        </w:rPr>
        <w:t xml:space="preserve"> </w:t>
      </w:r>
    </w:p>
    <w:p w14:paraId="1DC58BDD" w14:textId="77777777" w:rsidR="00900355" w:rsidRDefault="00900355" w:rsidP="003D6377">
      <w:pPr>
        <w:spacing w:after="0"/>
        <w:jc w:val="both"/>
        <w:rPr>
          <w:rFonts w:ascii="Calibri" w:hAnsi="Calibri" w:cs="Calibri"/>
        </w:rPr>
      </w:pPr>
    </w:p>
    <w:p w14:paraId="663186EF" w14:textId="1F48F5A2" w:rsidR="00D50F68" w:rsidRDefault="008317CD" w:rsidP="003D6377">
      <w:pPr>
        <w:spacing w:after="0"/>
        <w:jc w:val="both"/>
        <w:rPr>
          <w:rFonts w:ascii="Calibri" w:hAnsi="Calibri" w:cs="Calibri"/>
          <w:b/>
          <w:bCs/>
        </w:rPr>
      </w:pPr>
      <w:r w:rsidRPr="008317CD">
        <w:rPr>
          <w:rFonts w:cstheme="minorHAnsi"/>
          <w:b/>
          <w:bCs/>
        </w:rPr>
        <w:t xml:space="preserve">Limited fiscal space </w:t>
      </w:r>
      <w:r w:rsidRPr="008317CD">
        <w:rPr>
          <w:rFonts w:ascii="Calibri" w:hAnsi="Calibri" w:cs="Calibri"/>
          <w:b/>
          <w:bCs/>
        </w:rPr>
        <w:t>constrains</w:t>
      </w:r>
      <w:r w:rsidR="00D50F68" w:rsidRPr="00D50F68">
        <w:rPr>
          <w:rFonts w:ascii="Calibri" w:hAnsi="Calibri" w:cs="Calibri"/>
          <w:b/>
          <w:bCs/>
        </w:rPr>
        <w:t xml:space="preserve"> </w:t>
      </w:r>
      <w:r w:rsidR="00D50F68">
        <w:rPr>
          <w:rFonts w:ascii="Calibri" w:hAnsi="Calibri" w:cs="Calibri"/>
          <w:b/>
          <w:bCs/>
        </w:rPr>
        <w:t>c</w:t>
      </w:r>
      <w:r w:rsidR="00D50F68" w:rsidRPr="00D50F68">
        <w:rPr>
          <w:rFonts w:ascii="Calibri" w:hAnsi="Calibri" w:cs="Calibri"/>
          <w:b/>
          <w:bCs/>
        </w:rPr>
        <w:t xml:space="preserve">risis </w:t>
      </w:r>
      <w:r w:rsidR="00D50F68">
        <w:rPr>
          <w:rFonts w:ascii="Calibri" w:hAnsi="Calibri" w:cs="Calibri"/>
          <w:b/>
          <w:bCs/>
        </w:rPr>
        <w:t>r</w:t>
      </w:r>
      <w:r w:rsidR="00D50F68" w:rsidRPr="00D50F68">
        <w:rPr>
          <w:rFonts w:ascii="Calibri" w:hAnsi="Calibri" w:cs="Calibri"/>
          <w:b/>
          <w:bCs/>
        </w:rPr>
        <w:t xml:space="preserve">esponse and </w:t>
      </w:r>
      <w:r w:rsidR="00D50F68">
        <w:rPr>
          <w:rFonts w:ascii="Calibri" w:hAnsi="Calibri" w:cs="Calibri"/>
          <w:b/>
          <w:bCs/>
        </w:rPr>
        <w:t>r</w:t>
      </w:r>
      <w:r w:rsidR="00D50F68" w:rsidRPr="00D50F68">
        <w:rPr>
          <w:rFonts w:ascii="Calibri" w:hAnsi="Calibri" w:cs="Calibri"/>
          <w:b/>
          <w:bCs/>
        </w:rPr>
        <w:t xml:space="preserve">ecovery </w:t>
      </w:r>
    </w:p>
    <w:p w14:paraId="7686C605" w14:textId="1B6FF82C" w:rsidR="005B6A1E" w:rsidRDefault="00955F59" w:rsidP="00D50F68">
      <w:pPr>
        <w:spacing w:after="0"/>
        <w:jc w:val="both"/>
        <w:rPr>
          <w:rFonts w:cstheme="minorHAnsi"/>
        </w:rPr>
      </w:pPr>
      <w:r>
        <w:rPr>
          <w:rFonts w:ascii="Calibri" w:hAnsi="Calibri" w:cs="Calibri"/>
        </w:rPr>
        <w:t>A</w:t>
      </w:r>
      <w:r w:rsidRPr="00057CF2">
        <w:rPr>
          <w:rFonts w:ascii="Calibri" w:hAnsi="Calibri" w:cs="Calibri"/>
        </w:rPr>
        <w:t xml:space="preserve"> financing divide</w:t>
      </w:r>
      <w:r w:rsidR="00E024B1">
        <w:rPr>
          <w:rStyle w:val="FootnoteReference"/>
          <w:rFonts w:ascii="Calibri" w:hAnsi="Calibri" w:cs="Calibri"/>
        </w:rPr>
        <w:footnoteReference w:id="6"/>
      </w:r>
      <w:r w:rsidR="00057CF2" w:rsidRPr="00057CF2">
        <w:rPr>
          <w:rFonts w:ascii="Calibri" w:hAnsi="Calibri" w:cs="Calibri"/>
        </w:rPr>
        <w:t xml:space="preserve"> is sharply curtailing the ability of many developing countries to respond to shocks and invest in recovery.</w:t>
      </w:r>
      <w:r w:rsidR="00057CF2">
        <w:rPr>
          <w:rFonts w:ascii="Calibri" w:hAnsi="Calibri" w:cs="Calibri"/>
        </w:rPr>
        <w:t xml:space="preserve"> </w:t>
      </w:r>
      <w:r w:rsidR="00057CF2">
        <w:rPr>
          <w:rFonts w:cstheme="minorHAnsi"/>
        </w:rPr>
        <w:t>L</w:t>
      </w:r>
      <w:r w:rsidR="00B56948" w:rsidRPr="00A17246">
        <w:rPr>
          <w:rFonts w:cstheme="minorHAnsi"/>
        </w:rPr>
        <w:t>ow-income and lower-middle-income countries, already facing chronic financial stress, struggle to mobili</w:t>
      </w:r>
      <w:r w:rsidR="000D6406">
        <w:rPr>
          <w:rFonts w:cstheme="minorHAnsi"/>
        </w:rPr>
        <w:t>z</w:t>
      </w:r>
      <w:r w:rsidR="00B56948" w:rsidRPr="00A17246">
        <w:rPr>
          <w:rFonts w:cstheme="minorHAnsi"/>
        </w:rPr>
        <w:t>e the resources needed for recovery and long-term development.</w:t>
      </w:r>
      <w:r w:rsidR="00A7609D">
        <w:rPr>
          <w:rFonts w:cstheme="minorHAnsi"/>
        </w:rPr>
        <w:t xml:space="preserve"> </w:t>
      </w:r>
      <w:r w:rsidR="00A7609D" w:rsidRPr="00A7609D">
        <w:rPr>
          <w:rFonts w:cstheme="minorHAnsi"/>
        </w:rPr>
        <w:t>Many developing countries are trapped in a vicious cycle of high debt and limited fiscal space.</w:t>
      </w:r>
      <w:r w:rsidR="006C0B07">
        <w:rPr>
          <w:rFonts w:cstheme="minorHAnsi"/>
        </w:rPr>
        <w:t xml:space="preserve"> </w:t>
      </w:r>
      <w:r w:rsidR="00D131FB">
        <w:rPr>
          <w:rFonts w:cstheme="minorHAnsi"/>
        </w:rPr>
        <w:t xml:space="preserve">For </w:t>
      </w:r>
      <w:r w:rsidR="008B1D49">
        <w:rPr>
          <w:rFonts w:cstheme="minorHAnsi"/>
        </w:rPr>
        <w:t>instance</w:t>
      </w:r>
      <w:r w:rsidR="00D131FB">
        <w:rPr>
          <w:rFonts w:cstheme="minorHAnsi"/>
        </w:rPr>
        <w:t xml:space="preserve">, </w:t>
      </w:r>
      <w:r w:rsidR="00D131FB">
        <w:rPr>
          <w:rFonts w:cstheme="minorHAnsi"/>
          <w:lang w:val="en-GB"/>
        </w:rPr>
        <w:t>d</w:t>
      </w:r>
      <w:r w:rsidR="00D131FB" w:rsidRPr="00D131FB">
        <w:rPr>
          <w:rFonts w:cstheme="minorHAnsi"/>
          <w:lang w:val="en-GB"/>
        </w:rPr>
        <w:t xml:space="preserve">ebt service obligations </w:t>
      </w:r>
      <w:r w:rsidR="00D131FB">
        <w:rPr>
          <w:rFonts w:cstheme="minorHAnsi"/>
          <w:lang w:val="en-GB"/>
        </w:rPr>
        <w:t xml:space="preserve">of developing countries </w:t>
      </w:r>
      <w:r w:rsidR="00D131FB" w:rsidRPr="00D131FB">
        <w:rPr>
          <w:rFonts w:cstheme="minorHAnsi"/>
          <w:lang w:val="en-GB"/>
        </w:rPr>
        <w:t xml:space="preserve">are projected to reach a record high in 2024, exceeding </w:t>
      </w:r>
      <w:r w:rsidR="00900355">
        <w:rPr>
          <w:rFonts w:cstheme="minorHAnsi"/>
          <w:lang w:val="en-GB"/>
        </w:rPr>
        <w:t>US</w:t>
      </w:r>
      <w:r w:rsidR="00D131FB" w:rsidRPr="00D131FB">
        <w:rPr>
          <w:rFonts w:cstheme="minorHAnsi"/>
          <w:lang w:val="en-GB"/>
        </w:rPr>
        <w:t>$400 billion</w:t>
      </w:r>
      <w:r w:rsidR="00D131FB">
        <w:rPr>
          <w:rFonts w:cstheme="minorHAnsi"/>
          <w:lang w:val="en-GB"/>
        </w:rPr>
        <w:t xml:space="preserve">, </w:t>
      </w:r>
      <w:r w:rsidR="00D131FB" w:rsidRPr="00A7609D">
        <w:rPr>
          <w:rFonts w:cstheme="minorHAnsi"/>
        </w:rPr>
        <w:t>diverting resources from social spending and investment in job creation.</w:t>
      </w:r>
      <w:r w:rsidR="00D131FB">
        <w:rPr>
          <w:rStyle w:val="FootnoteReference"/>
          <w:rFonts w:cstheme="minorHAnsi"/>
        </w:rPr>
        <w:footnoteReference w:id="7"/>
      </w:r>
      <w:r w:rsidR="00BD300D">
        <w:rPr>
          <w:rFonts w:cstheme="minorHAnsi"/>
        </w:rPr>
        <w:t xml:space="preserve"> </w:t>
      </w:r>
      <w:r w:rsidR="00874405" w:rsidRPr="00BD300D">
        <w:rPr>
          <w:rFonts w:cstheme="minorHAnsi"/>
        </w:rPr>
        <w:t>L</w:t>
      </w:r>
      <w:r w:rsidR="00874405">
        <w:rPr>
          <w:rFonts w:cstheme="minorHAnsi"/>
        </w:rPr>
        <w:t>ow-income</w:t>
      </w:r>
      <w:r w:rsidR="00BD300D">
        <w:rPr>
          <w:rFonts w:cstheme="minorHAnsi"/>
        </w:rPr>
        <w:t xml:space="preserve"> countries</w:t>
      </w:r>
      <w:r w:rsidR="00BD300D" w:rsidRPr="00BD300D">
        <w:rPr>
          <w:rFonts w:cstheme="minorHAnsi"/>
        </w:rPr>
        <w:t xml:space="preserve"> dedicate an average of 14 per</w:t>
      </w:r>
      <w:r w:rsidR="00874405">
        <w:rPr>
          <w:rFonts w:cstheme="minorHAnsi"/>
        </w:rPr>
        <w:t xml:space="preserve"> </w:t>
      </w:r>
      <w:r w:rsidR="00BD300D" w:rsidRPr="00BD300D">
        <w:rPr>
          <w:rFonts w:cstheme="minorHAnsi"/>
        </w:rPr>
        <w:t>cent of their domestic revenue to interest payments, compared to only around 3.5 per</w:t>
      </w:r>
      <w:r w:rsidR="00874405">
        <w:rPr>
          <w:rFonts w:cstheme="minorHAnsi"/>
        </w:rPr>
        <w:t xml:space="preserve"> </w:t>
      </w:r>
      <w:r w:rsidR="00BD300D" w:rsidRPr="00BD300D">
        <w:rPr>
          <w:rFonts w:cstheme="minorHAnsi"/>
        </w:rPr>
        <w:t>cent in developed countries</w:t>
      </w:r>
      <w:r w:rsidR="00BD300D">
        <w:rPr>
          <w:rFonts w:cstheme="minorHAnsi"/>
        </w:rPr>
        <w:t>.</w:t>
      </w:r>
      <w:r w:rsidR="008876A9">
        <w:rPr>
          <w:rStyle w:val="FootnoteReference"/>
          <w:rFonts w:cstheme="minorHAnsi"/>
        </w:rPr>
        <w:footnoteReference w:id="8"/>
      </w:r>
    </w:p>
    <w:p w14:paraId="68F2A62F" w14:textId="77777777" w:rsidR="00D50F68" w:rsidRPr="00D50F68" w:rsidRDefault="00D50F68" w:rsidP="00D50F68">
      <w:pPr>
        <w:spacing w:after="0"/>
        <w:jc w:val="both"/>
        <w:rPr>
          <w:rFonts w:ascii="Calibri" w:hAnsi="Calibri" w:cs="Calibri"/>
          <w:lang w:val="en-GB"/>
        </w:rPr>
      </w:pPr>
    </w:p>
    <w:p w14:paraId="751004C9" w14:textId="0F6589C1" w:rsidR="00FE21B8" w:rsidRPr="005D41CD" w:rsidRDefault="00436730" w:rsidP="00D50F68">
      <w:pPr>
        <w:spacing w:after="0"/>
        <w:jc w:val="both"/>
        <w:rPr>
          <w:rFonts w:ascii="Calibri" w:hAnsi="Calibri" w:cs="Calibri"/>
          <w:b/>
          <w:bCs/>
          <w:lang w:val="en-GB"/>
        </w:rPr>
      </w:pPr>
      <w:r>
        <w:rPr>
          <w:rFonts w:ascii="Calibri" w:hAnsi="Calibri" w:cs="Calibri"/>
          <w:b/>
          <w:bCs/>
          <w:lang w:val="en-GB"/>
        </w:rPr>
        <w:t xml:space="preserve">Increasing social investments </w:t>
      </w:r>
      <w:r w:rsidR="00A1651E">
        <w:rPr>
          <w:rFonts w:ascii="Calibri" w:hAnsi="Calibri" w:cs="Calibri"/>
          <w:b/>
          <w:bCs/>
          <w:lang w:val="en-GB"/>
        </w:rPr>
        <w:t xml:space="preserve">with economic outcomes </w:t>
      </w:r>
      <w:r>
        <w:rPr>
          <w:rFonts w:ascii="Calibri" w:hAnsi="Calibri" w:cs="Calibri"/>
          <w:b/>
          <w:bCs/>
          <w:lang w:val="en-GB"/>
        </w:rPr>
        <w:t>and economic investments with social dividend</w:t>
      </w:r>
    </w:p>
    <w:p w14:paraId="79F02FC6" w14:textId="6297E0AD" w:rsidR="00BB2D2B" w:rsidRPr="006A1F53" w:rsidRDefault="00120E17" w:rsidP="00A34938">
      <w:pPr>
        <w:jc w:val="both"/>
      </w:pPr>
      <w:r w:rsidRPr="00A34938">
        <w:rPr>
          <w:rFonts w:ascii="Calibri" w:hAnsi="Calibri" w:cs="Calibri"/>
          <w:lang w:val="en-GB"/>
        </w:rPr>
        <w:t>Developing countries are not investing enough in their social protection systems</w:t>
      </w:r>
      <w:r w:rsidR="00E32901">
        <w:rPr>
          <w:rFonts w:ascii="Calibri" w:hAnsi="Calibri" w:cs="Calibri"/>
          <w:lang w:val="en-GB"/>
        </w:rPr>
        <w:t xml:space="preserve"> and employment policies and programmes</w:t>
      </w:r>
      <w:r w:rsidRPr="00A34938">
        <w:rPr>
          <w:rFonts w:ascii="Calibri" w:hAnsi="Calibri" w:cs="Calibri"/>
          <w:lang w:val="en-GB"/>
        </w:rPr>
        <w:t>, which limits their ability to cope with the climate emergency</w:t>
      </w:r>
      <w:r w:rsidR="00E32901">
        <w:rPr>
          <w:rFonts w:ascii="Calibri" w:hAnsi="Calibri" w:cs="Calibri"/>
          <w:lang w:val="en-GB"/>
        </w:rPr>
        <w:t xml:space="preserve"> and other much needed transitions</w:t>
      </w:r>
      <w:r w:rsidRPr="00A34938">
        <w:rPr>
          <w:rFonts w:ascii="Calibri" w:hAnsi="Calibri" w:cs="Calibri"/>
          <w:lang w:val="en-GB"/>
        </w:rPr>
        <w:t xml:space="preserve">. </w:t>
      </w:r>
      <w:r w:rsidR="00ED3661">
        <w:rPr>
          <w:rFonts w:ascii="Calibri" w:hAnsi="Calibri" w:cs="Calibri"/>
          <w:lang w:val="en-GB"/>
        </w:rPr>
        <w:t>However,</w:t>
      </w:r>
      <w:r w:rsidR="00305BEF">
        <w:rPr>
          <w:rFonts w:ascii="Calibri" w:hAnsi="Calibri" w:cs="Calibri"/>
          <w:lang w:val="en-GB"/>
        </w:rPr>
        <w:t xml:space="preserve"> there is today ample evidence that such investments </w:t>
      </w:r>
      <w:r w:rsidR="0008598E">
        <w:rPr>
          <w:rFonts w:ascii="Calibri" w:hAnsi="Calibri" w:cs="Calibri"/>
          <w:lang w:val="en-GB"/>
        </w:rPr>
        <w:t xml:space="preserve">generate strong economic and fiscal returns. </w:t>
      </w:r>
      <w:r w:rsidR="00A1651E">
        <w:rPr>
          <w:rFonts w:ascii="Calibri" w:hAnsi="Calibri" w:cs="Calibri"/>
          <w:lang w:val="en-GB"/>
        </w:rPr>
        <w:t>A</w:t>
      </w:r>
      <w:r w:rsidRPr="00A34938">
        <w:rPr>
          <w:rFonts w:ascii="Calibri" w:hAnsi="Calibri" w:cs="Calibri"/>
          <w:lang w:val="en-GB"/>
        </w:rPr>
        <w:t xml:space="preserve"> dollar invested in social protection leads to an increase in GDP of between 2 and 5 dollars in two and a half years. </w:t>
      </w:r>
      <w:r w:rsidR="00A9494D">
        <w:rPr>
          <w:rStyle w:val="FootnoteReference"/>
          <w:rFonts w:ascii="Calibri" w:hAnsi="Calibri" w:cs="Calibri"/>
          <w:lang w:val="en-GB"/>
        </w:rPr>
        <w:footnoteReference w:id="9"/>
      </w:r>
      <w:r w:rsidR="006A1F53">
        <w:rPr>
          <w:rFonts w:ascii="Calibri" w:hAnsi="Calibri" w:cs="Calibri"/>
          <w:lang w:val="en-GB"/>
        </w:rPr>
        <w:t xml:space="preserve"> </w:t>
      </w:r>
      <w:r w:rsidRPr="00A34938">
        <w:rPr>
          <w:rFonts w:ascii="Calibri" w:hAnsi="Calibri" w:cs="Calibri"/>
          <w:lang w:val="en-GB"/>
        </w:rPr>
        <w:t xml:space="preserve">When combined with tax incentives, access to vocational training and support for business start-ups, social protection </w:t>
      </w:r>
      <w:r w:rsidR="0008598E" w:rsidRPr="00C11DEA">
        <w:rPr>
          <w:rFonts w:ascii="Calibri" w:hAnsi="Calibri" w:cs="Calibri"/>
          <w:lang w:val="en-GB"/>
        </w:rPr>
        <w:t xml:space="preserve">and employment policies </w:t>
      </w:r>
      <w:r w:rsidRPr="00A34938">
        <w:rPr>
          <w:rFonts w:ascii="Calibri" w:hAnsi="Calibri" w:cs="Calibri"/>
          <w:lang w:val="en-GB"/>
        </w:rPr>
        <w:t xml:space="preserve">contribute to the formalization of jobs and businesses, and thus create social categories capable of contributing through their work, and their taxes, to the country's economic and social development. </w:t>
      </w:r>
      <w:r w:rsidR="00B76D9C" w:rsidRPr="00A34938">
        <w:rPr>
          <w:rFonts w:ascii="Calibri" w:hAnsi="Calibri" w:cs="Calibri"/>
          <w:lang w:val="en-GB"/>
        </w:rPr>
        <w:t>The</w:t>
      </w:r>
      <w:r w:rsidRPr="00A34938">
        <w:rPr>
          <w:rFonts w:ascii="Calibri" w:hAnsi="Calibri" w:cs="Calibri"/>
          <w:lang w:val="en-GB"/>
        </w:rPr>
        <w:t xml:space="preserve"> </w:t>
      </w:r>
      <w:proofErr w:type="spellStart"/>
      <w:r w:rsidRPr="00A34938">
        <w:rPr>
          <w:rFonts w:ascii="Calibri" w:hAnsi="Calibri" w:cs="Calibri"/>
          <w:lang w:val="en-GB"/>
        </w:rPr>
        <w:t>Monotributo</w:t>
      </w:r>
      <w:proofErr w:type="spellEnd"/>
      <w:r w:rsidRPr="00A34938">
        <w:rPr>
          <w:rFonts w:ascii="Calibri" w:hAnsi="Calibri" w:cs="Calibri"/>
          <w:lang w:val="en-GB"/>
        </w:rPr>
        <w:t xml:space="preserve"> system, developed in countries such as Uruguay, Brazil and Argentina, is a way of including informal economy entrepreneurs in the contributory tax and social security system. </w:t>
      </w:r>
      <w:r w:rsidR="00BB2D2B" w:rsidRPr="00A9494D">
        <w:rPr>
          <w:rStyle w:val="normaltextrun"/>
          <w:rFonts w:ascii="Calibri" w:hAnsi="Calibri" w:cs="Calibri"/>
          <w:color w:val="000000"/>
          <w:shd w:val="clear" w:color="auto" w:fill="FFFFFF"/>
        </w:rPr>
        <w:t xml:space="preserve">When it comes to international private investments, many developing countries have put in place investment strategies and policies to increase the quantity and quality of jobs created locally. However, due to few linkages with domestic enterprises and lack of coordination capacity, the sustainable development contribution of these investments is often limited. The national and local employment and training service ecosystems are </w:t>
      </w:r>
      <w:r w:rsidR="007C5882" w:rsidRPr="00A9494D">
        <w:rPr>
          <w:rStyle w:val="normaltextrun"/>
          <w:rFonts w:ascii="Calibri" w:hAnsi="Calibri" w:cs="Calibri"/>
          <w:color w:val="000000"/>
          <w:shd w:val="clear" w:color="auto" w:fill="FFFFFF"/>
        </w:rPr>
        <w:t xml:space="preserve">therefore </w:t>
      </w:r>
      <w:r w:rsidR="00BB2D2B" w:rsidRPr="00A9494D">
        <w:rPr>
          <w:rStyle w:val="normaltextrun"/>
          <w:rFonts w:ascii="Calibri" w:hAnsi="Calibri" w:cs="Calibri"/>
          <w:color w:val="000000"/>
          <w:shd w:val="clear" w:color="auto" w:fill="FFFFFF"/>
        </w:rPr>
        <w:t>an important factor in determining the job outcomes of investment projects.</w:t>
      </w:r>
    </w:p>
    <w:p w14:paraId="40FCEE16" w14:textId="77777777" w:rsidR="00D85E04" w:rsidRDefault="00D85E04" w:rsidP="00174569"/>
    <w:p w14:paraId="5EAB2BC5" w14:textId="63865824" w:rsidR="00AA0DF2" w:rsidRPr="00AA0DF2" w:rsidRDefault="00174569" w:rsidP="007721B5">
      <w:pPr>
        <w:pStyle w:val="Heading2"/>
        <w:spacing w:before="0"/>
      </w:pPr>
      <w:r>
        <w:lastRenderedPageBreak/>
        <w:t>Policy solutions</w:t>
      </w:r>
    </w:p>
    <w:p w14:paraId="0802FFDB" w14:textId="48A597E7" w:rsidR="002D1A33" w:rsidRDefault="00E3279A" w:rsidP="002D1A33">
      <w:pPr>
        <w:jc w:val="both"/>
      </w:pPr>
      <w:r>
        <w:t>A virtuous dynamic of higher GDP per capita, full and productive employment and universal social protection should be promoted, inclusive of transition constraints and opportunities.</w:t>
      </w:r>
      <w:r w:rsidR="003976A8">
        <w:t xml:space="preserve"> </w:t>
      </w:r>
      <w:r w:rsidR="002D1A33">
        <w:t xml:space="preserve">Employment policies have an important role in </w:t>
      </w:r>
      <w:r w:rsidR="00F127F0">
        <w:t>maximizing</w:t>
      </w:r>
      <w:r w:rsidR="002D1A33">
        <w:t xml:space="preserve"> formal and productive employment, a generator of sustainable financing in the long run</w:t>
      </w:r>
      <w:r w:rsidR="002D1A33" w:rsidRPr="00167896">
        <w:t xml:space="preserve"> </w:t>
      </w:r>
      <w:r w:rsidR="002D1A33">
        <w:t xml:space="preserve">with the positive impact of formal job creation on consumption and domestic budget revenue through taxation. Social protection plays a critical role as automatic aggregate demand </w:t>
      </w:r>
      <w:r w:rsidR="004F21BD">
        <w:t>stabilizer</w:t>
      </w:r>
      <w:r w:rsidR="002D1A33">
        <w:t>, reducing poverty and “</w:t>
      </w:r>
      <w:r w:rsidR="00A9494D">
        <w:t>i</w:t>
      </w:r>
      <w:r w:rsidR="002D1A33">
        <w:t>mpossible choices”, supporting productivity increases and formalization, achieving also other outcomes (nutrition, education, health) and contributing to structural transformations</w:t>
      </w:r>
      <w:r w:rsidR="00C75564">
        <w:t>.</w:t>
      </w:r>
      <w:r w:rsidR="002D1A33">
        <w:t xml:space="preserve"> Higher net wages and other earnings from work translate into higher social security contributions, and vice versa higher income security supports a more productive workforce and sustainable enterprises. Social protection through its redistributive role further reduces vulnerabilities, horizontal and vertical inequalities, social exclusion, and poverty.</w:t>
      </w:r>
    </w:p>
    <w:p w14:paraId="5462D546" w14:textId="33871987" w:rsidR="006048D3" w:rsidRDefault="00B76D9C" w:rsidP="00865B8E">
      <w:pPr>
        <w:spacing w:after="0"/>
        <w:jc w:val="both"/>
      </w:pPr>
      <w:r w:rsidRPr="005E4CDF">
        <w:rPr>
          <w:rFonts w:ascii="Calibri" w:hAnsi="Calibri" w:cs="Calibri"/>
          <w:lang w:val="en-GB"/>
        </w:rPr>
        <w:t xml:space="preserve">To convince UN member </w:t>
      </w:r>
      <w:r w:rsidR="006048D3">
        <w:rPr>
          <w:rFonts w:ascii="Calibri" w:hAnsi="Calibri" w:cs="Calibri"/>
          <w:lang w:val="en-GB"/>
        </w:rPr>
        <w:t>S</w:t>
      </w:r>
      <w:r w:rsidRPr="005E4CDF">
        <w:rPr>
          <w:rFonts w:ascii="Calibri" w:hAnsi="Calibri" w:cs="Calibri"/>
          <w:lang w:val="en-GB"/>
        </w:rPr>
        <w:t xml:space="preserve">tates to invest more in </w:t>
      </w:r>
      <w:r w:rsidR="00445832">
        <w:rPr>
          <w:rFonts w:ascii="Calibri" w:hAnsi="Calibri" w:cs="Calibri"/>
          <w:lang w:val="en-GB"/>
        </w:rPr>
        <w:t>social protection and decent jobs</w:t>
      </w:r>
      <w:r w:rsidRPr="005E4CDF">
        <w:rPr>
          <w:rFonts w:ascii="Calibri" w:hAnsi="Calibri" w:cs="Calibri"/>
          <w:lang w:val="en-GB"/>
        </w:rPr>
        <w:t xml:space="preserve">, in 2021 the UN Secretary-General launched the Global Accelerator </w:t>
      </w:r>
      <w:r>
        <w:rPr>
          <w:rFonts w:ascii="Calibri" w:hAnsi="Calibri" w:cs="Calibri"/>
          <w:lang w:val="en-GB"/>
        </w:rPr>
        <w:t>on Jobs and</w:t>
      </w:r>
      <w:r w:rsidRPr="005E4CDF">
        <w:rPr>
          <w:rFonts w:ascii="Calibri" w:hAnsi="Calibri" w:cs="Calibri"/>
          <w:lang w:val="en-GB"/>
        </w:rPr>
        <w:t xml:space="preserve"> Social Protection</w:t>
      </w:r>
      <w:r>
        <w:rPr>
          <w:rFonts w:ascii="Calibri" w:hAnsi="Calibri" w:cs="Calibri"/>
          <w:lang w:val="en-GB"/>
        </w:rPr>
        <w:t xml:space="preserve"> for</w:t>
      </w:r>
      <w:r w:rsidRPr="005E4CDF">
        <w:rPr>
          <w:rFonts w:ascii="Calibri" w:hAnsi="Calibri" w:cs="Calibri"/>
          <w:lang w:val="en-GB"/>
        </w:rPr>
        <w:t xml:space="preserve"> Just Transitions</w:t>
      </w:r>
      <w:r w:rsidR="006004D2">
        <w:rPr>
          <w:rFonts w:ascii="Calibri" w:eastAsiaTheme="majorEastAsia" w:hAnsi="Calibri" w:cs="Calibri"/>
          <w:color w:val="000000"/>
        </w:rPr>
        <w:t>.</w:t>
      </w:r>
      <w:r w:rsidR="000012FC">
        <w:rPr>
          <w:rFonts w:ascii="Calibri" w:eastAsiaTheme="majorEastAsia" w:hAnsi="Calibri" w:cs="Calibri"/>
          <w:color w:val="000000"/>
        </w:rPr>
        <w:t xml:space="preserve"> </w:t>
      </w:r>
      <w:r w:rsidR="00683A5E">
        <w:rPr>
          <w:rFonts w:ascii="Calibri" w:eastAsiaTheme="majorEastAsia" w:hAnsi="Calibri" w:cs="Calibri"/>
          <w:color w:val="000000"/>
        </w:rPr>
        <w:t>This multi-st</w:t>
      </w:r>
      <w:r w:rsidR="00E05B40">
        <w:rPr>
          <w:rFonts w:ascii="Calibri" w:eastAsiaTheme="majorEastAsia" w:hAnsi="Calibri" w:cs="Calibri"/>
          <w:color w:val="000000"/>
        </w:rPr>
        <w:t>akeholder initiative aims</w:t>
      </w:r>
      <w:r w:rsidR="00874151" w:rsidRPr="00FF4692">
        <w:t xml:space="preserve"> </w:t>
      </w:r>
      <w:r w:rsidR="00BC28B8" w:rsidRPr="7E064CB4">
        <w:t xml:space="preserve">to tackle the ongoing structural policy and financing deficiencies and support the necessary inclusive structural transformations required to accelerate decent job creation, universal social protection and achieve just transitions. </w:t>
      </w:r>
      <w:r w:rsidR="00A7010E">
        <w:t xml:space="preserve">The Global Accelerator is based on three pillars to promote </w:t>
      </w:r>
      <w:r w:rsidR="00476193" w:rsidRPr="00476193">
        <w:t xml:space="preserve">integrated </w:t>
      </w:r>
      <w:r w:rsidR="0024590A" w:rsidRPr="00476193">
        <w:t>policymaking</w:t>
      </w:r>
      <w:r w:rsidR="00476193" w:rsidRPr="00476193">
        <w:t>, financing strategies, and international cooperation.</w:t>
      </w:r>
      <w:r w:rsidR="002C6EB6">
        <w:t xml:space="preserve"> </w:t>
      </w:r>
    </w:p>
    <w:p w14:paraId="3A456BDB" w14:textId="77777777" w:rsidR="006048D3" w:rsidRDefault="006048D3" w:rsidP="00865B8E">
      <w:pPr>
        <w:spacing w:after="0"/>
        <w:jc w:val="both"/>
      </w:pPr>
    </w:p>
    <w:p w14:paraId="73397406" w14:textId="6EB1B631" w:rsidR="00790000" w:rsidRPr="000F285E" w:rsidRDefault="00A7010E" w:rsidP="00A34938">
      <w:pPr>
        <w:spacing w:after="0"/>
        <w:jc w:val="both"/>
      </w:pPr>
      <w:r>
        <w:t xml:space="preserve">The financing pillar </w:t>
      </w:r>
      <w:r w:rsidR="00865B8E">
        <w:t xml:space="preserve">focuses on </w:t>
      </w:r>
      <w:r w:rsidR="006E6844">
        <w:t>four main areas:</w:t>
      </w:r>
      <w:r w:rsidR="00790000" w:rsidRPr="000F285E">
        <w:t xml:space="preserve"> </w:t>
      </w:r>
    </w:p>
    <w:p w14:paraId="7E250E3D" w14:textId="02D24C4D" w:rsidR="00790000" w:rsidRDefault="00790000" w:rsidP="00A34938">
      <w:pPr>
        <w:pStyle w:val="ListParagraph"/>
        <w:numPr>
          <w:ilvl w:val="0"/>
          <w:numId w:val="19"/>
        </w:numPr>
        <w:spacing w:after="0"/>
        <w:ind w:left="357" w:hanging="357"/>
        <w:jc w:val="both"/>
      </w:pPr>
      <w:proofErr w:type="gramStart"/>
      <w:r w:rsidRPr="00A34938">
        <w:rPr>
          <w:b/>
          <w:bCs/>
        </w:rPr>
        <w:t>Take action</w:t>
      </w:r>
      <w:proofErr w:type="gramEnd"/>
      <w:r w:rsidRPr="00A34938">
        <w:rPr>
          <w:b/>
          <w:bCs/>
        </w:rPr>
        <w:t xml:space="preserve"> on public spending on social protection &amp; jobs</w:t>
      </w:r>
      <w:r w:rsidR="00865B8E">
        <w:rPr>
          <w:b/>
          <w:bCs/>
        </w:rPr>
        <w:t>.</w:t>
      </w:r>
      <w:r>
        <w:t xml:space="preserve"> A first aspect is obviously how much a country directly spends on social protection and employment, including with ODA support: countries need to be able to track these expenditures and benchmarking with other international practices and standards is useful to inform policy (</w:t>
      </w:r>
      <w:r w:rsidRPr="00A34938">
        <w:t>public expenditure</w:t>
      </w:r>
      <w:r>
        <w:t xml:space="preserve">). </w:t>
      </w:r>
      <w:r w:rsidRPr="56E13843">
        <w:rPr>
          <w:rFonts w:ascii="Calibri" w:eastAsia="Calibri" w:hAnsi="Calibri" w:cs="Calibri"/>
        </w:rPr>
        <w:t>This dimension also covers actions related to improving public finance management and smarter government spending.</w:t>
      </w:r>
    </w:p>
    <w:p w14:paraId="6EA02CB9" w14:textId="58DD8A5B" w:rsidR="00790000" w:rsidRDefault="00790000" w:rsidP="00A34938">
      <w:pPr>
        <w:pStyle w:val="ListParagraph"/>
        <w:numPr>
          <w:ilvl w:val="0"/>
          <w:numId w:val="19"/>
        </w:numPr>
        <w:spacing w:after="0"/>
        <w:ind w:left="357" w:hanging="357"/>
        <w:contextualSpacing w:val="0"/>
        <w:jc w:val="both"/>
      </w:pPr>
      <w:proofErr w:type="gramStart"/>
      <w:r w:rsidRPr="00A34938">
        <w:rPr>
          <w:b/>
          <w:bCs/>
        </w:rPr>
        <w:t>Take action</w:t>
      </w:r>
      <w:proofErr w:type="gramEnd"/>
      <w:r w:rsidRPr="00A34938">
        <w:rPr>
          <w:b/>
          <w:bCs/>
        </w:rPr>
        <w:t xml:space="preserve"> on public revenues for social protection &amp; jobs</w:t>
      </w:r>
      <w:r>
        <w:t xml:space="preserve">. The second dimension is the </w:t>
      </w:r>
      <w:r w:rsidR="00865B8E">
        <w:t>flip side</w:t>
      </w:r>
      <w:r>
        <w:t xml:space="preserve"> of spending, </w:t>
      </w:r>
      <w:r w:rsidRPr="001954B2">
        <w:t>public revenues</w:t>
      </w:r>
      <w:r w:rsidRPr="00A34938">
        <w:rPr>
          <w:b/>
          <w:bCs/>
        </w:rPr>
        <w:t>.</w:t>
      </w:r>
      <w:r w:rsidRPr="005D440C">
        <w:rPr>
          <w:b/>
          <w:bCs/>
        </w:rPr>
        <w:t xml:space="preserve"> </w:t>
      </w:r>
      <w:r w:rsidRPr="00A34938">
        <w:t>The broader taxation and fiscal policy issues are covered below under the macro</w:t>
      </w:r>
      <w:r w:rsidRPr="00C147F3">
        <w:t xml:space="preserve">economic </w:t>
      </w:r>
      <w:r>
        <w:t xml:space="preserve">dimension, but a more focused look at revenues includes work on promoting more efficient tax collection, harnessing ODA in the social protection and employment domains, as well as the extension of non-contributory social security and </w:t>
      </w:r>
      <w:r w:rsidR="00865B8E">
        <w:t>formalization</w:t>
      </w:r>
      <w:r>
        <w:t>, that expand the tax base and contribute to the wider government revenues for stronger social protection and employment systems.</w:t>
      </w:r>
    </w:p>
    <w:p w14:paraId="11E0AB13" w14:textId="166EC80F" w:rsidR="00790000" w:rsidRDefault="00790000" w:rsidP="00A34938">
      <w:pPr>
        <w:pStyle w:val="ListParagraph"/>
        <w:numPr>
          <w:ilvl w:val="0"/>
          <w:numId w:val="19"/>
        </w:numPr>
        <w:spacing w:after="0"/>
        <w:ind w:left="357" w:hanging="357"/>
        <w:contextualSpacing w:val="0"/>
        <w:jc w:val="both"/>
      </w:pPr>
      <w:r w:rsidRPr="00A34938">
        <w:rPr>
          <w:b/>
          <w:bCs/>
        </w:rPr>
        <w:t>Promote investments with a social impact</w:t>
      </w:r>
      <w:r>
        <w:rPr>
          <w:b/>
          <w:bCs/>
        </w:rPr>
        <w:t>.</w:t>
      </w:r>
      <w:r w:rsidRPr="00151D90">
        <w:t xml:space="preserve"> The third dimension</w:t>
      </w:r>
      <w:r>
        <w:t xml:space="preserve"> is </w:t>
      </w:r>
      <w:r w:rsidRPr="00BB2F64">
        <w:t>financial</w:t>
      </w:r>
      <w:r>
        <w:t xml:space="preserve">: how credit and investment - public and private, domestic and international, contribute to employment and social protection. The question is broad and complex. To provide actionable policy recommendations, two key elements can be focused on: domestic preferential finance and foreign direct and portfolio investments. </w:t>
      </w:r>
    </w:p>
    <w:p w14:paraId="730FA0BC" w14:textId="419E7BA5" w:rsidR="00790000" w:rsidRDefault="00790000" w:rsidP="00A34938">
      <w:pPr>
        <w:pStyle w:val="ListParagraph"/>
        <w:numPr>
          <w:ilvl w:val="0"/>
          <w:numId w:val="19"/>
        </w:numPr>
        <w:spacing w:after="0"/>
        <w:ind w:left="357" w:hanging="357"/>
        <w:contextualSpacing w:val="0"/>
        <w:jc w:val="both"/>
      </w:pPr>
      <w:r w:rsidRPr="00A34938">
        <w:rPr>
          <w:b/>
          <w:bCs/>
        </w:rPr>
        <w:t>The fourth dimension is macroeconomic:</w:t>
      </w:r>
      <w:r>
        <w:t xml:space="preserve"> fiscal space and broader financing are a product of </w:t>
      </w:r>
      <w:r w:rsidRPr="000F683E">
        <w:rPr>
          <w:i/>
          <w:iCs/>
        </w:rPr>
        <w:t>macroeconomic policy choices</w:t>
      </w:r>
      <w:r>
        <w:t xml:space="preserve"> and of how these </w:t>
      </w:r>
      <w:r w:rsidR="006A1F53">
        <w:t xml:space="preserve">can </w:t>
      </w:r>
      <w:r>
        <w:t xml:space="preserve">impact the economic and social trajectory of a country. Evidence-based policy dialogue is needed for macro </w:t>
      </w:r>
      <w:r w:rsidR="006A1F53">
        <w:t>policy and</w:t>
      </w:r>
      <w:r>
        <w:t xml:space="preserve"> socioeconomic policies </w:t>
      </w:r>
      <w:r w:rsidRPr="000F683E">
        <w:rPr>
          <w:i/>
          <w:iCs/>
        </w:rPr>
        <w:t>to</w:t>
      </w:r>
      <w:r>
        <w:t xml:space="preserve"> </w:t>
      </w:r>
      <w:r w:rsidRPr="000F683E">
        <w:rPr>
          <w:i/>
          <w:iCs/>
        </w:rPr>
        <w:t>converge</w:t>
      </w:r>
      <w:r>
        <w:t xml:space="preserve"> towards inclusive, job-rich growth. Macroeconomic models on the other hand allow to focus on potential public investment projects or fiscal measures and estimate their total economy </w:t>
      </w:r>
      <w:r w:rsidRPr="000F683E">
        <w:rPr>
          <w:i/>
          <w:iCs/>
        </w:rPr>
        <w:t>economic and social returns</w:t>
      </w:r>
      <w:r>
        <w:t xml:space="preserve"> (</w:t>
      </w:r>
      <w:r w:rsidRPr="00A34938">
        <w:t>fiscal space and macro</w:t>
      </w:r>
      <w:r>
        <w:t xml:space="preserve">). </w:t>
      </w:r>
    </w:p>
    <w:p w14:paraId="530500C8" w14:textId="77777777" w:rsidR="006A1F53" w:rsidRDefault="006A1F53" w:rsidP="00C8768A">
      <w:pPr>
        <w:pStyle w:val="Heading2"/>
        <w:spacing w:before="0"/>
      </w:pPr>
    </w:p>
    <w:p w14:paraId="6341A8B9" w14:textId="3B948448" w:rsidR="00AA0DF2" w:rsidRPr="00AA0DF2" w:rsidRDefault="081A7F1C" w:rsidP="00C8768A">
      <w:pPr>
        <w:pStyle w:val="Heading2"/>
        <w:spacing w:before="0"/>
      </w:pPr>
      <w:r>
        <w:t xml:space="preserve">Specific </w:t>
      </w:r>
      <w:r w:rsidR="7BC9008D">
        <w:t>r</w:t>
      </w:r>
      <w:r w:rsidR="00174569">
        <w:t>ecommendations for F</w:t>
      </w:r>
      <w:r w:rsidR="0045485D">
        <w:t>f</w:t>
      </w:r>
      <w:r w:rsidR="00174569">
        <w:t>D4</w:t>
      </w:r>
    </w:p>
    <w:p w14:paraId="624546FE" w14:textId="6BE1C840" w:rsidR="004308EB" w:rsidRPr="00EA30AD" w:rsidRDefault="004308EB" w:rsidP="00AA0DF2">
      <w:pPr>
        <w:spacing w:after="0"/>
        <w:jc w:val="both"/>
        <w:rPr>
          <w:rFonts w:ascii="Calibri" w:hAnsi="Calibri" w:cs="Calibri"/>
          <w:lang w:val="en-GB"/>
        </w:rPr>
      </w:pPr>
      <w:r w:rsidRPr="3AA25B74">
        <w:rPr>
          <w:rFonts w:ascii="Calibri" w:hAnsi="Calibri" w:cs="Calibri"/>
        </w:rPr>
        <w:t>The outcome document of F</w:t>
      </w:r>
      <w:r w:rsidR="344526BE" w:rsidRPr="3AA25B74">
        <w:rPr>
          <w:rFonts w:ascii="Calibri" w:hAnsi="Calibri" w:cs="Calibri"/>
        </w:rPr>
        <w:t>F</w:t>
      </w:r>
      <w:r w:rsidRPr="3AA25B74">
        <w:rPr>
          <w:rFonts w:ascii="Calibri" w:hAnsi="Calibri" w:cs="Calibri"/>
        </w:rPr>
        <w:t>D4 should contain: </w:t>
      </w:r>
    </w:p>
    <w:p w14:paraId="541FDEF7" w14:textId="234B9A28" w:rsidR="004F102D" w:rsidRPr="003375EB" w:rsidRDefault="00645093" w:rsidP="004F102D">
      <w:pPr>
        <w:pStyle w:val="ListParagraph"/>
        <w:numPr>
          <w:ilvl w:val="0"/>
          <w:numId w:val="7"/>
        </w:numPr>
        <w:jc w:val="both"/>
        <w:rPr>
          <w:lang w:val="en-GB"/>
        </w:rPr>
      </w:pPr>
      <w:r>
        <w:t xml:space="preserve">A commitment from Member States to </w:t>
      </w:r>
      <w:r w:rsidR="00F70617">
        <w:t xml:space="preserve">further </w:t>
      </w:r>
      <w:r w:rsidR="008372C0">
        <w:t>develop their national social protection systems and employment</w:t>
      </w:r>
      <w:r w:rsidR="00F70617">
        <w:t xml:space="preserve"> policies and </w:t>
      </w:r>
      <w:r w:rsidR="006A1F53">
        <w:t>programs</w:t>
      </w:r>
      <w:r w:rsidR="00F70617">
        <w:t>, and to</w:t>
      </w:r>
      <w:r w:rsidR="008372C0">
        <w:t xml:space="preserve"> </w:t>
      </w:r>
      <w:r w:rsidR="008646F9">
        <w:t xml:space="preserve">promote </w:t>
      </w:r>
      <w:r w:rsidR="00C119B6">
        <w:t>integrated national policies and financing strategies for jobs and social protection. This aims to overcome policy silos and fragmented approaches</w:t>
      </w:r>
      <w:r w:rsidR="00EC3B80">
        <w:t xml:space="preserve"> by</w:t>
      </w:r>
      <w:r w:rsidR="00C119B6">
        <w:t xml:space="preserve"> addressing deficiencies in both policy and </w:t>
      </w:r>
      <w:r w:rsidR="00643113">
        <w:t>financing</w:t>
      </w:r>
      <w:r w:rsidR="00673287">
        <w:t>,</w:t>
      </w:r>
      <w:r w:rsidR="00C119B6">
        <w:t xml:space="preserve"> fostering coordinated efforts to tackle </w:t>
      </w:r>
      <w:r w:rsidR="005F3F21">
        <w:t xml:space="preserve">intensifying socio-economic vulnerabilities and the </w:t>
      </w:r>
      <w:r w:rsidR="006B44E6">
        <w:t>large</w:t>
      </w:r>
      <w:r w:rsidR="005F3F21">
        <w:t xml:space="preserve"> financing gap</w:t>
      </w:r>
      <w:r w:rsidR="00245689">
        <w:t xml:space="preserve">, and ensuring </w:t>
      </w:r>
      <w:r w:rsidR="005F3F21">
        <w:t xml:space="preserve">social protection and jobs </w:t>
      </w:r>
      <w:r w:rsidR="00D52C15">
        <w:t>for just transitions.</w:t>
      </w:r>
    </w:p>
    <w:p w14:paraId="0DA7DDBF" w14:textId="016FF0F4" w:rsidR="003375EB" w:rsidRPr="003375EB" w:rsidRDefault="00476226" w:rsidP="3AA25B74">
      <w:pPr>
        <w:pStyle w:val="ListParagraph"/>
        <w:numPr>
          <w:ilvl w:val="0"/>
          <w:numId w:val="7"/>
        </w:numPr>
        <w:jc w:val="both"/>
        <w:rPr>
          <w:rFonts w:ascii="Calibri" w:eastAsia="Calibri" w:hAnsi="Calibri" w:cs="Calibri"/>
        </w:rPr>
      </w:pPr>
      <w:r>
        <w:t>The recognition of the</w:t>
      </w:r>
      <w:r w:rsidR="187AE17E">
        <w:t xml:space="preserve"> benef</w:t>
      </w:r>
      <w:r w:rsidR="5E370566">
        <w:t xml:space="preserve">its of </w:t>
      </w:r>
      <w:r w:rsidR="7AFE1CE1">
        <w:t xml:space="preserve">adopting a three-pronged approach of multilateral cooperation, </w:t>
      </w:r>
      <w:r w:rsidR="138CC04C">
        <w:t>integrated</w:t>
      </w:r>
      <w:r w:rsidR="7AFE1CE1">
        <w:t xml:space="preserve"> </w:t>
      </w:r>
      <w:r w:rsidR="24F06848">
        <w:t xml:space="preserve">employment and social protection </w:t>
      </w:r>
      <w:r w:rsidR="7AFE1CE1">
        <w:t>policies</w:t>
      </w:r>
      <w:r w:rsidR="1F320B09">
        <w:t>,</w:t>
      </w:r>
      <w:r w:rsidR="7AFE1CE1">
        <w:t xml:space="preserve"> and</w:t>
      </w:r>
      <w:r w:rsidR="3F373C38">
        <w:t xml:space="preserve"> increased and coordinated </w:t>
      </w:r>
      <w:r w:rsidR="5E370566">
        <w:t>i</w:t>
      </w:r>
      <w:r w:rsidR="55D29F08">
        <w:t>nv</w:t>
      </w:r>
      <w:r w:rsidR="55D29F08" w:rsidRPr="47570375">
        <w:rPr>
          <w:rFonts w:ascii="Calibri" w:eastAsia="Calibri" w:hAnsi="Calibri" w:cs="Calibri"/>
        </w:rPr>
        <w:t>estments in decent jobs and social protection</w:t>
      </w:r>
      <w:r w:rsidR="58B367C4" w:rsidRPr="47570375">
        <w:rPr>
          <w:rFonts w:ascii="Calibri" w:eastAsia="Calibri" w:hAnsi="Calibri" w:cs="Calibri"/>
        </w:rPr>
        <w:t>, which</w:t>
      </w:r>
      <w:r w:rsidR="55D29F08" w:rsidRPr="47570375">
        <w:rPr>
          <w:rFonts w:ascii="Calibri" w:eastAsia="Calibri" w:hAnsi="Calibri" w:cs="Calibri"/>
        </w:rPr>
        <w:t xml:space="preserve"> feed into a virtuous cycle of development, enhancing aggregate demand and productivity, which in turn spur inclusive growth and expand fiscal space for further investments</w:t>
      </w:r>
      <w:r w:rsidR="4C1B07B7" w:rsidRPr="47570375">
        <w:rPr>
          <w:rFonts w:ascii="Calibri" w:eastAsia="Calibri" w:hAnsi="Calibri" w:cs="Calibri"/>
        </w:rPr>
        <w:t xml:space="preserve">, enabling countries to improve </w:t>
      </w:r>
      <w:r w:rsidR="6F1C51F2" w:rsidRPr="47570375">
        <w:rPr>
          <w:rFonts w:ascii="Calibri" w:eastAsia="Calibri" w:hAnsi="Calibri" w:cs="Calibri"/>
        </w:rPr>
        <w:t>effective crisis response and recovery.</w:t>
      </w:r>
    </w:p>
    <w:p w14:paraId="5AA6754E" w14:textId="2665B76A" w:rsidR="0019611D" w:rsidRDefault="009D0A9C" w:rsidP="0019611D">
      <w:pPr>
        <w:pStyle w:val="ListParagraph"/>
        <w:numPr>
          <w:ilvl w:val="0"/>
          <w:numId w:val="7"/>
        </w:numPr>
        <w:jc w:val="both"/>
        <w:rPr>
          <w:lang w:val="en-GB"/>
        </w:rPr>
      </w:pPr>
      <w:r w:rsidRPr="00B442BE">
        <w:rPr>
          <w:lang w:val="en-GB"/>
        </w:rPr>
        <w:t xml:space="preserve">The </w:t>
      </w:r>
      <w:r w:rsidR="00A428C2" w:rsidRPr="00B442BE">
        <w:rPr>
          <w:lang w:val="en-GB"/>
        </w:rPr>
        <w:t>F</w:t>
      </w:r>
      <w:r w:rsidRPr="00B442BE">
        <w:rPr>
          <w:lang w:val="en-GB"/>
        </w:rPr>
        <w:t>F</w:t>
      </w:r>
      <w:r w:rsidR="00A428C2" w:rsidRPr="00B442BE">
        <w:rPr>
          <w:lang w:val="en-GB"/>
        </w:rPr>
        <w:t xml:space="preserve">D4 should </w:t>
      </w:r>
      <w:r w:rsidR="00B26D48">
        <w:rPr>
          <w:lang w:val="en-GB"/>
        </w:rPr>
        <w:t>acknowledge</w:t>
      </w:r>
      <w:r w:rsidR="00B26D48" w:rsidRPr="00B442BE">
        <w:rPr>
          <w:lang w:val="en-GB"/>
        </w:rPr>
        <w:t xml:space="preserve"> </w:t>
      </w:r>
      <w:r w:rsidR="00A428C2" w:rsidRPr="00B442BE">
        <w:rPr>
          <w:lang w:val="en-GB"/>
        </w:rPr>
        <w:t xml:space="preserve">the </w:t>
      </w:r>
      <w:r w:rsidR="002C2003" w:rsidRPr="00B442BE">
        <w:rPr>
          <w:lang w:val="en-GB"/>
        </w:rPr>
        <w:t>GA</w:t>
      </w:r>
      <w:r w:rsidR="00A428C2" w:rsidRPr="00B442BE">
        <w:rPr>
          <w:lang w:val="en-GB"/>
        </w:rPr>
        <w:t xml:space="preserve"> as a key mechanism to </w:t>
      </w:r>
      <w:r w:rsidR="00D70EFF" w:rsidRPr="00B442BE">
        <w:rPr>
          <w:lang w:val="en-GB"/>
        </w:rPr>
        <w:t>reduce systemic financing gaps</w:t>
      </w:r>
      <w:r w:rsidR="00A428C2" w:rsidRPr="00B442BE">
        <w:rPr>
          <w:lang w:val="en-GB"/>
        </w:rPr>
        <w:t xml:space="preserve"> for social protection and decent jobs </w:t>
      </w:r>
      <w:r w:rsidR="00B278C8">
        <w:rPr>
          <w:lang w:val="en-GB"/>
        </w:rPr>
        <w:t>while</w:t>
      </w:r>
      <w:r w:rsidR="003E6851">
        <w:rPr>
          <w:lang w:val="en-GB"/>
        </w:rPr>
        <w:t xml:space="preserve"> </w:t>
      </w:r>
      <w:r w:rsidR="003B4ADB">
        <w:rPr>
          <w:lang w:val="en-GB"/>
        </w:rPr>
        <w:t>mitigat</w:t>
      </w:r>
      <w:r w:rsidR="00B278C8">
        <w:rPr>
          <w:lang w:val="en-GB"/>
        </w:rPr>
        <w:t>ing</w:t>
      </w:r>
      <w:r w:rsidR="003B4ADB">
        <w:rPr>
          <w:lang w:val="en-GB"/>
        </w:rPr>
        <w:t xml:space="preserve"> detrimental impacts of </w:t>
      </w:r>
      <w:r w:rsidR="003B4ADB">
        <w:t>ongoing crises like armed conflicts, climate change, and structural shifts</w:t>
      </w:r>
      <w:r w:rsidR="00A428C2" w:rsidRPr="00B442BE">
        <w:rPr>
          <w:lang w:val="en-GB"/>
        </w:rPr>
        <w:t>.</w:t>
      </w:r>
      <w:r w:rsidR="00436B0F">
        <w:rPr>
          <w:lang w:val="en-GB"/>
        </w:rPr>
        <w:t xml:space="preserve"> </w:t>
      </w:r>
      <w:r w:rsidR="00244FBE" w:rsidRPr="00A0166E">
        <w:rPr>
          <w:lang w:val="en-GB"/>
        </w:rPr>
        <w:t xml:space="preserve">The </w:t>
      </w:r>
      <w:r w:rsidR="00E52D9D">
        <w:rPr>
          <w:lang w:val="en-GB"/>
        </w:rPr>
        <w:t xml:space="preserve">GA </w:t>
      </w:r>
      <w:r w:rsidR="00165A16" w:rsidRPr="00664413">
        <w:t>has gained significant momentum</w:t>
      </w:r>
      <w:r w:rsidR="00BA4D53">
        <w:t xml:space="preserve"> and </w:t>
      </w:r>
      <w:r w:rsidR="00E52D9D">
        <w:rPr>
          <w:lang w:val="en-GB"/>
        </w:rPr>
        <w:t xml:space="preserve">is being implemented </w:t>
      </w:r>
      <w:r w:rsidR="00244FBE" w:rsidRPr="00A0166E">
        <w:rPr>
          <w:lang w:val="en-GB"/>
        </w:rPr>
        <w:t xml:space="preserve">through a </w:t>
      </w:r>
      <w:r w:rsidR="00E52D9D">
        <w:rPr>
          <w:lang w:val="en-GB"/>
        </w:rPr>
        <w:t xml:space="preserve">joint </w:t>
      </w:r>
      <w:r w:rsidR="00244FBE" w:rsidRPr="00A0166E">
        <w:rPr>
          <w:lang w:val="en-GB"/>
        </w:rPr>
        <w:t xml:space="preserve">process </w:t>
      </w:r>
      <w:r w:rsidR="00E52D9D">
        <w:rPr>
          <w:lang w:val="en-GB"/>
        </w:rPr>
        <w:t>of</w:t>
      </w:r>
      <w:r w:rsidR="00244FBE" w:rsidRPr="00A0166E">
        <w:rPr>
          <w:lang w:val="en-GB"/>
        </w:rPr>
        <w:t xml:space="preserve"> governments, social partners, UN agencies, IFIs, and other key stakeholders build</w:t>
      </w:r>
      <w:r w:rsidR="00B278C8">
        <w:rPr>
          <w:lang w:val="en-GB"/>
        </w:rPr>
        <w:t>ing</w:t>
      </w:r>
      <w:r w:rsidR="00244FBE" w:rsidRPr="00A0166E">
        <w:rPr>
          <w:lang w:val="en-GB"/>
        </w:rPr>
        <w:t xml:space="preserve"> a tailor-made approach adapted to each country’s specific context, including those in fragile and post-conflict settings. </w:t>
      </w:r>
    </w:p>
    <w:p w14:paraId="1A95347D" w14:textId="7AB9CACA" w:rsidR="002F6B6C" w:rsidRPr="00350348" w:rsidRDefault="00DA5984" w:rsidP="002F6B6C">
      <w:pPr>
        <w:pStyle w:val="ListParagraph"/>
        <w:numPr>
          <w:ilvl w:val="0"/>
          <w:numId w:val="7"/>
        </w:numPr>
        <w:jc w:val="both"/>
        <w:rPr>
          <w:lang w:val="en-GB"/>
        </w:rPr>
      </w:pPr>
      <w:r w:rsidRPr="0019611D">
        <w:rPr>
          <w:lang w:val="en-GB"/>
        </w:rPr>
        <w:t xml:space="preserve">The outcome document should stress the importance of </w:t>
      </w:r>
      <w:r w:rsidR="004B13D1" w:rsidRPr="0019611D">
        <w:rPr>
          <w:lang w:val="en-GB"/>
        </w:rPr>
        <w:t>multilateral</w:t>
      </w:r>
      <w:r w:rsidRPr="00B707F6">
        <w:t xml:space="preserve"> cooperation and solidarity</w:t>
      </w:r>
      <w:r>
        <w:t xml:space="preserve"> </w:t>
      </w:r>
      <w:r w:rsidRPr="00E157F9">
        <w:t xml:space="preserve">to </w:t>
      </w:r>
      <w:r w:rsidR="004B13D1">
        <w:t xml:space="preserve">boost </w:t>
      </w:r>
      <w:r w:rsidRPr="00E157F9">
        <w:t>social protection and employment</w:t>
      </w:r>
      <w:r w:rsidR="004B13D1">
        <w:t>.</w:t>
      </w:r>
      <w:r w:rsidR="00D4691B">
        <w:t xml:space="preserve"> </w:t>
      </w:r>
      <w:r w:rsidR="00524E6E">
        <w:t>I</w:t>
      </w:r>
      <w:r w:rsidR="00A96626" w:rsidRPr="00A96626">
        <w:t>mprov</w:t>
      </w:r>
      <w:r w:rsidR="00A96626">
        <w:t>ing</w:t>
      </w:r>
      <w:r w:rsidR="00A96626" w:rsidRPr="00A96626">
        <w:t xml:space="preserve"> dialogue and coherence among national policymakers, ODA partners, UN agencies, </w:t>
      </w:r>
      <w:r w:rsidR="00094AE0">
        <w:t>IFIs</w:t>
      </w:r>
      <w:r w:rsidR="00A96626" w:rsidRPr="00A96626">
        <w:t xml:space="preserve">, social partners, civil society and academia, </w:t>
      </w:r>
      <w:r w:rsidR="00524E6E">
        <w:t xml:space="preserve">will boost </w:t>
      </w:r>
      <w:r w:rsidR="00A96626" w:rsidRPr="00A96626">
        <w:t xml:space="preserve">national and international commitments, </w:t>
      </w:r>
      <w:r w:rsidR="00094AE0">
        <w:t>and </w:t>
      </w:r>
      <w:r w:rsidR="00A96626" w:rsidRPr="00A96626">
        <w:t xml:space="preserve">mobilize financial support </w:t>
      </w:r>
      <w:r w:rsidR="006122F5">
        <w:t>for more</w:t>
      </w:r>
      <w:r w:rsidR="00A96626" w:rsidRPr="00A96626">
        <w:t xml:space="preserve"> investments in social protection and jobs</w:t>
      </w:r>
      <w:r w:rsidR="006122F5">
        <w:t xml:space="preserve"> for just transitions. </w:t>
      </w:r>
    </w:p>
    <w:p w14:paraId="0A7668B9" w14:textId="77777777" w:rsidR="007D1216" w:rsidRPr="002F6B6C" w:rsidRDefault="007D1216" w:rsidP="007D1216">
      <w:pPr>
        <w:rPr>
          <w:i/>
          <w:iCs/>
        </w:rPr>
      </w:pPr>
    </w:p>
    <w:p w14:paraId="6779AD93" w14:textId="77777777" w:rsidR="007D1216" w:rsidRDefault="007D1216" w:rsidP="007D1216">
      <w:pPr>
        <w:pStyle w:val="ListParagraph"/>
      </w:pPr>
    </w:p>
    <w:sectPr w:rsidR="007D1216" w:rsidSect="00D430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27E5F" w14:textId="77777777" w:rsidR="007A3BC3" w:rsidRDefault="007A3BC3" w:rsidP="003A03B5">
      <w:pPr>
        <w:spacing w:after="0" w:line="240" w:lineRule="auto"/>
      </w:pPr>
      <w:r>
        <w:separator/>
      </w:r>
    </w:p>
  </w:endnote>
  <w:endnote w:type="continuationSeparator" w:id="0">
    <w:p w14:paraId="17367057" w14:textId="77777777" w:rsidR="007A3BC3" w:rsidRDefault="007A3BC3" w:rsidP="003A03B5">
      <w:pPr>
        <w:spacing w:after="0" w:line="240" w:lineRule="auto"/>
      </w:pPr>
      <w:r>
        <w:continuationSeparator/>
      </w:r>
    </w:p>
  </w:endnote>
  <w:endnote w:type="continuationNotice" w:id="1">
    <w:p w14:paraId="4055B6C2" w14:textId="77777777" w:rsidR="007A3BC3" w:rsidRDefault="007A3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Noto Sans">
    <w:panose1 w:val="020B0502040504020204"/>
    <w:charset w:val="00"/>
    <w:family w:val="swiss"/>
    <w:pitch w:val="variable"/>
    <w:sig w:usb0="E00082FF" w:usb1="400078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7FD2A" w14:textId="77777777" w:rsidR="00D43031" w:rsidRDefault="00D43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922421"/>
      <w:docPartObj>
        <w:docPartGallery w:val="Page Numbers (Bottom of Page)"/>
        <w:docPartUnique/>
      </w:docPartObj>
    </w:sdtPr>
    <w:sdtEndPr>
      <w:rPr>
        <w:noProof/>
      </w:rPr>
    </w:sdtEndPr>
    <w:sdtContent>
      <w:p w14:paraId="4BEEC151" w14:textId="43F12D06" w:rsidR="007E2734" w:rsidRDefault="007E2734">
        <w:pPr>
          <w:pStyle w:val="Footer"/>
          <w:jc w:val="center"/>
        </w:pPr>
        <w:r w:rsidRPr="47570375">
          <w:rPr>
            <w:noProof/>
          </w:rPr>
          <w:fldChar w:fldCharType="begin"/>
        </w:r>
        <w:r>
          <w:instrText xml:space="preserve"> PAGE   \* MERGEFORMAT </w:instrText>
        </w:r>
        <w:r w:rsidRPr="47570375">
          <w:fldChar w:fldCharType="separate"/>
        </w:r>
        <w:r w:rsidR="47570375" w:rsidRPr="47570375">
          <w:rPr>
            <w:noProof/>
          </w:rPr>
          <w:t>2</w:t>
        </w:r>
        <w:r w:rsidRPr="47570375">
          <w:rPr>
            <w:noProof/>
          </w:rPr>
          <w:fldChar w:fldCharType="end"/>
        </w:r>
      </w:p>
    </w:sdtContent>
  </w:sdt>
  <w:p w14:paraId="7C473D22" w14:textId="79BB5A9A" w:rsidR="2378F70A" w:rsidRDefault="2378F70A" w:rsidP="2378F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7345" w14:textId="77777777" w:rsidR="00D43031" w:rsidRDefault="00D4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B2F87" w14:textId="77777777" w:rsidR="007A3BC3" w:rsidRDefault="007A3BC3" w:rsidP="003A03B5">
      <w:pPr>
        <w:spacing w:after="0" w:line="240" w:lineRule="auto"/>
      </w:pPr>
      <w:r>
        <w:separator/>
      </w:r>
    </w:p>
  </w:footnote>
  <w:footnote w:type="continuationSeparator" w:id="0">
    <w:p w14:paraId="76D2D9CB" w14:textId="77777777" w:rsidR="007A3BC3" w:rsidRDefault="007A3BC3" w:rsidP="003A03B5">
      <w:pPr>
        <w:spacing w:after="0" w:line="240" w:lineRule="auto"/>
      </w:pPr>
      <w:r>
        <w:continuationSeparator/>
      </w:r>
    </w:p>
  </w:footnote>
  <w:footnote w:type="continuationNotice" w:id="1">
    <w:p w14:paraId="464776B8" w14:textId="77777777" w:rsidR="007A3BC3" w:rsidRDefault="007A3BC3">
      <w:pPr>
        <w:spacing w:after="0" w:line="240" w:lineRule="auto"/>
      </w:pPr>
    </w:p>
  </w:footnote>
  <w:footnote w:id="2">
    <w:p w14:paraId="33F6C0DF" w14:textId="5AECCD9D" w:rsidR="0000694D" w:rsidRPr="0045485D" w:rsidRDefault="0000694D" w:rsidP="00D50F68">
      <w:pPr>
        <w:pStyle w:val="FootnoteText"/>
        <w:jc w:val="both"/>
        <w:rPr>
          <w:sz w:val="18"/>
          <w:szCs w:val="18"/>
          <w:lang w:val="it-CH"/>
        </w:rPr>
      </w:pPr>
      <w:r w:rsidRPr="00D50F68">
        <w:rPr>
          <w:rStyle w:val="FootnoteReference"/>
          <w:sz w:val="18"/>
          <w:szCs w:val="18"/>
        </w:rPr>
        <w:footnoteRef/>
      </w:r>
      <w:r w:rsidRPr="00D50F68">
        <w:rPr>
          <w:sz w:val="18"/>
          <w:szCs w:val="18"/>
        </w:rPr>
        <w:t xml:space="preserve"> ILO</w:t>
      </w:r>
      <w:r w:rsidR="00540220" w:rsidRPr="00D50F68">
        <w:rPr>
          <w:sz w:val="18"/>
          <w:szCs w:val="18"/>
        </w:rPr>
        <w:t>.</w:t>
      </w:r>
      <w:r w:rsidR="0030074B" w:rsidRPr="00D50F68">
        <w:rPr>
          <w:sz w:val="18"/>
          <w:szCs w:val="18"/>
        </w:rPr>
        <w:t xml:space="preserve"> </w:t>
      </w:r>
      <w:r w:rsidR="00540220" w:rsidRPr="00D50F68">
        <w:rPr>
          <w:sz w:val="18"/>
          <w:szCs w:val="18"/>
        </w:rPr>
        <w:t xml:space="preserve">2024. </w:t>
      </w:r>
      <w:r w:rsidR="0030074B" w:rsidRPr="00D50F68">
        <w:rPr>
          <w:sz w:val="18"/>
          <w:szCs w:val="18"/>
        </w:rPr>
        <w:t>World Social Protection Report</w:t>
      </w:r>
      <w:r w:rsidR="00473857" w:rsidRPr="00D50F68">
        <w:rPr>
          <w:sz w:val="18"/>
          <w:szCs w:val="18"/>
        </w:rPr>
        <w:t xml:space="preserve"> 2022–24: </w:t>
      </w:r>
      <w:r w:rsidR="00540220" w:rsidRPr="00D50F68">
        <w:rPr>
          <w:sz w:val="18"/>
          <w:szCs w:val="18"/>
          <w:lang w:val="en-GB"/>
        </w:rPr>
        <w:t>Universal social protection for climate action and a just transition</w:t>
      </w:r>
      <w:r w:rsidR="00473857" w:rsidRPr="00D50F68">
        <w:rPr>
          <w:sz w:val="18"/>
          <w:szCs w:val="18"/>
        </w:rPr>
        <w:t>. </w:t>
      </w:r>
      <w:r w:rsidR="00473857" w:rsidRPr="0045485D">
        <w:rPr>
          <w:sz w:val="18"/>
          <w:szCs w:val="18"/>
          <w:lang w:val="it-CH"/>
        </w:rPr>
        <w:t>Geneva: ILO, 202</w:t>
      </w:r>
      <w:r w:rsidR="00540220" w:rsidRPr="0045485D">
        <w:rPr>
          <w:sz w:val="18"/>
          <w:szCs w:val="18"/>
          <w:lang w:val="it-CH"/>
        </w:rPr>
        <w:t>4</w:t>
      </w:r>
      <w:r w:rsidR="00473857" w:rsidRPr="0045485D">
        <w:rPr>
          <w:sz w:val="18"/>
          <w:szCs w:val="18"/>
          <w:lang w:val="it-CH"/>
        </w:rPr>
        <w:t>.</w:t>
      </w:r>
    </w:p>
  </w:footnote>
  <w:footnote w:id="3">
    <w:p w14:paraId="23940D83" w14:textId="77777777" w:rsidR="00A17246" w:rsidRPr="00D50F68" w:rsidRDefault="00A17246" w:rsidP="00D50F68">
      <w:pPr>
        <w:pStyle w:val="FootnoteText"/>
        <w:jc w:val="both"/>
        <w:rPr>
          <w:sz w:val="18"/>
          <w:szCs w:val="18"/>
          <w:lang w:val="en-GB"/>
        </w:rPr>
      </w:pPr>
      <w:r w:rsidRPr="00D50F68">
        <w:rPr>
          <w:rStyle w:val="FootnoteReference"/>
          <w:sz w:val="18"/>
          <w:szCs w:val="18"/>
        </w:rPr>
        <w:footnoteRef/>
      </w:r>
      <w:r w:rsidRPr="0045485D">
        <w:rPr>
          <w:sz w:val="18"/>
          <w:szCs w:val="18"/>
          <w:lang w:val="it-CH"/>
        </w:rPr>
        <w:t xml:space="preserve"> Razavi S., Cattaneo U., Schwarzer H. and Visentin A., 2024 forthcoming. </w:t>
      </w:r>
      <w:r w:rsidRPr="00D50F68">
        <w:rPr>
          <w:sz w:val="18"/>
          <w:szCs w:val="18"/>
        </w:rPr>
        <w:t>“Combatting Inequalities: What Role for Universal Social Protection?”</w:t>
      </w:r>
    </w:p>
  </w:footnote>
  <w:footnote w:id="4">
    <w:p w14:paraId="4F3E4442" w14:textId="22F94A8C" w:rsidR="00252CE5" w:rsidRPr="00D50F68" w:rsidRDefault="00252CE5" w:rsidP="00D50F68">
      <w:pPr>
        <w:pStyle w:val="FootnoteText"/>
        <w:jc w:val="both"/>
        <w:rPr>
          <w:sz w:val="18"/>
          <w:szCs w:val="18"/>
          <w:lang w:val="en-GB"/>
        </w:rPr>
      </w:pPr>
      <w:r w:rsidRPr="00D50F68">
        <w:rPr>
          <w:rStyle w:val="FootnoteReference"/>
          <w:sz w:val="18"/>
          <w:szCs w:val="18"/>
        </w:rPr>
        <w:footnoteRef/>
      </w:r>
      <w:r w:rsidRPr="001349E5">
        <w:rPr>
          <w:sz w:val="18"/>
          <w:szCs w:val="18"/>
          <w:lang w:val="en-GB"/>
        </w:rPr>
        <w:t xml:space="preserve"> Cattaneo, U., Schwarzer, H., Razavi, S., Visentin, A. 2024. </w:t>
      </w:r>
      <w:r w:rsidRPr="006B3706">
        <w:rPr>
          <w:sz w:val="18"/>
          <w:szCs w:val="18"/>
        </w:rPr>
        <w:t>Financing gap for universal social protection: Global, regional and national estimates and strategies for creating fiscal space</w:t>
      </w:r>
      <w:r w:rsidRPr="00D50F68">
        <w:rPr>
          <w:sz w:val="18"/>
          <w:szCs w:val="18"/>
        </w:rPr>
        <w:t>, ILO Working Paper 113 (Geneva, ILO).</w:t>
      </w:r>
    </w:p>
  </w:footnote>
  <w:footnote w:id="5">
    <w:p w14:paraId="5C55AC67" w14:textId="7DAD1920" w:rsidR="00B4444C" w:rsidRPr="00B4444C" w:rsidRDefault="00B4444C" w:rsidP="00D50F68">
      <w:pPr>
        <w:pStyle w:val="FootnoteText"/>
        <w:jc w:val="both"/>
        <w:rPr>
          <w:lang w:val="en-GB"/>
        </w:rPr>
      </w:pPr>
      <w:r w:rsidRPr="00D50F68">
        <w:rPr>
          <w:rStyle w:val="FootnoteReference"/>
          <w:sz w:val="18"/>
          <w:szCs w:val="18"/>
        </w:rPr>
        <w:footnoteRef/>
      </w:r>
      <w:r w:rsidRPr="00D50F68">
        <w:rPr>
          <w:sz w:val="18"/>
          <w:szCs w:val="18"/>
        </w:rPr>
        <w:t xml:space="preserve"> </w:t>
      </w:r>
      <w:r w:rsidR="008D3219" w:rsidRPr="00D50F68">
        <w:rPr>
          <w:sz w:val="18"/>
          <w:szCs w:val="18"/>
        </w:rPr>
        <w:t>Global Accelerator on Jobs and Social Protection for Just Transitions (2</w:t>
      </w:r>
      <w:r w:rsidR="00B16000" w:rsidRPr="00D50F68">
        <w:rPr>
          <w:sz w:val="18"/>
          <w:szCs w:val="18"/>
        </w:rPr>
        <w:t>02</w:t>
      </w:r>
      <w:r w:rsidR="000C5514" w:rsidRPr="00D50F68">
        <w:rPr>
          <w:sz w:val="18"/>
          <w:szCs w:val="18"/>
        </w:rPr>
        <w:t>2</w:t>
      </w:r>
      <w:r w:rsidR="00B16000" w:rsidRPr="00D50F68">
        <w:rPr>
          <w:sz w:val="18"/>
          <w:szCs w:val="18"/>
        </w:rPr>
        <w:t>).</w:t>
      </w:r>
      <w:r w:rsidR="00907550" w:rsidRPr="00D50F68">
        <w:rPr>
          <w:sz w:val="18"/>
          <w:szCs w:val="18"/>
        </w:rPr>
        <w:t xml:space="preserve"> </w:t>
      </w:r>
      <w:r w:rsidR="00B16000" w:rsidRPr="00D50F68">
        <w:rPr>
          <w:sz w:val="18"/>
          <w:szCs w:val="18"/>
        </w:rPr>
        <w:t>Financing Frameworks.</w:t>
      </w:r>
    </w:p>
  </w:footnote>
  <w:footnote w:id="6">
    <w:p w14:paraId="0C9E5C02" w14:textId="229F589E" w:rsidR="00E024B1" w:rsidRPr="00900355" w:rsidRDefault="00E024B1">
      <w:pPr>
        <w:pStyle w:val="FootnoteText"/>
        <w:rPr>
          <w:sz w:val="18"/>
          <w:szCs w:val="18"/>
          <w:lang w:val="en-GB"/>
        </w:rPr>
      </w:pPr>
      <w:r w:rsidRPr="00900355">
        <w:rPr>
          <w:rStyle w:val="FootnoteReference"/>
          <w:sz w:val="18"/>
          <w:szCs w:val="18"/>
        </w:rPr>
        <w:footnoteRef/>
      </w:r>
      <w:r w:rsidRPr="00900355">
        <w:rPr>
          <w:sz w:val="18"/>
          <w:szCs w:val="18"/>
        </w:rPr>
        <w:t xml:space="preserve"> </w:t>
      </w:r>
      <w:r w:rsidR="00900355" w:rsidRPr="00900355">
        <w:rPr>
          <w:sz w:val="18"/>
          <w:szCs w:val="18"/>
        </w:rPr>
        <w:t>United Nations, Inter-agency Task Force on Financing for Development, Financing for Sustainable Development Report 2022. New York: United Nations, 2022.</w:t>
      </w:r>
    </w:p>
  </w:footnote>
  <w:footnote w:id="7">
    <w:p w14:paraId="08765D55" w14:textId="77777777" w:rsidR="00D131FB" w:rsidRPr="006D4B75" w:rsidRDefault="00D131FB" w:rsidP="00D131FB">
      <w:pPr>
        <w:pStyle w:val="FootnoteText"/>
        <w:jc w:val="both"/>
        <w:rPr>
          <w:lang w:val="en-GB"/>
        </w:rPr>
      </w:pPr>
      <w:r w:rsidRPr="006D4B75">
        <w:rPr>
          <w:rStyle w:val="FootnoteReference"/>
          <w:sz w:val="18"/>
          <w:szCs w:val="18"/>
        </w:rPr>
        <w:footnoteRef/>
      </w:r>
      <w:r w:rsidRPr="006D4B75">
        <w:rPr>
          <w:sz w:val="18"/>
          <w:szCs w:val="18"/>
        </w:rPr>
        <w:t xml:space="preserve"> Zucker-Marques, M., Gallagher, K., and Volz, U. (2024). Defaulting on Development and Climate: Debt Sustainability and the Race for the 2030 Agenda and Paris Agreement. Boston, London, Berlin: Boston University Global Development Policy Center; Centre for Sustainable Finance, SOAS, University of London; Heinrich Böll Foundation.</w:t>
      </w:r>
    </w:p>
  </w:footnote>
  <w:footnote w:id="8">
    <w:p w14:paraId="181D69EA" w14:textId="3038E9C8" w:rsidR="008876A9" w:rsidRPr="00BD4F5C" w:rsidRDefault="008876A9">
      <w:pPr>
        <w:pStyle w:val="FootnoteText"/>
        <w:rPr>
          <w:sz w:val="18"/>
          <w:szCs w:val="18"/>
        </w:rPr>
      </w:pPr>
      <w:r w:rsidRPr="00BD4F5C">
        <w:rPr>
          <w:rStyle w:val="FootnoteReference"/>
          <w:sz w:val="18"/>
          <w:szCs w:val="18"/>
        </w:rPr>
        <w:footnoteRef/>
      </w:r>
      <w:r w:rsidRPr="00BD4F5C">
        <w:rPr>
          <w:sz w:val="18"/>
          <w:szCs w:val="18"/>
          <w:lang w:val="de-DE"/>
        </w:rPr>
        <w:t xml:space="preserve"> </w:t>
      </w:r>
      <w:r w:rsidR="00BD4F5C" w:rsidRPr="00BD4F5C">
        <w:rPr>
          <w:sz w:val="18"/>
          <w:szCs w:val="18"/>
          <w:lang w:val="de-DE"/>
        </w:rPr>
        <w:t xml:space="preserve">Spiegel, S., &amp; Schwank, O. (2022, June 8). </w:t>
      </w:r>
      <w:r w:rsidR="00BD4F5C" w:rsidRPr="00BD4F5C">
        <w:rPr>
          <w:sz w:val="18"/>
          <w:szCs w:val="18"/>
        </w:rPr>
        <w:t xml:space="preserve">Bridging the Great Finance Divide in Developing Countries. Brookings Institution. Retrieved from </w:t>
      </w:r>
      <w:hyperlink r:id="rId1" w:tgtFrame="_new" w:history="1">
        <w:r w:rsidR="00BD4F5C" w:rsidRPr="00BD4F5C">
          <w:rPr>
            <w:rStyle w:val="Hyperlink"/>
            <w:sz w:val="18"/>
            <w:szCs w:val="18"/>
          </w:rPr>
          <w:t>https://www.brookings.edu/articles/bridging-the-great-finance-divide-in-developing-countries/</w:t>
        </w:r>
      </w:hyperlink>
    </w:p>
  </w:footnote>
  <w:footnote w:id="9">
    <w:p w14:paraId="28F7C117" w14:textId="5E42244E" w:rsidR="00A9494D" w:rsidRPr="0045485D" w:rsidRDefault="00A9494D">
      <w:pPr>
        <w:pStyle w:val="FootnoteText"/>
        <w:rPr>
          <w:sz w:val="18"/>
          <w:szCs w:val="18"/>
        </w:rPr>
      </w:pPr>
      <w:r>
        <w:rPr>
          <w:rStyle w:val="FootnoteReference"/>
        </w:rPr>
        <w:footnoteRef/>
      </w:r>
      <w:r>
        <w:t xml:space="preserve"> </w:t>
      </w:r>
      <w:hyperlink r:id="rId2" w:history="1">
        <w:r w:rsidRPr="0045485D">
          <w:rPr>
            <w:sz w:val="18"/>
            <w:szCs w:val="18"/>
          </w:rPr>
          <w:t>https://socialprotection-pfm.org/wp-content/uploads/2023/11/wp18_multiplier-multi-country.pdf</w:t>
        </w:r>
      </w:hyperlink>
      <w:r w:rsidRPr="0045485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20EB" w14:textId="77777777" w:rsidR="00D43031" w:rsidRDefault="00D43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378F70A" w14:paraId="53D9A7D8" w14:textId="77777777" w:rsidTr="2378F70A">
      <w:trPr>
        <w:trHeight w:val="300"/>
      </w:trPr>
      <w:tc>
        <w:tcPr>
          <w:tcW w:w="3120" w:type="dxa"/>
        </w:tcPr>
        <w:p w14:paraId="03E1672A" w14:textId="3575C3C0" w:rsidR="2378F70A" w:rsidRDefault="2378F70A" w:rsidP="2378F70A">
          <w:pPr>
            <w:pStyle w:val="Header"/>
            <w:ind w:left="-115"/>
          </w:pPr>
        </w:p>
      </w:tc>
      <w:tc>
        <w:tcPr>
          <w:tcW w:w="3120" w:type="dxa"/>
        </w:tcPr>
        <w:p w14:paraId="398B78AB" w14:textId="4CE57659" w:rsidR="2378F70A" w:rsidRDefault="2378F70A" w:rsidP="2378F70A">
          <w:pPr>
            <w:pStyle w:val="Header"/>
            <w:jc w:val="center"/>
          </w:pPr>
        </w:p>
      </w:tc>
      <w:tc>
        <w:tcPr>
          <w:tcW w:w="3120" w:type="dxa"/>
        </w:tcPr>
        <w:p w14:paraId="46576923" w14:textId="6B04196D" w:rsidR="2378F70A" w:rsidRDefault="2378F70A" w:rsidP="2378F70A">
          <w:pPr>
            <w:pStyle w:val="Header"/>
            <w:ind w:right="-115"/>
            <w:jc w:val="right"/>
          </w:pPr>
        </w:p>
      </w:tc>
    </w:tr>
  </w:tbl>
  <w:p w14:paraId="62FD6FCE" w14:textId="669613D5" w:rsidR="2378F70A" w:rsidRDefault="2378F70A" w:rsidP="2378F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328B" w14:textId="5D8BDB0D" w:rsidR="00D43031" w:rsidRDefault="00D43031" w:rsidP="00D43031">
    <w:pPr>
      <w:pStyle w:val="Header"/>
      <w:jc w:val="center"/>
    </w:pPr>
    <w:r w:rsidRPr="005A64D3">
      <w:rPr>
        <w:lang w:eastAsia="en-GB"/>
      </w:rPr>
      <w:drawing>
        <wp:inline distT="0" distB="0" distL="0" distR="0" wp14:anchorId="595F6095" wp14:editId="3B090C52">
          <wp:extent cx="1668780" cy="601916"/>
          <wp:effectExtent l="0" t="0" r="7620" b="8255"/>
          <wp:docPr id="135880825"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blu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662" cy="610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2B4F5"/>
    <w:multiLevelType w:val="multilevel"/>
    <w:tmpl w:val="1DB03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361A2E"/>
    <w:multiLevelType w:val="hybridMultilevel"/>
    <w:tmpl w:val="183AD0C0"/>
    <w:lvl w:ilvl="0" w:tplc="FFFFFFFF">
      <w:start w:val="1"/>
      <w:numFmt w:val="upperRoman"/>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0D4EE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2E6C"/>
    <w:multiLevelType w:val="multilevel"/>
    <w:tmpl w:val="4A70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25170"/>
    <w:multiLevelType w:val="hybridMultilevel"/>
    <w:tmpl w:val="183AD0C0"/>
    <w:lvl w:ilvl="0" w:tplc="F4C82614">
      <w:start w:val="1"/>
      <w:numFmt w:val="upperRoman"/>
      <w:lvlText w:val="%1."/>
      <w:lvlJc w:val="left"/>
      <w:pPr>
        <w:ind w:left="720" w:hanging="360"/>
      </w:pPr>
      <w:rPr>
        <w:rFonts w:ascii="Calibri" w:eastAsiaTheme="minorHAns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46220"/>
    <w:multiLevelType w:val="hybridMultilevel"/>
    <w:tmpl w:val="7C16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A030C2E"/>
    <w:multiLevelType w:val="hybridMultilevel"/>
    <w:tmpl w:val="0212DAF8"/>
    <w:lvl w:ilvl="0" w:tplc="08090013">
      <w:start w:val="1"/>
      <w:numFmt w:val="upperRoman"/>
      <w:lvlText w:val="%1."/>
      <w:lvlJc w:val="right"/>
      <w:pPr>
        <w:ind w:left="-54" w:hanging="360"/>
      </w:pPr>
      <w:rPr>
        <w:rFonts w:hint="default"/>
      </w:rPr>
    </w:lvl>
    <w:lvl w:ilvl="1" w:tplc="FFFFFFFF">
      <w:start w:val="1"/>
      <w:numFmt w:val="bullet"/>
      <w:lvlText w:val="o"/>
      <w:lvlJc w:val="left"/>
      <w:pPr>
        <w:ind w:left="666" w:hanging="360"/>
      </w:pPr>
      <w:rPr>
        <w:rFonts w:ascii="Courier New" w:hAnsi="Courier New" w:cs="Courier New" w:hint="default"/>
      </w:rPr>
    </w:lvl>
    <w:lvl w:ilvl="2" w:tplc="FFFFFFFF" w:tentative="1">
      <w:start w:val="1"/>
      <w:numFmt w:val="bullet"/>
      <w:lvlText w:val=""/>
      <w:lvlJc w:val="left"/>
      <w:pPr>
        <w:ind w:left="1386" w:hanging="360"/>
      </w:pPr>
      <w:rPr>
        <w:rFonts w:ascii="Wingdings" w:hAnsi="Wingdings" w:hint="default"/>
      </w:rPr>
    </w:lvl>
    <w:lvl w:ilvl="3" w:tplc="FFFFFFFF" w:tentative="1">
      <w:start w:val="1"/>
      <w:numFmt w:val="bullet"/>
      <w:lvlText w:val=""/>
      <w:lvlJc w:val="left"/>
      <w:pPr>
        <w:ind w:left="2106" w:hanging="360"/>
      </w:pPr>
      <w:rPr>
        <w:rFonts w:ascii="Symbol" w:hAnsi="Symbol" w:hint="default"/>
      </w:rPr>
    </w:lvl>
    <w:lvl w:ilvl="4" w:tplc="FFFFFFFF" w:tentative="1">
      <w:start w:val="1"/>
      <w:numFmt w:val="bullet"/>
      <w:lvlText w:val="o"/>
      <w:lvlJc w:val="left"/>
      <w:pPr>
        <w:ind w:left="2826" w:hanging="360"/>
      </w:pPr>
      <w:rPr>
        <w:rFonts w:ascii="Courier New" w:hAnsi="Courier New" w:cs="Courier New" w:hint="default"/>
      </w:rPr>
    </w:lvl>
    <w:lvl w:ilvl="5" w:tplc="FFFFFFFF" w:tentative="1">
      <w:start w:val="1"/>
      <w:numFmt w:val="bullet"/>
      <w:lvlText w:val=""/>
      <w:lvlJc w:val="left"/>
      <w:pPr>
        <w:ind w:left="3546" w:hanging="360"/>
      </w:pPr>
      <w:rPr>
        <w:rFonts w:ascii="Wingdings" w:hAnsi="Wingdings" w:hint="default"/>
      </w:rPr>
    </w:lvl>
    <w:lvl w:ilvl="6" w:tplc="FFFFFFFF" w:tentative="1">
      <w:start w:val="1"/>
      <w:numFmt w:val="bullet"/>
      <w:lvlText w:val=""/>
      <w:lvlJc w:val="left"/>
      <w:pPr>
        <w:ind w:left="4266" w:hanging="360"/>
      </w:pPr>
      <w:rPr>
        <w:rFonts w:ascii="Symbol" w:hAnsi="Symbol" w:hint="default"/>
      </w:rPr>
    </w:lvl>
    <w:lvl w:ilvl="7" w:tplc="FFFFFFFF" w:tentative="1">
      <w:start w:val="1"/>
      <w:numFmt w:val="bullet"/>
      <w:lvlText w:val="o"/>
      <w:lvlJc w:val="left"/>
      <w:pPr>
        <w:ind w:left="4986" w:hanging="360"/>
      </w:pPr>
      <w:rPr>
        <w:rFonts w:ascii="Courier New" w:hAnsi="Courier New" w:cs="Courier New" w:hint="default"/>
      </w:rPr>
    </w:lvl>
    <w:lvl w:ilvl="8" w:tplc="FFFFFFFF" w:tentative="1">
      <w:start w:val="1"/>
      <w:numFmt w:val="bullet"/>
      <w:lvlText w:val=""/>
      <w:lvlJc w:val="left"/>
      <w:pPr>
        <w:ind w:left="5706" w:hanging="360"/>
      </w:pPr>
      <w:rPr>
        <w:rFonts w:ascii="Wingdings" w:hAnsi="Wingdings" w:hint="default"/>
      </w:rPr>
    </w:lvl>
  </w:abstractNum>
  <w:abstractNum w:abstractNumId="14" w15:restartNumberingAfterBreak="0">
    <w:nsid w:val="4F5D731A"/>
    <w:multiLevelType w:val="multilevel"/>
    <w:tmpl w:val="0FB2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F544BC"/>
    <w:multiLevelType w:val="multilevel"/>
    <w:tmpl w:val="8C4CD4D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4E5EA1"/>
    <w:multiLevelType w:val="hybridMultilevel"/>
    <w:tmpl w:val="032E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31A1F"/>
    <w:multiLevelType w:val="hybridMultilevel"/>
    <w:tmpl w:val="532E7C50"/>
    <w:lvl w:ilvl="0" w:tplc="20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E8A0605"/>
    <w:multiLevelType w:val="multilevel"/>
    <w:tmpl w:val="26E8F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F0676C5"/>
    <w:multiLevelType w:val="hybridMultilevel"/>
    <w:tmpl w:val="6342595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6F6F4009"/>
    <w:multiLevelType w:val="hybridMultilevel"/>
    <w:tmpl w:val="A0742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0B1440"/>
    <w:multiLevelType w:val="hybridMultilevel"/>
    <w:tmpl w:val="9078D684"/>
    <w:lvl w:ilvl="0" w:tplc="0F08118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5708557">
    <w:abstractNumId w:val="1"/>
  </w:num>
  <w:num w:numId="2" w16cid:durableId="2099014310">
    <w:abstractNumId w:val="0"/>
  </w:num>
  <w:num w:numId="3" w16cid:durableId="705714083">
    <w:abstractNumId w:val="12"/>
  </w:num>
  <w:num w:numId="4" w16cid:durableId="1224489899">
    <w:abstractNumId w:val="9"/>
  </w:num>
  <w:num w:numId="5" w16cid:durableId="839007420">
    <w:abstractNumId w:val="10"/>
  </w:num>
  <w:num w:numId="6" w16cid:durableId="1795057800">
    <w:abstractNumId w:val="11"/>
  </w:num>
  <w:num w:numId="7" w16cid:durableId="1539704886">
    <w:abstractNumId w:val="6"/>
  </w:num>
  <w:num w:numId="8" w16cid:durableId="1965765382">
    <w:abstractNumId w:val="4"/>
  </w:num>
  <w:num w:numId="9" w16cid:durableId="794254603">
    <w:abstractNumId w:val="8"/>
  </w:num>
  <w:num w:numId="10" w16cid:durableId="333800468">
    <w:abstractNumId w:val="15"/>
  </w:num>
  <w:num w:numId="11" w16cid:durableId="154301276">
    <w:abstractNumId w:val="20"/>
  </w:num>
  <w:num w:numId="12" w16cid:durableId="1585533243">
    <w:abstractNumId w:val="21"/>
  </w:num>
  <w:num w:numId="13" w16cid:durableId="616567799">
    <w:abstractNumId w:val="7"/>
  </w:num>
  <w:num w:numId="14" w16cid:durableId="278340458">
    <w:abstractNumId w:val="2"/>
  </w:num>
  <w:num w:numId="15" w16cid:durableId="1763261914">
    <w:abstractNumId w:val="14"/>
  </w:num>
  <w:num w:numId="16" w16cid:durableId="1149639237">
    <w:abstractNumId w:val="19"/>
  </w:num>
  <w:num w:numId="17" w16cid:durableId="513618435">
    <w:abstractNumId w:val="5"/>
  </w:num>
  <w:num w:numId="18" w16cid:durableId="1243611857">
    <w:abstractNumId w:val="13"/>
  </w:num>
  <w:num w:numId="19" w16cid:durableId="1007950826">
    <w:abstractNumId w:val="17"/>
  </w:num>
  <w:num w:numId="20" w16cid:durableId="1879780112">
    <w:abstractNumId w:val="18"/>
  </w:num>
  <w:num w:numId="21" w16cid:durableId="10319514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222314">
    <w:abstractNumId w:val="3"/>
  </w:num>
  <w:num w:numId="23" w16cid:durableId="1538930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01032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12FC"/>
    <w:rsid w:val="00002711"/>
    <w:rsid w:val="0000694D"/>
    <w:rsid w:val="0001069E"/>
    <w:rsid w:val="00026A29"/>
    <w:rsid w:val="00027D3A"/>
    <w:rsid w:val="00030E3E"/>
    <w:rsid w:val="000311A1"/>
    <w:rsid w:val="00034757"/>
    <w:rsid w:val="00040120"/>
    <w:rsid w:val="00043EF7"/>
    <w:rsid w:val="00046C39"/>
    <w:rsid w:val="00051768"/>
    <w:rsid w:val="00052493"/>
    <w:rsid w:val="00057CF2"/>
    <w:rsid w:val="00064579"/>
    <w:rsid w:val="0006507B"/>
    <w:rsid w:val="00066936"/>
    <w:rsid w:val="00071553"/>
    <w:rsid w:val="000754BC"/>
    <w:rsid w:val="0007580E"/>
    <w:rsid w:val="00076AC4"/>
    <w:rsid w:val="00077283"/>
    <w:rsid w:val="0008598E"/>
    <w:rsid w:val="00090490"/>
    <w:rsid w:val="0009116D"/>
    <w:rsid w:val="00093748"/>
    <w:rsid w:val="000944F4"/>
    <w:rsid w:val="00094AE0"/>
    <w:rsid w:val="00096E21"/>
    <w:rsid w:val="000A0EB3"/>
    <w:rsid w:val="000A7A99"/>
    <w:rsid w:val="000B2CE4"/>
    <w:rsid w:val="000B3EA3"/>
    <w:rsid w:val="000B3F11"/>
    <w:rsid w:val="000C5514"/>
    <w:rsid w:val="000C7E94"/>
    <w:rsid w:val="000D6406"/>
    <w:rsid w:val="000E19DC"/>
    <w:rsid w:val="000E51F2"/>
    <w:rsid w:val="000F285E"/>
    <w:rsid w:val="00100708"/>
    <w:rsid w:val="00105067"/>
    <w:rsid w:val="00110E12"/>
    <w:rsid w:val="00120E17"/>
    <w:rsid w:val="00124BB2"/>
    <w:rsid w:val="0013242F"/>
    <w:rsid w:val="001348C6"/>
    <w:rsid w:val="001349E5"/>
    <w:rsid w:val="0013511E"/>
    <w:rsid w:val="00136498"/>
    <w:rsid w:val="00137341"/>
    <w:rsid w:val="00153462"/>
    <w:rsid w:val="00156E30"/>
    <w:rsid w:val="001616D1"/>
    <w:rsid w:val="00163CED"/>
    <w:rsid w:val="00165440"/>
    <w:rsid w:val="001654AD"/>
    <w:rsid w:val="00165A16"/>
    <w:rsid w:val="00174569"/>
    <w:rsid w:val="00174892"/>
    <w:rsid w:val="001833C6"/>
    <w:rsid w:val="00184245"/>
    <w:rsid w:val="00186AF1"/>
    <w:rsid w:val="0019611D"/>
    <w:rsid w:val="00196F74"/>
    <w:rsid w:val="00197782"/>
    <w:rsid w:val="001A0608"/>
    <w:rsid w:val="001A37EE"/>
    <w:rsid w:val="001A71B9"/>
    <w:rsid w:val="001B13B8"/>
    <w:rsid w:val="001B2A07"/>
    <w:rsid w:val="001C08E5"/>
    <w:rsid w:val="001C4457"/>
    <w:rsid w:val="001C5FC0"/>
    <w:rsid w:val="001D399C"/>
    <w:rsid w:val="001E438F"/>
    <w:rsid w:val="001E673E"/>
    <w:rsid w:val="002025DE"/>
    <w:rsid w:val="002058B9"/>
    <w:rsid w:val="00212531"/>
    <w:rsid w:val="00213245"/>
    <w:rsid w:val="00214082"/>
    <w:rsid w:val="0021752F"/>
    <w:rsid w:val="00220A92"/>
    <w:rsid w:val="00221CA0"/>
    <w:rsid w:val="00223D5D"/>
    <w:rsid w:val="002268DC"/>
    <w:rsid w:val="002268E2"/>
    <w:rsid w:val="00226DDE"/>
    <w:rsid w:val="00230CC0"/>
    <w:rsid w:val="002317AB"/>
    <w:rsid w:val="00240001"/>
    <w:rsid w:val="00243611"/>
    <w:rsid w:val="00244FBE"/>
    <w:rsid w:val="002453E9"/>
    <w:rsid w:val="00245689"/>
    <w:rsid w:val="0024590A"/>
    <w:rsid w:val="00251A33"/>
    <w:rsid w:val="00252CE5"/>
    <w:rsid w:val="00256658"/>
    <w:rsid w:val="00261074"/>
    <w:rsid w:val="00261235"/>
    <w:rsid w:val="00261760"/>
    <w:rsid w:val="00262A48"/>
    <w:rsid w:val="00264832"/>
    <w:rsid w:val="002723FF"/>
    <w:rsid w:val="00273A49"/>
    <w:rsid w:val="00275650"/>
    <w:rsid w:val="00280A5A"/>
    <w:rsid w:val="002821A6"/>
    <w:rsid w:val="00285D6A"/>
    <w:rsid w:val="002939CC"/>
    <w:rsid w:val="0029536E"/>
    <w:rsid w:val="002B19BE"/>
    <w:rsid w:val="002B587A"/>
    <w:rsid w:val="002B7ED5"/>
    <w:rsid w:val="002C2003"/>
    <w:rsid w:val="002C37CE"/>
    <w:rsid w:val="002C6D77"/>
    <w:rsid w:val="002C6EB6"/>
    <w:rsid w:val="002D1A33"/>
    <w:rsid w:val="002D1F44"/>
    <w:rsid w:val="002D2D1F"/>
    <w:rsid w:val="002D5568"/>
    <w:rsid w:val="002E0465"/>
    <w:rsid w:val="002E31D3"/>
    <w:rsid w:val="002E4A34"/>
    <w:rsid w:val="002F2DEC"/>
    <w:rsid w:val="002F4A33"/>
    <w:rsid w:val="002F6B6C"/>
    <w:rsid w:val="002F7318"/>
    <w:rsid w:val="0030074B"/>
    <w:rsid w:val="00304810"/>
    <w:rsid w:val="00305BEF"/>
    <w:rsid w:val="00312458"/>
    <w:rsid w:val="0031250D"/>
    <w:rsid w:val="00313279"/>
    <w:rsid w:val="003151D7"/>
    <w:rsid w:val="00316586"/>
    <w:rsid w:val="00317113"/>
    <w:rsid w:val="00320786"/>
    <w:rsid w:val="00322050"/>
    <w:rsid w:val="0033007B"/>
    <w:rsid w:val="003375EB"/>
    <w:rsid w:val="003405E7"/>
    <w:rsid w:val="0034282A"/>
    <w:rsid w:val="003468F0"/>
    <w:rsid w:val="00350348"/>
    <w:rsid w:val="00360608"/>
    <w:rsid w:val="00362566"/>
    <w:rsid w:val="003720E8"/>
    <w:rsid w:val="00372E00"/>
    <w:rsid w:val="00372EA3"/>
    <w:rsid w:val="003739E2"/>
    <w:rsid w:val="00392FC6"/>
    <w:rsid w:val="00394EEF"/>
    <w:rsid w:val="0039566A"/>
    <w:rsid w:val="003963B8"/>
    <w:rsid w:val="0039703E"/>
    <w:rsid w:val="003976A8"/>
    <w:rsid w:val="003A03B5"/>
    <w:rsid w:val="003A0F2B"/>
    <w:rsid w:val="003A11F9"/>
    <w:rsid w:val="003A1EF7"/>
    <w:rsid w:val="003A3DDD"/>
    <w:rsid w:val="003B4ADB"/>
    <w:rsid w:val="003C12D6"/>
    <w:rsid w:val="003C75F0"/>
    <w:rsid w:val="003C7E19"/>
    <w:rsid w:val="003C7F20"/>
    <w:rsid w:val="003D344C"/>
    <w:rsid w:val="003D4459"/>
    <w:rsid w:val="003D45C7"/>
    <w:rsid w:val="003D6377"/>
    <w:rsid w:val="003D6F10"/>
    <w:rsid w:val="003E26B6"/>
    <w:rsid w:val="003E6851"/>
    <w:rsid w:val="003E7A2A"/>
    <w:rsid w:val="003F1828"/>
    <w:rsid w:val="00400609"/>
    <w:rsid w:val="00401F22"/>
    <w:rsid w:val="00403AF2"/>
    <w:rsid w:val="004126AF"/>
    <w:rsid w:val="00414CD5"/>
    <w:rsid w:val="004200FE"/>
    <w:rsid w:val="0042016D"/>
    <w:rsid w:val="004278CD"/>
    <w:rsid w:val="004308EB"/>
    <w:rsid w:val="004310A7"/>
    <w:rsid w:val="00434CAA"/>
    <w:rsid w:val="00436259"/>
    <w:rsid w:val="0043651B"/>
    <w:rsid w:val="00436730"/>
    <w:rsid w:val="00436B0F"/>
    <w:rsid w:val="00443921"/>
    <w:rsid w:val="00445832"/>
    <w:rsid w:val="00446219"/>
    <w:rsid w:val="0045012B"/>
    <w:rsid w:val="0045485D"/>
    <w:rsid w:val="0045510F"/>
    <w:rsid w:val="00471E38"/>
    <w:rsid w:val="00473857"/>
    <w:rsid w:val="00476193"/>
    <w:rsid w:val="00476226"/>
    <w:rsid w:val="00484731"/>
    <w:rsid w:val="0048608B"/>
    <w:rsid w:val="00486DD1"/>
    <w:rsid w:val="00490E1B"/>
    <w:rsid w:val="004917B7"/>
    <w:rsid w:val="004A4ED1"/>
    <w:rsid w:val="004A640F"/>
    <w:rsid w:val="004B13D1"/>
    <w:rsid w:val="004C1431"/>
    <w:rsid w:val="004C5A9A"/>
    <w:rsid w:val="004D78FB"/>
    <w:rsid w:val="004E1A29"/>
    <w:rsid w:val="004E59D5"/>
    <w:rsid w:val="004E5BBC"/>
    <w:rsid w:val="004E777A"/>
    <w:rsid w:val="004F0F23"/>
    <w:rsid w:val="004F102D"/>
    <w:rsid w:val="004F17B9"/>
    <w:rsid w:val="004F21BD"/>
    <w:rsid w:val="004F4DF5"/>
    <w:rsid w:val="004F77AA"/>
    <w:rsid w:val="00501F74"/>
    <w:rsid w:val="005075E0"/>
    <w:rsid w:val="00514BB8"/>
    <w:rsid w:val="00524E6E"/>
    <w:rsid w:val="00530DC1"/>
    <w:rsid w:val="00530E05"/>
    <w:rsid w:val="00535E99"/>
    <w:rsid w:val="00537018"/>
    <w:rsid w:val="00537D68"/>
    <w:rsid w:val="00537F0D"/>
    <w:rsid w:val="00540220"/>
    <w:rsid w:val="00541549"/>
    <w:rsid w:val="005449A9"/>
    <w:rsid w:val="00555B9F"/>
    <w:rsid w:val="00562D7E"/>
    <w:rsid w:val="00571D41"/>
    <w:rsid w:val="0057612D"/>
    <w:rsid w:val="005812CB"/>
    <w:rsid w:val="00587321"/>
    <w:rsid w:val="005910B8"/>
    <w:rsid w:val="005A5020"/>
    <w:rsid w:val="005B348F"/>
    <w:rsid w:val="005B38C4"/>
    <w:rsid w:val="005B6A1E"/>
    <w:rsid w:val="005B7724"/>
    <w:rsid w:val="005C049F"/>
    <w:rsid w:val="005C445F"/>
    <w:rsid w:val="005D41CD"/>
    <w:rsid w:val="005E0994"/>
    <w:rsid w:val="005E31F8"/>
    <w:rsid w:val="005E4398"/>
    <w:rsid w:val="005E7464"/>
    <w:rsid w:val="005F00C1"/>
    <w:rsid w:val="005F0A75"/>
    <w:rsid w:val="005F3F21"/>
    <w:rsid w:val="005F63BB"/>
    <w:rsid w:val="006004D2"/>
    <w:rsid w:val="006048D3"/>
    <w:rsid w:val="006122F5"/>
    <w:rsid w:val="00613705"/>
    <w:rsid w:val="00614309"/>
    <w:rsid w:val="00616E30"/>
    <w:rsid w:val="00621887"/>
    <w:rsid w:val="0062358E"/>
    <w:rsid w:val="00623D0F"/>
    <w:rsid w:val="00623EC0"/>
    <w:rsid w:val="00632F50"/>
    <w:rsid w:val="0063460B"/>
    <w:rsid w:val="00636323"/>
    <w:rsid w:val="0064003E"/>
    <w:rsid w:val="00643113"/>
    <w:rsid w:val="00645093"/>
    <w:rsid w:val="006506BB"/>
    <w:rsid w:val="00652419"/>
    <w:rsid w:val="006536E9"/>
    <w:rsid w:val="006543DA"/>
    <w:rsid w:val="00664413"/>
    <w:rsid w:val="00673287"/>
    <w:rsid w:val="00677B43"/>
    <w:rsid w:val="00683A5E"/>
    <w:rsid w:val="00693602"/>
    <w:rsid w:val="00694152"/>
    <w:rsid w:val="0069541F"/>
    <w:rsid w:val="0069784C"/>
    <w:rsid w:val="006A1F53"/>
    <w:rsid w:val="006A2668"/>
    <w:rsid w:val="006A26CC"/>
    <w:rsid w:val="006A301D"/>
    <w:rsid w:val="006A343D"/>
    <w:rsid w:val="006B3706"/>
    <w:rsid w:val="006B44E6"/>
    <w:rsid w:val="006C0B07"/>
    <w:rsid w:val="006C7CCD"/>
    <w:rsid w:val="006D0E6D"/>
    <w:rsid w:val="006D1152"/>
    <w:rsid w:val="006D1344"/>
    <w:rsid w:val="006D16ED"/>
    <w:rsid w:val="006D4B75"/>
    <w:rsid w:val="006D4D4C"/>
    <w:rsid w:val="006E2FD2"/>
    <w:rsid w:val="006E6844"/>
    <w:rsid w:val="0070322D"/>
    <w:rsid w:val="00704210"/>
    <w:rsid w:val="00706257"/>
    <w:rsid w:val="007150DF"/>
    <w:rsid w:val="007250E2"/>
    <w:rsid w:val="00732F4B"/>
    <w:rsid w:val="00735BDF"/>
    <w:rsid w:val="0074052D"/>
    <w:rsid w:val="007444FE"/>
    <w:rsid w:val="0075419D"/>
    <w:rsid w:val="0076159B"/>
    <w:rsid w:val="007616B2"/>
    <w:rsid w:val="0077129E"/>
    <w:rsid w:val="0077138E"/>
    <w:rsid w:val="007721B5"/>
    <w:rsid w:val="00777221"/>
    <w:rsid w:val="00780AC9"/>
    <w:rsid w:val="007814DE"/>
    <w:rsid w:val="0078488E"/>
    <w:rsid w:val="00790000"/>
    <w:rsid w:val="00790C56"/>
    <w:rsid w:val="00791A59"/>
    <w:rsid w:val="0079237A"/>
    <w:rsid w:val="00794768"/>
    <w:rsid w:val="007A3267"/>
    <w:rsid w:val="007A3BC3"/>
    <w:rsid w:val="007A7D85"/>
    <w:rsid w:val="007C3876"/>
    <w:rsid w:val="007C5882"/>
    <w:rsid w:val="007D107F"/>
    <w:rsid w:val="007D1216"/>
    <w:rsid w:val="007D12CD"/>
    <w:rsid w:val="007D5676"/>
    <w:rsid w:val="007E0D91"/>
    <w:rsid w:val="007E0E43"/>
    <w:rsid w:val="007E2585"/>
    <w:rsid w:val="007E2734"/>
    <w:rsid w:val="007E3E63"/>
    <w:rsid w:val="007F075C"/>
    <w:rsid w:val="007F3DC3"/>
    <w:rsid w:val="007F7C33"/>
    <w:rsid w:val="0080095C"/>
    <w:rsid w:val="00801927"/>
    <w:rsid w:val="0080195C"/>
    <w:rsid w:val="00803DA7"/>
    <w:rsid w:val="008067A9"/>
    <w:rsid w:val="008076EE"/>
    <w:rsid w:val="008109B1"/>
    <w:rsid w:val="00812F0E"/>
    <w:rsid w:val="00813927"/>
    <w:rsid w:val="008161B3"/>
    <w:rsid w:val="00817599"/>
    <w:rsid w:val="008203D3"/>
    <w:rsid w:val="00820D4F"/>
    <w:rsid w:val="008262B3"/>
    <w:rsid w:val="008270AC"/>
    <w:rsid w:val="00827BB7"/>
    <w:rsid w:val="008317CD"/>
    <w:rsid w:val="00831E3F"/>
    <w:rsid w:val="0083201A"/>
    <w:rsid w:val="0083439D"/>
    <w:rsid w:val="008372C0"/>
    <w:rsid w:val="00837B63"/>
    <w:rsid w:val="008422FD"/>
    <w:rsid w:val="00846428"/>
    <w:rsid w:val="00846782"/>
    <w:rsid w:val="00851FFA"/>
    <w:rsid w:val="0086203C"/>
    <w:rsid w:val="008646F9"/>
    <w:rsid w:val="00865B8E"/>
    <w:rsid w:val="008736AB"/>
    <w:rsid w:val="00874151"/>
    <w:rsid w:val="00874405"/>
    <w:rsid w:val="00877AD8"/>
    <w:rsid w:val="0088064B"/>
    <w:rsid w:val="008876A9"/>
    <w:rsid w:val="00892007"/>
    <w:rsid w:val="0089345B"/>
    <w:rsid w:val="00897D4B"/>
    <w:rsid w:val="008A6757"/>
    <w:rsid w:val="008B1D49"/>
    <w:rsid w:val="008B462D"/>
    <w:rsid w:val="008B7149"/>
    <w:rsid w:val="008B7F52"/>
    <w:rsid w:val="008C345C"/>
    <w:rsid w:val="008C3E62"/>
    <w:rsid w:val="008D00DA"/>
    <w:rsid w:val="008D071A"/>
    <w:rsid w:val="008D2A1D"/>
    <w:rsid w:val="008D3219"/>
    <w:rsid w:val="008D4AB4"/>
    <w:rsid w:val="008D5A4A"/>
    <w:rsid w:val="008E1A9F"/>
    <w:rsid w:val="008E4CFF"/>
    <w:rsid w:val="008F63E4"/>
    <w:rsid w:val="008F6D78"/>
    <w:rsid w:val="00900355"/>
    <w:rsid w:val="00901357"/>
    <w:rsid w:val="00901959"/>
    <w:rsid w:val="00907550"/>
    <w:rsid w:val="00922DD0"/>
    <w:rsid w:val="009246CA"/>
    <w:rsid w:val="009307C2"/>
    <w:rsid w:val="0094380E"/>
    <w:rsid w:val="00946FB6"/>
    <w:rsid w:val="00950BE7"/>
    <w:rsid w:val="00955F59"/>
    <w:rsid w:val="00961BFF"/>
    <w:rsid w:val="00962C61"/>
    <w:rsid w:val="00971AE1"/>
    <w:rsid w:val="00982F89"/>
    <w:rsid w:val="00992D97"/>
    <w:rsid w:val="009A419A"/>
    <w:rsid w:val="009B3142"/>
    <w:rsid w:val="009C126D"/>
    <w:rsid w:val="009C65A5"/>
    <w:rsid w:val="009C77D1"/>
    <w:rsid w:val="009D0A9C"/>
    <w:rsid w:val="009D295D"/>
    <w:rsid w:val="009D6678"/>
    <w:rsid w:val="009E02E7"/>
    <w:rsid w:val="009E2795"/>
    <w:rsid w:val="009F0456"/>
    <w:rsid w:val="009F1C86"/>
    <w:rsid w:val="009F381C"/>
    <w:rsid w:val="009F4298"/>
    <w:rsid w:val="00A0166E"/>
    <w:rsid w:val="00A01EF5"/>
    <w:rsid w:val="00A02698"/>
    <w:rsid w:val="00A02991"/>
    <w:rsid w:val="00A03E5D"/>
    <w:rsid w:val="00A1058E"/>
    <w:rsid w:val="00A13EBC"/>
    <w:rsid w:val="00A14D91"/>
    <w:rsid w:val="00A1651E"/>
    <w:rsid w:val="00A17246"/>
    <w:rsid w:val="00A17E7B"/>
    <w:rsid w:val="00A20C67"/>
    <w:rsid w:val="00A252C5"/>
    <w:rsid w:val="00A3051A"/>
    <w:rsid w:val="00A3190B"/>
    <w:rsid w:val="00A34711"/>
    <w:rsid w:val="00A34938"/>
    <w:rsid w:val="00A37AFD"/>
    <w:rsid w:val="00A405FE"/>
    <w:rsid w:val="00A4152D"/>
    <w:rsid w:val="00A428C2"/>
    <w:rsid w:val="00A44E1F"/>
    <w:rsid w:val="00A505D9"/>
    <w:rsid w:val="00A51B75"/>
    <w:rsid w:val="00A535C4"/>
    <w:rsid w:val="00A6561B"/>
    <w:rsid w:val="00A7010E"/>
    <w:rsid w:val="00A75E70"/>
    <w:rsid w:val="00A7609D"/>
    <w:rsid w:val="00A90487"/>
    <w:rsid w:val="00A9494D"/>
    <w:rsid w:val="00A94B70"/>
    <w:rsid w:val="00A95304"/>
    <w:rsid w:val="00A96626"/>
    <w:rsid w:val="00A97BC3"/>
    <w:rsid w:val="00AA0DF2"/>
    <w:rsid w:val="00AA5B87"/>
    <w:rsid w:val="00AA7DF2"/>
    <w:rsid w:val="00AB0210"/>
    <w:rsid w:val="00AB0242"/>
    <w:rsid w:val="00AC16A2"/>
    <w:rsid w:val="00AC3E25"/>
    <w:rsid w:val="00AC5120"/>
    <w:rsid w:val="00AC635D"/>
    <w:rsid w:val="00AC7CFB"/>
    <w:rsid w:val="00AD088F"/>
    <w:rsid w:val="00AD08A6"/>
    <w:rsid w:val="00AD1EA1"/>
    <w:rsid w:val="00AD7C78"/>
    <w:rsid w:val="00AE2B30"/>
    <w:rsid w:val="00AE53EA"/>
    <w:rsid w:val="00AE7484"/>
    <w:rsid w:val="00AF4ABF"/>
    <w:rsid w:val="00B00B85"/>
    <w:rsid w:val="00B01D91"/>
    <w:rsid w:val="00B028F9"/>
    <w:rsid w:val="00B0746A"/>
    <w:rsid w:val="00B07617"/>
    <w:rsid w:val="00B07FAA"/>
    <w:rsid w:val="00B11585"/>
    <w:rsid w:val="00B1166D"/>
    <w:rsid w:val="00B16000"/>
    <w:rsid w:val="00B16F5C"/>
    <w:rsid w:val="00B207DB"/>
    <w:rsid w:val="00B26D48"/>
    <w:rsid w:val="00B278C8"/>
    <w:rsid w:val="00B303BA"/>
    <w:rsid w:val="00B3754D"/>
    <w:rsid w:val="00B37572"/>
    <w:rsid w:val="00B402E5"/>
    <w:rsid w:val="00B442BE"/>
    <w:rsid w:val="00B4444C"/>
    <w:rsid w:val="00B478FC"/>
    <w:rsid w:val="00B50959"/>
    <w:rsid w:val="00B52F12"/>
    <w:rsid w:val="00B56948"/>
    <w:rsid w:val="00B5760C"/>
    <w:rsid w:val="00B673D6"/>
    <w:rsid w:val="00B707F6"/>
    <w:rsid w:val="00B76D9C"/>
    <w:rsid w:val="00B84E7C"/>
    <w:rsid w:val="00B91912"/>
    <w:rsid w:val="00B93842"/>
    <w:rsid w:val="00BA2D72"/>
    <w:rsid w:val="00BA4D53"/>
    <w:rsid w:val="00BB2D2B"/>
    <w:rsid w:val="00BB2FB3"/>
    <w:rsid w:val="00BB49E0"/>
    <w:rsid w:val="00BC2627"/>
    <w:rsid w:val="00BC28B8"/>
    <w:rsid w:val="00BC2D94"/>
    <w:rsid w:val="00BD1E2F"/>
    <w:rsid w:val="00BD300D"/>
    <w:rsid w:val="00BD4F5C"/>
    <w:rsid w:val="00BD58EB"/>
    <w:rsid w:val="00BE0DB4"/>
    <w:rsid w:val="00BE1817"/>
    <w:rsid w:val="00BE754D"/>
    <w:rsid w:val="00BF25D9"/>
    <w:rsid w:val="00C02B63"/>
    <w:rsid w:val="00C07F07"/>
    <w:rsid w:val="00C1047E"/>
    <w:rsid w:val="00C119B6"/>
    <w:rsid w:val="00C11DEA"/>
    <w:rsid w:val="00C13CD8"/>
    <w:rsid w:val="00C141C4"/>
    <w:rsid w:val="00C22111"/>
    <w:rsid w:val="00C223E3"/>
    <w:rsid w:val="00C2602E"/>
    <w:rsid w:val="00C30BA3"/>
    <w:rsid w:val="00C3736F"/>
    <w:rsid w:val="00C401B3"/>
    <w:rsid w:val="00C4084F"/>
    <w:rsid w:val="00C45050"/>
    <w:rsid w:val="00C45E8E"/>
    <w:rsid w:val="00C46962"/>
    <w:rsid w:val="00C46E64"/>
    <w:rsid w:val="00C55301"/>
    <w:rsid w:val="00C603DE"/>
    <w:rsid w:val="00C60658"/>
    <w:rsid w:val="00C67DDF"/>
    <w:rsid w:val="00C70F61"/>
    <w:rsid w:val="00C714E5"/>
    <w:rsid w:val="00C72C1E"/>
    <w:rsid w:val="00C73FDB"/>
    <w:rsid w:val="00C74D9D"/>
    <w:rsid w:val="00C75564"/>
    <w:rsid w:val="00C76A30"/>
    <w:rsid w:val="00C76AE3"/>
    <w:rsid w:val="00C8004B"/>
    <w:rsid w:val="00C82FBB"/>
    <w:rsid w:val="00C84363"/>
    <w:rsid w:val="00C8768A"/>
    <w:rsid w:val="00C9157B"/>
    <w:rsid w:val="00CC1D0E"/>
    <w:rsid w:val="00CC3CCF"/>
    <w:rsid w:val="00CC64E1"/>
    <w:rsid w:val="00CC7EF0"/>
    <w:rsid w:val="00CD0DD0"/>
    <w:rsid w:val="00CD34F0"/>
    <w:rsid w:val="00CD52BD"/>
    <w:rsid w:val="00CE1292"/>
    <w:rsid w:val="00CE50A4"/>
    <w:rsid w:val="00CE69D7"/>
    <w:rsid w:val="00CE6F75"/>
    <w:rsid w:val="00CF327C"/>
    <w:rsid w:val="00CF7A92"/>
    <w:rsid w:val="00CF7ACE"/>
    <w:rsid w:val="00D000DA"/>
    <w:rsid w:val="00D01F3C"/>
    <w:rsid w:val="00D035FA"/>
    <w:rsid w:val="00D11114"/>
    <w:rsid w:val="00D131FB"/>
    <w:rsid w:val="00D13D0D"/>
    <w:rsid w:val="00D14383"/>
    <w:rsid w:val="00D144CB"/>
    <w:rsid w:val="00D17AB9"/>
    <w:rsid w:val="00D211C9"/>
    <w:rsid w:val="00D31EF1"/>
    <w:rsid w:val="00D32013"/>
    <w:rsid w:val="00D43031"/>
    <w:rsid w:val="00D448EE"/>
    <w:rsid w:val="00D4691B"/>
    <w:rsid w:val="00D471E2"/>
    <w:rsid w:val="00D50F68"/>
    <w:rsid w:val="00D52C15"/>
    <w:rsid w:val="00D54139"/>
    <w:rsid w:val="00D5534A"/>
    <w:rsid w:val="00D6347F"/>
    <w:rsid w:val="00D70EFF"/>
    <w:rsid w:val="00D71FE3"/>
    <w:rsid w:val="00D74D47"/>
    <w:rsid w:val="00D762BB"/>
    <w:rsid w:val="00D775D4"/>
    <w:rsid w:val="00D82D81"/>
    <w:rsid w:val="00D85E04"/>
    <w:rsid w:val="00D9033A"/>
    <w:rsid w:val="00D93757"/>
    <w:rsid w:val="00D93DC3"/>
    <w:rsid w:val="00D94184"/>
    <w:rsid w:val="00D95599"/>
    <w:rsid w:val="00D9665A"/>
    <w:rsid w:val="00DA00A2"/>
    <w:rsid w:val="00DA0580"/>
    <w:rsid w:val="00DA5984"/>
    <w:rsid w:val="00DA5A79"/>
    <w:rsid w:val="00DA6FCD"/>
    <w:rsid w:val="00DB16ED"/>
    <w:rsid w:val="00DB20B6"/>
    <w:rsid w:val="00DB5C6E"/>
    <w:rsid w:val="00DB63DE"/>
    <w:rsid w:val="00DC0505"/>
    <w:rsid w:val="00DC69A5"/>
    <w:rsid w:val="00DC72B3"/>
    <w:rsid w:val="00DD4178"/>
    <w:rsid w:val="00DD4729"/>
    <w:rsid w:val="00DD4DA3"/>
    <w:rsid w:val="00DE67E4"/>
    <w:rsid w:val="00DE7183"/>
    <w:rsid w:val="00DF7AB3"/>
    <w:rsid w:val="00DF7BA7"/>
    <w:rsid w:val="00E024B1"/>
    <w:rsid w:val="00E05B40"/>
    <w:rsid w:val="00E072EF"/>
    <w:rsid w:val="00E132DC"/>
    <w:rsid w:val="00E14AFC"/>
    <w:rsid w:val="00E157F9"/>
    <w:rsid w:val="00E2289C"/>
    <w:rsid w:val="00E27615"/>
    <w:rsid w:val="00E3279A"/>
    <w:rsid w:val="00E32901"/>
    <w:rsid w:val="00E3375E"/>
    <w:rsid w:val="00E407E4"/>
    <w:rsid w:val="00E41C7D"/>
    <w:rsid w:val="00E45971"/>
    <w:rsid w:val="00E45CAB"/>
    <w:rsid w:val="00E45D1F"/>
    <w:rsid w:val="00E467B0"/>
    <w:rsid w:val="00E52D9D"/>
    <w:rsid w:val="00E52E8B"/>
    <w:rsid w:val="00E55CA3"/>
    <w:rsid w:val="00E61E0D"/>
    <w:rsid w:val="00E65E46"/>
    <w:rsid w:val="00E8105C"/>
    <w:rsid w:val="00E827C1"/>
    <w:rsid w:val="00E843E6"/>
    <w:rsid w:val="00E90379"/>
    <w:rsid w:val="00E9183E"/>
    <w:rsid w:val="00E95B28"/>
    <w:rsid w:val="00EA0B13"/>
    <w:rsid w:val="00EA13E1"/>
    <w:rsid w:val="00EA30AD"/>
    <w:rsid w:val="00EB08BB"/>
    <w:rsid w:val="00EB1D5B"/>
    <w:rsid w:val="00EB44E9"/>
    <w:rsid w:val="00EC0F3F"/>
    <w:rsid w:val="00EC3B80"/>
    <w:rsid w:val="00EC70AE"/>
    <w:rsid w:val="00ED19F7"/>
    <w:rsid w:val="00ED3661"/>
    <w:rsid w:val="00EF0BF4"/>
    <w:rsid w:val="00EF2B57"/>
    <w:rsid w:val="00EF32B8"/>
    <w:rsid w:val="00EF5023"/>
    <w:rsid w:val="00EF50BF"/>
    <w:rsid w:val="00EF5149"/>
    <w:rsid w:val="00F0085E"/>
    <w:rsid w:val="00F02BDB"/>
    <w:rsid w:val="00F03983"/>
    <w:rsid w:val="00F127F0"/>
    <w:rsid w:val="00F17674"/>
    <w:rsid w:val="00F20189"/>
    <w:rsid w:val="00F22CAE"/>
    <w:rsid w:val="00F239FC"/>
    <w:rsid w:val="00F245BA"/>
    <w:rsid w:val="00F31841"/>
    <w:rsid w:val="00F31DF6"/>
    <w:rsid w:val="00F378C8"/>
    <w:rsid w:val="00F41E4F"/>
    <w:rsid w:val="00F423D2"/>
    <w:rsid w:val="00F43BD8"/>
    <w:rsid w:val="00F463EF"/>
    <w:rsid w:val="00F54312"/>
    <w:rsid w:val="00F5576E"/>
    <w:rsid w:val="00F63348"/>
    <w:rsid w:val="00F70617"/>
    <w:rsid w:val="00F71927"/>
    <w:rsid w:val="00F75131"/>
    <w:rsid w:val="00F7542E"/>
    <w:rsid w:val="00F857DA"/>
    <w:rsid w:val="00F86381"/>
    <w:rsid w:val="00F86B85"/>
    <w:rsid w:val="00F93B57"/>
    <w:rsid w:val="00FA13C8"/>
    <w:rsid w:val="00FA1831"/>
    <w:rsid w:val="00FA2AE8"/>
    <w:rsid w:val="00FA3393"/>
    <w:rsid w:val="00FA640A"/>
    <w:rsid w:val="00FB4CBE"/>
    <w:rsid w:val="00FC5FCE"/>
    <w:rsid w:val="00FC68F9"/>
    <w:rsid w:val="00FC72AF"/>
    <w:rsid w:val="00FC767A"/>
    <w:rsid w:val="00FD1641"/>
    <w:rsid w:val="00FD3426"/>
    <w:rsid w:val="00FD7E6C"/>
    <w:rsid w:val="00FE1BF5"/>
    <w:rsid w:val="00FE21B8"/>
    <w:rsid w:val="00FE346E"/>
    <w:rsid w:val="00FE4B3C"/>
    <w:rsid w:val="00FE4DCF"/>
    <w:rsid w:val="00FE6059"/>
    <w:rsid w:val="00FE6955"/>
    <w:rsid w:val="00FF2D68"/>
    <w:rsid w:val="00FF4692"/>
    <w:rsid w:val="00FF7DA1"/>
    <w:rsid w:val="0227F838"/>
    <w:rsid w:val="081A7F1C"/>
    <w:rsid w:val="0A6370C3"/>
    <w:rsid w:val="0A8F850F"/>
    <w:rsid w:val="0AD68034"/>
    <w:rsid w:val="0C5ACC49"/>
    <w:rsid w:val="0D9FCC58"/>
    <w:rsid w:val="10122A52"/>
    <w:rsid w:val="10D0E44F"/>
    <w:rsid w:val="12DCB903"/>
    <w:rsid w:val="12FBF504"/>
    <w:rsid w:val="138CC04C"/>
    <w:rsid w:val="14979E02"/>
    <w:rsid w:val="165F3251"/>
    <w:rsid w:val="172CDEE2"/>
    <w:rsid w:val="187AE17E"/>
    <w:rsid w:val="1AE9032E"/>
    <w:rsid w:val="1BD7F972"/>
    <w:rsid w:val="1DC4F586"/>
    <w:rsid w:val="1F320B09"/>
    <w:rsid w:val="1F6C41A6"/>
    <w:rsid w:val="1FDDB0D0"/>
    <w:rsid w:val="212AF587"/>
    <w:rsid w:val="212B7B44"/>
    <w:rsid w:val="2140826A"/>
    <w:rsid w:val="2378F70A"/>
    <w:rsid w:val="249587DD"/>
    <w:rsid w:val="24F06848"/>
    <w:rsid w:val="25693C0D"/>
    <w:rsid w:val="27389912"/>
    <w:rsid w:val="27B91ABA"/>
    <w:rsid w:val="28C9F290"/>
    <w:rsid w:val="2EA4128B"/>
    <w:rsid w:val="303757F8"/>
    <w:rsid w:val="303E48AD"/>
    <w:rsid w:val="33E8252D"/>
    <w:rsid w:val="344526BE"/>
    <w:rsid w:val="3AA25B74"/>
    <w:rsid w:val="3B37654A"/>
    <w:rsid w:val="3CC2EF15"/>
    <w:rsid w:val="3CFC5CE9"/>
    <w:rsid w:val="3E964E33"/>
    <w:rsid w:val="3F373C38"/>
    <w:rsid w:val="3FF369F6"/>
    <w:rsid w:val="47570375"/>
    <w:rsid w:val="47997DF2"/>
    <w:rsid w:val="48E8D1ED"/>
    <w:rsid w:val="49D2B898"/>
    <w:rsid w:val="4A412222"/>
    <w:rsid w:val="4C1B07B7"/>
    <w:rsid w:val="4C636FF5"/>
    <w:rsid w:val="4ED88810"/>
    <w:rsid w:val="505759A0"/>
    <w:rsid w:val="556E616A"/>
    <w:rsid w:val="55D29F08"/>
    <w:rsid w:val="575023E2"/>
    <w:rsid w:val="57CB2C3C"/>
    <w:rsid w:val="58B367C4"/>
    <w:rsid w:val="58C6895A"/>
    <w:rsid w:val="5B9B7255"/>
    <w:rsid w:val="5E370566"/>
    <w:rsid w:val="600089E4"/>
    <w:rsid w:val="61B68471"/>
    <w:rsid w:val="61B68E21"/>
    <w:rsid w:val="62705FD3"/>
    <w:rsid w:val="635F4F2A"/>
    <w:rsid w:val="6860572D"/>
    <w:rsid w:val="6C6142F7"/>
    <w:rsid w:val="6F1C51F2"/>
    <w:rsid w:val="6F37038C"/>
    <w:rsid w:val="71A622AE"/>
    <w:rsid w:val="724C1AB8"/>
    <w:rsid w:val="72E1D2B3"/>
    <w:rsid w:val="73917C1F"/>
    <w:rsid w:val="75CEF01E"/>
    <w:rsid w:val="78414779"/>
    <w:rsid w:val="7AFE1CE1"/>
    <w:rsid w:val="7B693433"/>
    <w:rsid w:val="7BC9008D"/>
    <w:rsid w:val="7C9434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467"/>
  <w15:chartTrackingRefBased/>
  <w15:docId w15:val="{128C7650-B67F-4058-AD04-69F42B5B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Colorful List - Accent 11,WB Para,Lapis Bulleted List,Dot pt,F5 List Paragraph,No Spacing1,List Paragraph Char Char Char,Indicator Text,Numbered Para 1,Bullet 1,List Paragraph12,AN,Bullet List"/>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customStyle="1" w:styleId="ListParagraphChar">
    <w:name w:val="List Paragraph Char"/>
    <w:aliases w:val="List Paragraph (numbered (a)) Char,List Paragraph1 Char,Colorful List - Accent 11 Char,WB Para Char,Lapis Bulleted List Char,Dot pt Char,F5 List Paragraph Char,No Spacing1 Char,List Paragraph Char Char Char Char,Indicator Text Char"/>
    <w:link w:val="ListParagraph"/>
    <w:uiPriority w:val="34"/>
    <w:qFormat/>
    <w:locked/>
    <w:rsid w:val="004F0F23"/>
  </w:style>
  <w:style w:type="character" w:customStyle="1" w:styleId="normaltextrun">
    <w:name w:val="normaltextrun"/>
    <w:basedOn w:val="DefaultParagraphFont"/>
    <w:rsid w:val="00877AD8"/>
  </w:style>
  <w:style w:type="character" w:styleId="UnresolvedMention">
    <w:name w:val="Unresolved Mention"/>
    <w:basedOn w:val="DefaultParagraphFont"/>
    <w:uiPriority w:val="99"/>
    <w:semiHidden/>
    <w:unhideWhenUsed/>
    <w:rsid w:val="00057CF2"/>
    <w:rPr>
      <w:color w:val="605E5C"/>
      <w:shd w:val="clear" w:color="auto" w:fill="E1DFDD"/>
    </w:rPr>
  </w:style>
  <w:style w:type="paragraph" w:styleId="NormalWeb">
    <w:name w:val="Normal (Web)"/>
    <w:basedOn w:val="Normal"/>
    <w:uiPriority w:val="99"/>
    <w:unhideWhenUsed/>
    <w:rsid w:val="003E685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DF7BA7"/>
    <w:rPr>
      <w:color w:val="954F72" w:themeColor="followedHyperlink"/>
      <w:u w:val="single"/>
    </w:rPr>
  </w:style>
  <w:style w:type="character" w:styleId="Mention">
    <w:name w:val="Mention"/>
    <w:basedOn w:val="DefaultParagraphFont"/>
    <w:uiPriority w:val="99"/>
    <w:unhideWhenUsed/>
    <w:rsid w:val="00780AC9"/>
    <w:rPr>
      <w:color w:val="2B579A"/>
      <w:shd w:val="clear" w:color="auto" w:fill="E1DFDD"/>
    </w:rPr>
  </w:style>
  <w:style w:type="paragraph" w:customStyle="1" w:styleId="NormalBody">
    <w:name w:val="NormalBody"/>
    <w:uiPriority w:val="4"/>
    <w:qFormat/>
    <w:rsid w:val="008203D3"/>
    <w:pPr>
      <w:spacing w:before="120" w:after="120" w:line="240" w:lineRule="auto"/>
      <w:jc w:val="both"/>
    </w:pPr>
    <w:rPr>
      <w:rFonts w:ascii="Noto Sans" w:eastAsia="Batang" w:hAnsi="Noto Sans" w:cs="Noto Sans"/>
      <w:kern w:val="0"/>
      <w:sz w:val="18"/>
      <w:szCs w:val="18"/>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70661">
      <w:bodyDiv w:val="1"/>
      <w:marLeft w:val="0"/>
      <w:marRight w:val="0"/>
      <w:marTop w:val="0"/>
      <w:marBottom w:val="0"/>
      <w:divBdr>
        <w:top w:val="none" w:sz="0" w:space="0" w:color="auto"/>
        <w:left w:val="none" w:sz="0" w:space="0" w:color="auto"/>
        <w:bottom w:val="none" w:sz="0" w:space="0" w:color="auto"/>
        <w:right w:val="none" w:sz="0" w:space="0" w:color="auto"/>
      </w:divBdr>
    </w:div>
    <w:div w:id="365520888">
      <w:bodyDiv w:val="1"/>
      <w:marLeft w:val="0"/>
      <w:marRight w:val="0"/>
      <w:marTop w:val="0"/>
      <w:marBottom w:val="0"/>
      <w:divBdr>
        <w:top w:val="none" w:sz="0" w:space="0" w:color="auto"/>
        <w:left w:val="none" w:sz="0" w:space="0" w:color="auto"/>
        <w:bottom w:val="none" w:sz="0" w:space="0" w:color="auto"/>
        <w:right w:val="none" w:sz="0" w:space="0" w:color="auto"/>
      </w:divBdr>
      <w:divsChild>
        <w:div w:id="2098095862">
          <w:marLeft w:val="0"/>
          <w:marRight w:val="0"/>
          <w:marTop w:val="0"/>
          <w:marBottom w:val="0"/>
          <w:divBdr>
            <w:top w:val="none" w:sz="0" w:space="0" w:color="auto"/>
            <w:left w:val="none" w:sz="0" w:space="0" w:color="auto"/>
            <w:bottom w:val="none" w:sz="0" w:space="0" w:color="auto"/>
            <w:right w:val="none" w:sz="0" w:space="0" w:color="auto"/>
          </w:divBdr>
          <w:divsChild>
            <w:div w:id="1591312356">
              <w:marLeft w:val="0"/>
              <w:marRight w:val="0"/>
              <w:marTop w:val="0"/>
              <w:marBottom w:val="0"/>
              <w:divBdr>
                <w:top w:val="none" w:sz="0" w:space="0" w:color="auto"/>
                <w:left w:val="none" w:sz="0" w:space="0" w:color="auto"/>
                <w:bottom w:val="none" w:sz="0" w:space="0" w:color="auto"/>
                <w:right w:val="none" w:sz="0" w:space="0" w:color="auto"/>
              </w:divBdr>
              <w:divsChild>
                <w:div w:id="707797127">
                  <w:marLeft w:val="0"/>
                  <w:marRight w:val="0"/>
                  <w:marTop w:val="0"/>
                  <w:marBottom w:val="0"/>
                  <w:divBdr>
                    <w:top w:val="none" w:sz="0" w:space="0" w:color="auto"/>
                    <w:left w:val="none" w:sz="0" w:space="0" w:color="auto"/>
                    <w:bottom w:val="none" w:sz="0" w:space="0" w:color="auto"/>
                    <w:right w:val="none" w:sz="0" w:space="0" w:color="auto"/>
                  </w:divBdr>
                  <w:divsChild>
                    <w:div w:id="664667848">
                      <w:marLeft w:val="0"/>
                      <w:marRight w:val="0"/>
                      <w:marTop w:val="0"/>
                      <w:marBottom w:val="0"/>
                      <w:divBdr>
                        <w:top w:val="none" w:sz="0" w:space="0" w:color="auto"/>
                        <w:left w:val="none" w:sz="0" w:space="0" w:color="auto"/>
                        <w:bottom w:val="none" w:sz="0" w:space="0" w:color="auto"/>
                        <w:right w:val="none" w:sz="0" w:space="0" w:color="auto"/>
                      </w:divBdr>
                      <w:divsChild>
                        <w:div w:id="48379682">
                          <w:marLeft w:val="0"/>
                          <w:marRight w:val="0"/>
                          <w:marTop w:val="0"/>
                          <w:marBottom w:val="0"/>
                          <w:divBdr>
                            <w:top w:val="none" w:sz="0" w:space="0" w:color="auto"/>
                            <w:left w:val="none" w:sz="0" w:space="0" w:color="auto"/>
                            <w:bottom w:val="none" w:sz="0" w:space="0" w:color="auto"/>
                            <w:right w:val="none" w:sz="0" w:space="0" w:color="auto"/>
                          </w:divBdr>
                          <w:divsChild>
                            <w:div w:id="8818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4612">
      <w:bodyDiv w:val="1"/>
      <w:marLeft w:val="0"/>
      <w:marRight w:val="0"/>
      <w:marTop w:val="0"/>
      <w:marBottom w:val="0"/>
      <w:divBdr>
        <w:top w:val="none" w:sz="0" w:space="0" w:color="auto"/>
        <w:left w:val="none" w:sz="0" w:space="0" w:color="auto"/>
        <w:bottom w:val="none" w:sz="0" w:space="0" w:color="auto"/>
        <w:right w:val="none" w:sz="0" w:space="0" w:color="auto"/>
      </w:divBdr>
    </w:div>
    <w:div w:id="501700439">
      <w:bodyDiv w:val="1"/>
      <w:marLeft w:val="0"/>
      <w:marRight w:val="0"/>
      <w:marTop w:val="0"/>
      <w:marBottom w:val="0"/>
      <w:divBdr>
        <w:top w:val="none" w:sz="0" w:space="0" w:color="auto"/>
        <w:left w:val="none" w:sz="0" w:space="0" w:color="auto"/>
        <w:bottom w:val="none" w:sz="0" w:space="0" w:color="auto"/>
        <w:right w:val="none" w:sz="0" w:space="0" w:color="auto"/>
      </w:divBdr>
    </w:div>
    <w:div w:id="547687843">
      <w:bodyDiv w:val="1"/>
      <w:marLeft w:val="0"/>
      <w:marRight w:val="0"/>
      <w:marTop w:val="0"/>
      <w:marBottom w:val="0"/>
      <w:divBdr>
        <w:top w:val="none" w:sz="0" w:space="0" w:color="auto"/>
        <w:left w:val="none" w:sz="0" w:space="0" w:color="auto"/>
        <w:bottom w:val="none" w:sz="0" w:space="0" w:color="auto"/>
        <w:right w:val="none" w:sz="0" w:space="0" w:color="auto"/>
      </w:divBdr>
    </w:div>
    <w:div w:id="885990094">
      <w:bodyDiv w:val="1"/>
      <w:marLeft w:val="0"/>
      <w:marRight w:val="0"/>
      <w:marTop w:val="0"/>
      <w:marBottom w:val="0"/>
      <w:divBdr>
        <w:top w:val="none" w:sz="0" w:space="0" w:color="auto"/>
        <w:left w:val="none" w:sz="0" w:space="0" w:color="auto"/>
        <w:bottom w:val="none" w:sz="0" w:space="0" w:color="auto"/>
        <w:right w:val="none" w:sz="0" w:space="0" w:color="auto"/>
      </w:divBdr>
      <w:divsChild>
        <w:div w:id="299654425">
          <w:marLeft w:val="0"/>
          <w:marRight w:val="0"/>
          <w:marTop w:val="0"/>
          <w:marBottom w:val="0"/>
          <w:divBdr>
            <w:top w:val="none" w:sz="0" w:space="0" w:color="auto"/>
            <w:left w:val="none" w:sz="0" w:space="0" w:color="auto"/>
            <w:bottom w:val="none" w:sz="0" w:space="0" w:color="auto"/>
            <w:right w:val="none" w:sz="0" w:space="0" w:color="auto"/>
          </w:divBdr>
          <w:divsChild>
            <w:div w:id="1417365359">
              <w:marLeft w:val="0"/>
              <w:marRight w:val="0"/>
              <w:marTop w:val="0"/>
              <w:marBottom w:val="0"/>
              <w:divBdr>
                <w:top w:val="none" w:sz="0" w:space="0" w:color="auto"/>
                <w:left w:val="none" w:sz="0" w:space="0" w:color="auto"/>
                <w:bottom w:val="none" w:sz="0" w:space="0" w:color="auto"/>
                <w:right w:val="none" w:sz="0" w:space="0" w:color="auto"/>
              </w:divBdr>
              <w:divsChild>
                <w:div w:id="652609078">
                  <w:marLeft w:val="0"/>
                  <w:marRight w:val="0"/>
                  <w:marTop w:val="0"/>
                  <w:marBottom w:val="0"/>
                  <w:divBdr>
                    <w:top w:val="none" w:sz="0" w:space="0" w:color="auto"/>
                    <w:left w:val="none" w:sz="0" w:space="0" w:color="auto"/>
                    <w:bottom w:val="none" w:sz="0" w:space="0" w:color="auto"/>
                    <w:right w:val="none" w:sz="0" w:space="0" w:color="auto"/>
                  </w:divBdr>
                  <w:divsChild>
                    <w:div w:id="1559591011">
                      <w:marLeft w:val="0"/>
                      <w:marRight w:val="0"/>
                      <w:marTop w:val="0"/>
                      <w:marBottom w:val="0"/>
                      <w:divBdr>
                        <w:top w:val="none" w:sz="0" w:space="0" w:color="auto"/>
                        <w:left w:val="none" w:sz="0" w:space="0" w:color="auto"/>
                        <w:bottom w:val="none" w:sz="0" w:space="0" w:color="auto"/>
                        <w:right w:val="none" w:sz="0" w:space="0" w:color="auto"/>
                      </w:divBdr>
                      <w:divsChild>
                        <w:div w:id="443814962">
                          <w:marLeft w:val="0"/>
                          <w:marRight w:val="0"/>
                          <w:marTop w:val="0"/>
                          <w:marBottom w:val="0"/>
                          <w:divBdr>
                            <w:top w:val="none" w:sz="0" w:space="0" w:color="auto"/>
                            <w:left w:val="none" w:sz="0" w:space="0" w:color="auto"/>
                            <w:bottom w:val="none" w:sz="0" w:space="0" w:color="auto"/>
                            <w:right w:val="none" w:sz="0" w:space="0" w:color="auto"/>
                          </w:divBdr>
                          <w:divsChild>
                            <w:div w:id="15891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58496">
      <w:bodyDiv w:val="1"/>
      <w:marLeft w:val="0"/>
      <w:marRight w:val="0"/>
      <w:marTop w:val="0"/>
      <w:marBottom w:val="0"/>
      <w:divBdr>
        <w:top w:val="none" w:sz="0" w:space="0" w:color="auto"/>
        <w:left w:val="none" w:sz="0" w:space="0" w:color="auto"/>
        <w:bottom w:val="none" w:sz="0" w:space="0" w:color="auto"/>
        <w:right w:val="none" w:sz="0" w:space="0" w:color="auto"/>
      </w:divBdr>
    </w:div>
    <w:div w:id="1034038458">
      <w:bodyDiv w:val="1"/>
      <w:marLeft w:val="0"/>
      <w:marRight w:val="0"/>
      <w:marTop w:val="0"/>
      <w:marBottom w:val="0"/>
      <w:divBdr>
        <w:top w:val="none" w:sz="0" w:space="0" w:color="auto"/>
        <w:left w:val="none" w:sz="0" w:space="0" w:color="auto"/>
        <w:bottom w:val="none" w:sz="0" w:space="0" w:color="auto"/>
        <w:right w:val="none" w:sz="0" w:space="0" w:color="auto"/>
      </w:divBdr>
    </w:div>
    <w:div w:id="1247616147">
      <w:bodyDiv w:val="1"/>
      <w:marLeft w:val="0"/>
      <w:marRight w:val="0"/>
      <w:marTop w:val="0"/>
      <w:marBottom w:val="0"/>
      <w:divBdr>
        <w:top w:val="none" w:sz="0" w:space="0" w:color="auto"/>
        <w:left w:val="none" w:sz="0" w:space="0" w:color="auto"/>
        <w:bottom w:val="none" w:sz="0" w:space="0" w:color="auto"/>
        <w:right w:val="none" w:sz="0" w:space="0" w:color="auto"/>
      </w:divBdr>
      <w:divsChild>
        <w:div w:id="1337461672">
          <w:marLeft w:val="0"/>
          <w:marRight w:val="0"/>
          <w:marTop w:val="0"/>
          <w:marBottom w:val="0"/>
          <w:divBdr>
            <w:top w:val="none" w:sz="0" w:space="0" w:color="auto"/>
            <w:left w:val="none" w:sz="0" w:space="0" w:color="auto"/>
            <w:bottom w:val="none" w:sz="0" w:space="0" w:color="auto"/>
            <w:right w:val="none" w:sz="0" w:space="0" w:color="auto"/>
          </w:divBdr>
          <w:divsChild>
            <w:div w:id="718437610">
              <w:marLeft w:val="0"/>
              <w:marRight w:val="0"/>
              <w:marTop w:val="0"/>
              <w:marBottom w:val="0"/>
              <w:divBdr>
                <w:top w:val="none" w:sz="0" w:space="0" w:color="auto"/>
                <w:left w:val="none" w:sz="0" w:space="0" w:color="auto"/>
                <w:bottom w:val="none" w:sz="0" w:space="0" w:color="auto"/>
                <w:right w:val="none" w:sz="0" w:space="0" w:color="auto"/>
              </w:divBdr>
              <w:divsChild>
                <w:div w:id="997154270">
                  <w:marLeft w:val="0"/>
                  <w:marRight w:val="0"/>
                  <w:marTop w:val="0"/>
                  <w:marBottom w:val="0"/>
                  <w:divBdr>
                    <w:top w:val="none" w:sz="0" w:space="0" w:color="auto"/>
                    <w:left w:val="none" w:sz="0" w:space="0" w:color="auto"/>
                    <w:bottom w:val="none" w:sz="0" w:space="0" w:color="auto"/>
                    <w:right w:val="none" w:sz="0" w:space="0" w:color="auto"/>
                  </w:divBdr>
                  <w:divsChild>
                    <w:div w:id="473834353">
                      <w:marLeft w:val="0"/>
                      <w:marRight w:val="0"/>
                      <w:marTop w:val="0"/>
                      <w:marBottom w:val="0"/>
                      <w:divBdr>
                        <w:top w:val="none" w:sz="0" w:space="0" w:color="auto"/>
                        <w:left w:val="none" w:sz="0" w:space="0" w:color="auto"/>
                        <w:bottom w:val="none" w:sz="0" w:space="0" w:color="auto"/>
                        <w:right w:val="none" w:sz="0" w:space="0" w:color="auto"/>
                      </w:divBdr>
                      <w:divsChild>
                        <w:div w:id="1155995807">
                          <w:marLeft w:val="0"/>
                          <w:marRight w:val="0"/>
                          <w:marTop w:val="0"/>
                          <w:marBottom w:val="0"/>
                          <w:divBdr>
                            <w:top w:val="none" w:sz="0" w:space="0" w:color="auto"/>
                            <w:left w:val="none" w:sz="0" w:space="0" w:color="auto"/>
                            <w:bottom w:val="none" w:sz="0" w:space="0" w:color="auto"/>
                            <w:right w:val="none" w:sz="0" w:space="0" w:color="auto"/>
                          </w:divBdr>
                          <w:divsChild>
                            <w:div w:id="104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201061">
      <w:bodyDiv w:val="1"/>
      <w:marLeft w:val="0"/>
      <w:marRight w:val="0"/>
      <w:marTop w:val="0"/>
      <w:marBottom w:val="0"/>
      <w:divBdr>
        <w:top w:val="none" w:sz="0" w:space="0" w:color="auto"/>
        <w:left w:val="none" w:sz="0" w:space="0" w:color="auto"/>
        <w:bottom w:val="none" w:sz="0" w:space="0" w:color="auto"/>
        <w:right w:val="none" w:sz="0" w:space="0" w:color="auto"/>
      </w:divBdr>
      <w:divsChild>
        <w:div w:id="196552435">
          <w:marLeft w:val="0"/>
          <w:marRight w:val="0"/>
          <w:marTop w:val="0"/>
          <w:marBottom w:val="0"/>
          <w:divBdr>
            <w:top w:val="none" w:sz="0" w:space="0" w:color="auto"/>
            <w:left w:val="none" w:sz="0" w:space="0" w:color="auto"/>
            <w:bottom w:val="none" w:sz="0" w:space="0" w:color="auto"/>
            <w:right w:val="none" w:sz="0" w:space="0" w:color="auto"/>
          </w:divBdr>
          <w:divsChild>
            <w:div w:id="318660852">
              <w:marLeft w:val="0"/>
              <w:marRight w:val="0"/>
              <w:marTop w:val="0"/>
              <w:marBottom w:val="0"/>
              <w:divBdr>
                <w:top w:val="none" w:sz="0" w:space="0" w:color="auto"/>
                <w:left w:val="none" w:sz="0" w:space="0" w:color="auto"/>
                <w:bottom w:val="none" w:sz="0" w:space="0" w:color="auto"/>
                <w:right w:val="none" w:sz="0" w:space="0" w:color="auto"/>
              </w:divBdr>
              <w:divsChild>
                <w:div w:id="2029134370">
                  <w:marLeft w:val="0"/>
                  <w:marRight w:val="0"/>
                  <w:marTop w:val="0"/>
                  <w:marBottom w:val="0"/>
                  <w:divBdr>
                    <w:top w:val="none" w:sz="0" w:space="0" w:color="auto"/>
                    <w:left w:val="none" w:sz="0" w:space="0" w:color="auto"/>
                    <w:bottom w:val="none" w:sz="0" w:space="0" w:color="auto"/>
                    <w:right w:val="none" w:sz="0" w:space="0" w:color="auto"/>
                  </w:divBdr>
                  <w:divsChild>
                    <w:div w:id="1777406547">
                      <w:marLeft w:val="0"/>
                      <w:marRight w:val="0"/>
                      <w:marTop w:val="0"/>
                      <w:marBottom w:val="0"/>
                      <w:divBdr>
                        <w:top w:val="none" w:sz="0" w:space="0" w:color="auto"/>
                        <w:left w:val="none" w:sz="0" w:space="0" w:color="auto"/>
                        <w:bottom w:val="none" w:sz="0" w:space="0" w:color="auto"/>
                        <w:right w:val="none" w:sz="0" w:space="0" w:color="auto"/>
                      </w:divBdr>
                      <w:divsChild>
                        <w:div w:id="460340044">
                          <w:marLeft w:val="0"/>
                          <w:marRight w:val="0"/>
                          <w:marTop w:val="0"/>
                          <w:marBottom w:val="0"/>
                          <w:divBdr>
                            <w:top w:val="none" w:sz="0" w:space="0" w:color="auto"/>
                            <w:left w:val="none" w:sz="0" w:space="0" w:color="auto"/>
                            <w:bottom w:val="none" w:sz="0" w:space="0" w:color="auto"/>
                            <w:right w:val="none" w:sz="0" w:space="0" w:color="auto"/>
                          </w:divBdr>
                          <w:divsChild>
                            <w:div w:id="17121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407491">
      <w:bodyDiv w:val="1"/>
      <w:marLeft w:val="0"/>
      <w:marRight w:val="0"/>
      <w:marTop w:val="0"/>
      <w:marBottom w:val="0"/>
      <w:divBdr>
        <w:top w:val="none" w:sz="0" w:space="0" w:color="auto"/>
        <w:left w:val="none" w:sz="0" w:space="0" w:color="auto"/>
        <w:bottom w:val="none" w:sz="0" w:space="0" w:color="auto"/>
        <w:right w:val="none" w:sz="0" w:space="0" w:color="auto"/>
      </w:divBdr>
    </w:div>
    <w:div w:id="1312440904">
      <w:bodyDiv w:val="1"/>
      <w:marLeft w:val="0"/>
      <w:marRight w:val="0"/>
      <w:marTop w:val="0"/>
      <w:marBottom w:val="0"/>
      <w:divBdr>
        <w:top w:val="none" w:sz="0" w:space="0" w:color="auto"/>
        <w:left w:val="none" w:sz="0" w:space="0" w:color="auto"/>
        <w:bottom w:val="none" w:sz="0" w:space="0" w:color="auto"/>
        <w:right w:val="none" w:sz="0" w:space="0" w:color="auto"/>
      </w:divBdr>
    </w:div>
    <w:div w:id="1505127823">
      <w:bodyDiv w:val="1"/>
      <w:marLeft w:val="0"/>
      <w:marRight w:val="0"/>
      <w:marTop w:val="0"/>
      <w:marBottom w:val="0"/>
      <w:divBdr>
        <w:top w:val="none" w:sz="0" w:space="0" w:color="auto"/>
        <w:left w:val="none" w:sz="0" w:space="0" w:color="auto"/>
        <w:bottom w:val="none" w:sz="0" w:space="0" w:color="auto"/>
        <w:right w:val="none" w:sz="0" w:space="0" w:color="auto"/>
      </w:divBdr>
    </w:div>
    <w:div w:id="1517235943">
      <w:bodyDiv w:val="1"/>
      <w:marLeft w:val="0"/>
      <w:marRight w:val="0"/>
      <w:marTop w:val="0"/>
      <w:marBottom w:val="0"/>
      <w:divBdr>
        <w:top w:val="none" w:sz="0" w:space="0" w:color="auto"/>
        <w:left w:val="none" w:sz="0" w:space="0" w:color="auto"/>
        <w:bottom w:val="none" w:sz="0" w:space="0" w:color="auto"/>
        <w:right w:val="none" w:sz="0" w:space="0" w:color="auto"/>
      </w:divBdr>
      <w:divsChild>
        <w:div w:id="1874809727">
          <w:marLeft w:val="0"/>
          <w:marRight w:val="0"/>
          <w:marTop w:val="0"/>
          <w:marBottom w:val="0"/>
          <w:divBdr>
            <w:top w:val="none" w:sz="0" w:space="0" w:color="auto"/>
            <w:left w:val="none" w:sz="0" w:space="0" w:color="auto"/>
            <w:bottom w:val="none" w:sz="0" w:space="0" w:color="auto"/>
            <w:right w:val="none" w:sz="0" w:space="0" w:color="auto"/>
          </w:divBdr>
          <w:divsChild>
            <w:div w:id="1473597869">
              <w:marLeft w:val="0"/>
              <w:marRight w:val="0"/>
              <w:marTop w:val="0"/>
              <w:marBottom w:val="0"/>
              <w:divBdr>
                <w:top w:val="none" w:sz="0" w:space="0" w:color="auto"/>
                <w:left w:val="none" w:sz="0" w:space="0" w:color="auto"/>
                <w:bottom w:val="none" w:sz="0" w:space="0" w:color="auto"/>
                <w:right w:val="none" w:sz="0" w:space="0" w:color="auto"/>
              </w:divBdr>
              <w:divsChild>
                <w:div w:id="286082959">
                  <w:marLeft w:val="0"/>
                  <w:marRight w:val="0"/>
                  <w:marTop w:val="0"/>
                  <w:marBottom w:val="0"/>
                  <w:divBdr>
                    <w:top w:val="none" w:sz="0" w:space="0" w:color="auto"/>
                    <w:left w:val="none" w:sz="0" w:space="0" w:color="auto"/>
                    <w:bottom w:val="none" w:sz="0" w:space="0" w:color="auto"/>
                    <w:right w:val="none" w:sz="0" w:space="0" w:color="auto"/>
                  </w:divBdr>
                  <w:divsChild>
                    <w:div w:id="1096560614">
                      <w:marLeft w:val="0"/>
                      <w:marRight w:val="0"/>
                      <w:marTop w:val="0"/>
                      <w:marBottom w:val="0"/>
                      <w:divBdr>
                        <w:top w:val="none" w:sz="0" w:space="0" w:color="auto"/>
                        <w:left w:val="none" w:sz="0" w:space="0" w:color="auto"/>
                        <w:bottom w:val="none" w:sz="0" w:space="0" w:color="auto"/>
                        <w:right w:val="none" w:sz="0" w:space="0" w:color="auto"/>
                      </w:divBdr>
                      <w:divsChild>
                        <w:div w:id="1724520498">
                          <w:marLeft w:val="0"/>
                          <w:marRight w:val="0"/>
                          <w:marTop w:val="0"/>
                          <w:marBottom w:val="0"/>
                          <w:divBdr>
                            <w:top w:val="none" w:sz="0" w:space="0" w:color="auto"/>
                            <w:left w:val="none" w:sz="0" w:space="0" w:color="auto"/>
                            <w:bottom w:val="none" w:sz="0" w:space="0" w:color="auto"/>
                            <w:right w:val="none" w:sz="0" w:space="0" w:color="auto"/>
                          </w:divBdr>
                          <w:divsChild>
                            <w:div w:id="14856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5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ocialprotection-pfm.org/wp-content/uploads/2023/11/wp18_multiplier-multi-country.pdf" TargetMode="External"/><Relationship Id="rId1" Type="http://schemas.openxmlformats.org/officeDocument/2006/relationships/hyperlink" Target="https://www.brookings.edu/articles/bridging-the-great-finance-divide-in-developing-countr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TaxCatchAll xmlns="985ec44e-1bab-4c0b-9df0-6ba128686fc9" xsi:nil="true"/>
    <MH_x002f_MDN xmlns="b49397d3-2376-4764-9b34-2b39112a7e40" xsi:nil="true"/>
    <Topic xmlns="b49397d3-2376-4764-9b34-2b39112a7e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9773F-C087-44CD-A86D-B95A6866EDE2}"/>
</file>

<file path=customXml/itemProps2.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3.xml><?xml version="1.0" encoding="utf-8"?>
<ds:datastoreItem xmlns:ds="http://schemas.openxmlformats.org/officeDocument/2006/customXml" ds:itemID="{567DB752-8BEC-46F2-8BDF-5054EE87FF00}">
  <ds:schemaRefs>
    <ds:schemaRef ds:uri="http://schemas.microsoft.com/office/2006/metadata/properties"/>
    <ds:schemaRef ds:uri="http://schemas.microsoft.com/office/infopath/2007/PartnerControls"/>
    <ds:schemaRef ds:uri="da9142fa-2487-41bc-8016-985521d3d024"/>
  </ds:schemaRefs>
</ds:datastoreItem>
</file>

<file path=customXml/itemProps4.xml><?xml version="1.0" encoding="utf-8"?>
<ds:datastoreItem xmlns:ds="http://schemas.openxmlformats.org/officeDocument/2006/customXml" ds:itemID="{6A4B996F-476B-4151-9AB4-F0842CBD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1592</Words>
  <Characters>9716</Characters>
  <Application>Microsoft Office Word</Application>
  <DocSecurity>0</DocSecurity>
  <Lines>133</Lines>
  <Paragraphs>30</Paragraphs>
  <ScaleCrop>false</ScaleCrop>
  <Company/>
  <LinksUpToDate>false</LinksUpToDate>
  <CharactersWithSpaces>11278</CharactersWithSpaces>
  <SharedDoc>false</SharedDoc>
  <HLinks>
    <vt:vector size="12" baseType="variant">
      <vt:variant>
        <vt:i4>5505121</vt:i4>
      </vt:variant>
      <vt:variant>
        <vt:i4>3</vt:i4>
      </vt:variant>
      <vt:variant>
        <vt:i4>0</vt:i4>
      </vt:variant>
      <vt:variant>
        <vt:i4>5</vt:i4>
      </vt:variant>
      <vt:variant>
        <vt:lpwstr>https://socialprotection-pfm.org/wp-content/uploads/2023/11/wp18_multiplier-multi-country.pdf</vt:lpwstr>
      </vt:variant>
      <vt:variant>
        <vt:lpwstr/>
      </vt:variant>
      <vt:variant>
        <vt:i4>1048581</vt:i4>
      </vt:variant>
      <vt:variant>
        <vt:i4>0</vt:i4>
      </vt:variant>
      <vt:variant>
        <vt:i4>0</vt:i4>
      </vt:variant>
      <vt:variant>
        <vt:i4>5</vt:i4>
      </vt:variant>
      <vt:variant>
        <vt:lpwstr>https://www.brookings.edu/articles/bridging-the-great-finance-divide-in-developing-countries/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Massimiliano La Marca</cp:lastModifiedBy>
  <cp:revision>494</cp:revision>
  <dcterms:created xsi:type="dcterms:W3CDTF">2024-10-04T15:40:00Z</dcterms:created>
  <dcterms:modified xsi:type="dcterms:W3CDTF">2024-10-15T11:47:00Z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0x010100F4B49A3AE9F90C41BC45A2104E8CAB03</vt:lpwstr>
  </property>
  <property fmtid="{D5CDD505-2E9C-101B-9397-08002B2CF9AE}" pid="3" name="MediaServiceImageTags">
    <vt:lpwstr/>
  </property>
</Properties>
</file>