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19EBF" w14:textId="65B2701A" w:rsidR="00B37572" w:rsidRPr="00222EE6" w:rsidRDefault="00B37572" w:rsidP="007F7E58">
      <w:pPr>
        <w:pStyle w:val="Heading1"/>
        <w:jc w:val="center"/>
        <w:rPr>
          <w:rFonts w:asciiTheme="minorHAnsi" w:hAnsiTheme="minorHAnsi" w:cstheme="minorBidi"/>
          <w:lang w:val="en-GB"/>
        </w:rPr>
      </w:pPr>
      <w:r w:rsidRPr="1BA8183D">
        <w:rPr>
          <w:rFonts w:asciiTheme="minorHAnsi" w:hAnsiTheme="minorHAnsi" w:cstheme="minorBidi"/>
          <w:lang w:val="en-GB"/>
        </w:rPr>
        <w:t xml:space="preserve">Financing </w:t>
      </w:r>
      <w:r w:rsidR="00251A33" w:rsidRPr="1BA8183D">
        <w:rPr>
          <w:rFonts w:asciiTheme="minorHAnsi" w:hAnsiTheme="minorHAnsi" w:cstheme="minorBidi"/>
          <w:lang w:val="en-GB"/>
        </w:rPr>
        <w:t>Po</w:t>
      </w:r>
      <w:r w:rsidR="002C6D77" w:rsidRPr="1BA8183D">
        <w:rPr>
          <w:rFonts w:asciiTheme="minorHAnsi" w:hAnsiTheme="minorHAnsi" w:cstheme="minorBidi"/>
          <w:lang w:val="en-GB"/>
        </w:rPr>
        <w:t xml:space="preserve">licy </w:t>
      </w:r>
      <w:r w:rsidRPr="1BA8183D">
        <w:rPr>
          <w:rFonts w:asciiTheme="minorHAnsi" w:hAnsiTheme="minorHAnsi" w:cstheme="minorBidi"/>
          <w:lang w:val="en-GB"/>
        </w:rPr>
        <w:t>Brief</w:t>
      </w:r>
      <w:r w:rsidR="00174569" w:rsidRPr="1BA8183D">
        <w:rPr>
          <w:rFonts w:asciiTheme="minorHAnsi" w:hAnsiTheme="minorHAnsi" w:cstheme="minorBidi"/>
          <w:lang w:val="en-GB"/>
        </w:rPr>
        <w:t xml:space="preserve"> Series </w:t>
      </w:r>
      <w:r w:rsidRPr="1BA8183D">
        <w:rPr>
          <w:rFonts w:asciiTheme="minorHAnsi" w:hAnsiTheme="minorHAnsi" w:cstheme="minorBidi"/>
          <w:lang w:val="en-GB"/>
        </w:rPr>
        <w:t xml:space="preserve">– </w:t>
      </w:r>
      <w:r w:rsidR="00B52F12" w:rsidRPr="1BA8183D">
        <w:rPr>
          <w:rFonts w:asciiTheme="minorHAnsi" w:hAnsiTheme="minorHAnsi" w:cstheme="minorBidi"/>
          <w:lang w:val="en-GB"/>
        </w:rPr>
        <w:t>Recommendations for</w:t>
      </w:r>
      <w:r w:rsidRPr="1BA8183D">
        <w:rPr>
          <w:rFonts w:asciiTheme="minorHAnsi" w:hAnsiTheme="minorHAnsi" w:cstheme="minorBidi"/>
          <w:lang w:val="en-GB"/>
        </w:rPr>
        <w:t xml:space="preserve"> FfD4</w:t>
      </w:r>
    </w:p>
    <w:p w14:paraId="31EA9014" w14:textId="0E52A5ED" w:rsidR="00DF0BDC" w:rsidRDefault="7725033C" w:rsidP="007F7E58">
      <w:pPr>
        <w:pStyle w:val="Heading1"/>
        <w:jc w:val="center"/>
        <w:rPr>
          <w:rFonts w:asciiTheme="minorHAnsi" w:hAnsiTheme="minorHAnsi" w:cstheme="minorBidi"/>
          <w:lang w:val="en-GB"/>
        </w:rPr>
      </w:pPr>
      <w:r w:rsidRPr="00601E45">
        <w:rPr>
          <w:rFonts w:asciiTheme="minorHAnsi" w:hAnsiTheme="minorHAnsi" w:cstheme="minorBidi"/>
          <w:lang w:val="en-GB"/>
        </w:rPr>
        <w:t>Keeping</w:t>
      </w:r>
      <w:r w:rsidR="00DF0BDC" w:rsidRPr="00601E45" w:rsidDel="00C21445">
        <w:rPr>
          <w:rFonts w:asciiTheme="minorHAnsi" w:hAnsiTheme="minorHAnsi" w:cstheme="minorBidi"/>
          <w:lang w:val="en-GB"/>
        </w:rPr>
        <w:t xml:space="preserve"> </w:t>
      </w:r>
      <w:r w:rsidR="007237F2" w:rsidRPr="007237F2">
        <w:rPr>
          <w:rFonts w:asciiTheme="minorHAnsi" w:hAnsiTheme="minorHAnsi" w:cstheme="minorBidi"/>
          <w:lang w:val="en-GB"/>
        </w:rPr>
        <w:t xml:space="preserve">Global Financing Promises: </w:t>
      </w:r>
      <w:r w:rsidR="00621992">
        <w:rPr>
          <w:rFonts w:asciiTheme="minorHAnsi" w:hAnsiTheme="minorHAnsi" w:cstheme="minorBidi"/>
          <w:lang w:val="en-GB"/>
        </w:rPr>
        <w:br/>
      </w:r>
      <w:r w:rsidR="66DF4135" w:rsidRPr="4C478B75">
        <w:rPr>
          <w:rFonts w:asciiTheme="minorHAnsi" w:hAnsiTheme="minorHAnsi" w:cstheme="minorBidi"/>
          <w:lang w:val="en-GB"/>
        </w:rPr>
        <w:t>Advancing</w:t>
      </w:r>
      <w:r w:rsidR="007237F2" w:rsidRPr="007237F2">
        <w:rPr>
          <w:rFonts w:asciiTheme="minorHAnsi" w:hAnsiTheme="minorHAnsi" w:cstheme="minorBidi"/>
          <w:lang w:val="en-GB"/>
        </w:rPr>
        <w:t xml:space="preserve"> Development, Human Rights, and International Cooperation</w:t>
      </w:r>
    </w:p>
    <w:p w14:paraId="3759A8D8" w14:textId="77777777" w:rsidR="00B37572" w:rsidRPr="00222EE6" w:rsidRDefault="00B37572" w:rsidP="007F7E58">
      <w:pPr>
        <w:jc w:val="both"/>
        <w:rPr>
          <w:lang w:val="en-GB"/>
        </w:rPr>
      </w:pPr>
    </w:p>
    <w:p w14:paraId="4931A488" w14:textId="3CB653E9" w:rsidR="00B37572" w:rsidRPr="00222EE6" w:rsidRDefault="00174569" w:rsidP="007F7E58">
      <w:pPr>
        <w:pStyle w:val="Heading2"/>
        <w:jc w:val="both"/>
        <w:rPr>
          <w:rFonts w:asciiTheme="minorHAnsi" w:hAnsiTheme="minorHAnsi" w:cstheme="minorBidi"/>
          <w:lang w:val="en-GB"/>
        </w:rPr>
      </w:pPr>
      <w:r w:rsidRPr="1BA8183D">
        <w:rPr>
          <w:rFonts w:asciiTheme="minorHAnsi" w:hAnsiTheme="minorHAnsi" w:cstheme="minorBidi"/>
          <w:lang w:val="en-GB"/>
        </w:rPr>
        <w:t>Key messages</w:t>
      </w:r>
    </w:p>
    <w:p w14:paraId="47723486" w14:textId="21D08985" w:rsidR="00373939" w:rsidRPr="001331D4" w:rsidRDefault="52AAA821" w:rsidP="007F7E58">
      <w:pPr>
        <w:pStyle w:val="ListParagraph"/>
        <w:numPr>
          <w:ilvl w:val="0"/>
          <w:numId w:val="6"/>
        </w:numPr>
        <w:jc w:val="both"/>
        <w:rPr>
          <w:lang w:val="en-GB"/>
        </w:rPr>
      </w:pPr>
      <w:r w:rsidRPr="1B9D4877">
        <w:rPr>
          <w:lang w:val="en-GB"/>
        </w:rPr>
        <w:t>R</w:t>
      </w:r>
      <w:r w:rsidR="2F802511" w:rsidRPr="1B9D4877">
        <w:rPr>
          <w:lang w:val="en-GB"/>
        </w:rPr>
        <w:t xml:space="preserve">eform of the international financial architecture is needed to </w:t>
      </w:r>
      <w:r w:rsidR="07D2B25A" w:rsidRPr="1B9D4877">
        <w:rPr>
          <w:lang w:val="en-GB"/>
        </w:rPr>
        <w:t>ensure that countries have the required resources to invest in sustainable development and</w:t>
      </w:r>
      <w:r w:rsidR="0B4D6D3D" w:rsidRPr="1B9D4877">
        <w:rPr>
          <w:lang w:val="en-GB"/>
        </w:rPr>
        <w:t xml:space="preserve"> </w:t>
      </w:r>
      <w:r w:rsidR="07D2B25A" w:rsidRPr="1B9D4877">
        <w:rPr>
          <w:lang w:val="en-GB"/>
        </w:rPr>
        <w:t>human right</w:t>
      </w:r>
      <w:r w:rsidR="30432731" w:rsidRPr="1B9D4877">
        <w:rPr>
          <w:lang w:val="en-GB"/>
        </w:rPr>
        <w:t>s</w:t>
      </w:r>
      <w:r w:rsidR="449B41A8" w:rsidRPr="1B9D4877">
        <w:rPr>
          <w:lang w:val="en-GB"/>
        </w:rPr>
        <w:t>, including the right to development.</w:t>
      </w:r>
      <w:r w:rsidR="2F802511" w:rsidRPr="1B9D4877">
        <w:rPr>
          <w:lang w:val="en-GB"/>
        </w:rPr>
        <w:t xml:space="preserve"> This includes </w:t>
      </w:r>
      <w:r w:rsidR="30865996" w:rsidRPr="1B9D4877">
        <w:rPr>
          <w:lang w:val="en-GB"/>
        </w:rPr>
        <w:t>equitable</w:t>
      </w:r>
      <w:r w:rsidR="71092A1E" w:rsidRPr="1B9D4877">
        <w:rPr>
          <w:lang w:val="en-GB"/>
        </w:rPr>
        <w:t xml:space="preserve"> representation of developing countries in the governance of international financial institutions </w:t>
      </w:r>
      <w:r w:rsidR="3EBE29AF" w:rsidRPr="1B9D4877">
        <w:rPr>
          <w:lang w:val="en-GB"/>
        </w:rPr>
        <w:t>and</w:t>
      </w:r>
      <w:r w:rsidR="71092A1E" w:rsidRPr="1B9D4877">
        <w:rPr>
          <w:lang w:val="en-GB"/>
        </w:rPr>
        <w:t xml:space="preserve"> </w:t>
      </w:r>
      <w:r w:rsidR="2F802511" w:rsidRPr="1B9D4877">
        <w:rPr>
          <w:lang w:val="en-GB"/>
        </w:rPr>
        <w:t>reorienting the</w:t>
      </w:r>
      <w:r w:rsidR="1BAF2F6C" w:rsidRPr="1B9D4877">
        <w:rPr>
          <w:lang w:val="en-GB"/>
        </w:rPr>
        <w:t>ir</w:t>
      </w:r>
      <w:r w:rsidR="2F802511" w:rsidRPr="1B9D4877">
        <w:rPr>
          <w:lang w:val="en-GB"/>
        </w:rPr>
        <w:t xml:space="preserve"> </w:t>
      </w:r>
      <w:r w:rsidR="007C5659" w:rsidRPr="1B9D4877">
        <w:rPr>
          <w:lang w:val="en-GB"/>
        </w:rPr>
        <w:t>policies to</w:t>
      </w:r>
      <w:r w:rsidR="168BC1A7" w:rsidRPr="1B9D4877">
        <w:rPr>
          <w:lang w:val="en-GB"/>
        </w:rPr>
        <w:t xml:space="preserve"> align with human rights </w:t>
      </w:r>
      <w:r w:rsidR="02888D84" w:rsidRPr="1B9D4877">
        <w:rPr>
          <w:lang w:val="en-GB"/>
        </w:rPr>
        <w:t>standards</w:t>
      </w:r>
      <w:r w:rsidR="495D380B" w:rsidRPr="1B9D4877">
        <w:rPr>
          <w:lang w:val="en-GB"/>
        </w:rPr>
        <w:t>.</w:t>
      </w:r>
      <w:r w:rsidR="2F802511" w:rsidRPr="1B9D4877">
        <w:rPr>
          <w:lang w:val="en-GB"/>
        </w:rPr>
        <w:t xml:space="preserve"> </w:t>
      </w:r>
    </w:p>
    <w:p w14:paraId="27265859" w14:textId="2770FC25" w:rsidR="00216F8C" w:rsidRDefault="008115DC" w:rsidP="007F7E58">
      <w:pPr>
        <w:pStyle w:val="ListParagraph"/>
        <w:numPr>
          <w:ilvl w:val="0"/>
          <w:numId w:val="6"/>
        </w:numPr>
        <w:jc w:val="both"/>
        <w:rPr>
          <w:lang w:val="en-GB"/>
        </w:rPr>
      </w:pPr>
      <w:r w:rsidRPr="56E8C7C8">
        <w:rPr>
          <w:lang w:val="en-GB"/>
        </w:rPr>
        <w:t>G</w:t>
      </w:r>
      <w:r w:rsidR="002F489B" w:rsidRPr="56E8C7C8">
        <w:rPr>
          <w:lang w:val="en-GB"/>
        </w:rPr>
        <w:t xml:space="preserve">lobal partnerships and international </w:t>
      </w:r>
      <w:r w:rsidR="3A67CC65" w:rsidRPr="74FD3405">
        <w:rPr>
          <w:lang w:val="en-GB"/>
        </w:rPr>
        <w:t xml:space="preserve">development </w:t>
      </w:r>
      <w:r w:rsidR="002F489B" w:rsidRPr="56E8C7C8">
        <w:rPr>
          <w:lang w:val="en-GB"/>
        </w:rPr>
        <w:t>cooperation</w:t>
      </w:r>
      <w:r w:rsidRPr="56E8C7C8">
        <w:rPr>
          <w:lang w:val="en-GB"/>
        </w:rPr>
        <w:t xml:space="preserve"> need to be revitalized </w:t>
      </w:r>
      <w:r w:rsidR="00FB2980" w:rsidRPr="56E8C7C8">
        <w:rPr>
          <w:lang w:val="en-GB"/>
        </w:rPr>
        <w:t>to scale</w:t>
      </w:r>
      <w:r w:rsidR="007A59D3" w:rsidRPr="56E8C7C8">
        <w:rPr>
          <w:lang w:val="en-GB"/>
        </w:rPr>
        <w:t xml:space="preserve"> up </w:t>
      </w:r>
      <w:r w:rsidR="00453F4A" w:rsidRPr="56E8C7C8">
        <w:rPr>
          <w:lang w:val="en-GB"/>
        </w:rPr>
        <w:t>development finance, and to e</w:t>
      </w:r>
      <w:r w:rsidR="002F489B" w:rsidRPr="56E8C7C8">
        <w:rPr>
          <w:lang w:val="en-GB"/>
        </w:rPr>
        <w:t xml:space="preserve">nsure that concessional and predictable funding is directed to the countries that need it most, particularly Least Developed Countries, Landlocked Developing Countries, and Small Island Developing States. </w:t>
      </w:r>
    </w:p>
    <w:p w14:paraId="19163C97" w14:textId="7F08E1D5" w:rsidR="00174569" w:rsidRDefault="49F14A89" w:rsidP="007F7E58">
      <w:pPr>
        <w:pStyle w:val="ListParagraph"/>
        <w:numPr>
          <w:ilvl w:val="0"/>
          <w:numId w:val="6"/>
        </w:numPr>
        <w:jc w:val="both"/>
        <w:rPr>
          <w:lang w:val="en-GB"/>
        </w:rPr>
      </w:pPr>
      <w:r w:rsidRPr="74FD3405">
        <w:rPr>
          <w:lang w:val="en-GB"/>
        </w:rPr>
        <w:t xml:space="preserve">A fairer, more inclusive, participatory and transparent global tax system is </w:t>
      </w:r>
      <w:r w:rsidR="0088624B" w:rsidRPr="56E8C7C8">
        <w:rPr>
          <w:lang w:val="en-GB"/>
        </w:rPr>
        <w:t>needed to</w:t>
      </w:r>
      <w:r w:rsidR="00216F8C" w:rsidRPr="56E8C7C8">
        <w:rPr>
          <w:lang w:val="en-GB"/>
        </w:rPr>
        <w:t xml:space="preserve"> </w:t>
      </w:r>
      <w:r w:rsidR="00DD78FA">
        <w:rPr>
          <w:lang w:val="en-GB"/>
        </w:rPr>
        <w:t xml:space="preserve">strengthen </w:t>
      </w:r>
      <w:r w:rsidR="00216F8C" w:rsidRPr="56E8C7C8">
        <w:rPr>
          <w:lang w:val="en-GB"/>
        </w:rPr>
        <w:t>the capacity of developing countries to invest in human rights and the SDGs.</w:t>
      </w:r>
      <w:r w:rsidR="00515476">
        <w:rPr>
          <w:lang w:val="en-GB"/>
        </w:rPr>
        <w:t xml:space="preserve"> International tax cooperation is critical to</w:t>
      </w:r>
      <w:r w:rsidR="00216F8C" w:rsidRPr="56E8C7C8">
        <w:rPr>
          <w:lang w:val="en-GB"/>
        </w:rPr>
        <w:t xml:space="preserve"> </w:t>
      </w:r>
      <w:r w:rsidR="00DD78FA" w:rsidRPr="56E8C7C8">
        <w:rPr>
          <w:lang w:val="en-GB"/>
        </w:rPr>
        <w:t>combat</w:t>
      </w:r>
      <w:r w:rsidR="00515476">
        <w:rPr>
          <w:lang w:val="en-GB"/>
        </w:rPr>
        <w:t>ting</w:t>
      </w:r>
      <w:r w:rsidR="00DD78FA" w:rsidRPr="56E8C7C8">
        <w:rPr>
          <w:lang w:val="en-GB"/>
        </w:rPr>
        <w:t xml:space="preserve"> tax </w:t>
      </w:r>
      <w:r w:rsidR="00DD78FA" w:rsidRPr="74FD3405">
        <w:rPr>
          <w:lang w:val="en-GB"/>
        </w:rPr>
        <w:t xml:space="preserve">avoidance and </w:t>
      </w:r>
      <w:r w:rsidR="00DD78FA" w:rsidRPr="56E8C7C8">
        <w:rPr>
          <w:lang w:val="en-GB"/>
        </w:rPr>
        <w:t>evasion and illicit financial flows</w:t>
      </w:r>
      <w:r w:rsidR="00216F8C" w:rsidRPr="56E8C7C8">
        <w:rPr>
          <w:lang w:val="en-GB"/>
        </w:rPr>
        <w:t>.</w:t>
      </w:r>
    </w:p>
    <w:p w14:paraId="02D93BAE" w14:textId="68EB1604" w:rsidR="001F3444" w:rsidRPr="008F1552" w:rsidRDefault="463C3117" w:rsidP="007F7E58">
      <w:pPr>
        <w:pStyle w:val="ListParagraph"/>
        <w:numPr>
          <w:ilvl w:val="0"/>
          <w:numId w:val="6"/>
        </w:numPr>
        <w:jc w:val="both"/>
        <w:rPr>
          <w:lang w:val="en-GB"/>
        </w:rPr>
      </w:pPr>
      <w:r w:rsidRPr="1B9D4877">
        <w:rPr>
          <w:lang w:val="en-GB"/>
        </w:rPr>
        <w:t>States have the duty under the U</w:t>
      </w:r>
      <w:r w:rsidR="5D17F7AA" w:rsidRPr="1B9D4877">
        <w:rPr>
          <w:lang w:val="en-GB"/>
        </w:rPr>
        <w:t xml:space="preserve">nited </w:t>
      </w:r>
      <w:r w:rsidRPr="1B9D4877">
        <w:rPr>
          <w:lang w:val="en-GB"/>
        </w:rPr>
        <w:t>N</w:t>
      </w:r>
      <w:r w:rsidR="39147673" w:rsidRPr="1B9D4877">
        <w:rPr>
          <w:lang w:val="en-GB"/>
        </w:rPr>
        <w:t>ations</w:t>
      </w:r>
      <w:r w:rsidRPr="1B9D4877">
        <w:rPr>
          <w:lang w:val="en-GB"/>
        </w:rPr>
        <w:t xml:space="preserve"> Charter to cooperate in solving international problems of an economic, social, cultural or humanitarian character and in promoting and encouraging respect for human rights and for fundamental freedoms. </w:t>
      </w:r>
      <w:r w:rsidR="0377591D" w:rsidRPr="1B9D4877">
        <w:rPr>
          <w:lang w:val="en-GB"/>
        </w:rPr>
        <w:t xml:space="preserve">Under the International Covenant on Economic, Social, and Cultural Rights, </w:t>
      </w:r>
      <w:r w:rsidR="14D72308" w:rsidRPr="1B9D4877">
        <w:rPr>
          <w:lang w:val="en-GB"/>
        </w:rPr>
        <w:t xml:space="preserve">States </w:t>
      </w:r>
      <w:r w:rsidR="0377591D" w:rsidRPr="1B9D4877">
        <w:rPr>
          <w:lang w:val="en-GB"/>
        </w:rPr>
        <w:t xml:space="preserve">also </w:t>
      </w:r>
      <w:r w:rsidR="14D72308" w:rsidRPr="1B9D4877">
        <w:rPr>
          <w:lang w:val="en-GB"/>
        </w:rPr>
        <w:t xml:space="preserve">have </w:t>
      </w:r>
      <w:r w:rsidR="7952A8BD" w:rsidRPr="1B9D4877">
        <w:rPr>
          <w:lang w:val="en-GB"/>
        </w:rPr>
        <w:t>obligations to maximize resources for these rights, including through international cooperation and assistance</w:t>
      </w:r>
      <w:r w:rsidR="4DFA6C5D" w:rsidRPr="1B9D4877">
        <w:rPr>
          <w:lang w:val="en-GB"/>
        </w:rPr>
        <w:t>.</w:t>
      </w:r>
      <w:r w:rsidR="7F23BFB2" w:rsidRPr="1B9D4877">
        <w:rPr>
          <w:lang w:val="en-GB"/>
        </w:rPr>
        <w:t xml:space="preserve"> The Declaration on the Right to Development provides </w:t>
      </w:r>
      <w:r w:rsidR="7F3A99E4" w:rsidRPr="1B9D4877">
        <w:rPr>
          <w:lang w:val="en-GB"/>
        </w:rPr>
        <w:t>the framework for</w:t>
      </w:r>
      <w:r w:rsidR="7F23BFB2" w:rsidRPr="1B9D4877">
        <w:rPr>
          <w:lang w:val="en-GB"/>
        </w:rPr>
        <w:t xml:space="preserve"> States, the international community and all organs of society </w:t>
      </w:r>
      <w:r w:rsidR="7F3A99E4" w:rsidRPr="1B9D4877">
        <w:rPr>
          <w:lang w:val="en-GB"/>
        </w:rPr>
        <w:t>to</w:t>
      </w:r>
      <w:r w:rsidR="7F23BFB2" w:rsidRPr="1B9D4877">
        <w:rPr>
          <w:lang w:val="en-GB"/>
        </w:rPr>
        <w:t xml:space="preserve"> act and cooperate to ensure an enabling environment for development that is sustainable, just, equitable and inclusive. </w:t>
      </w:r>
    </w:p>
    <w:p w14:paraId="1A46B8DF" w14:textId="5B76EBB0" w:rsidR="00174569" w:rsidRPr="00222EE6" w:rsidRDefault="00174569" w:rsidP="007F7E58">
      <w:pPr>
        <w:pStyle w:val="Heading2"/>
        <w:jc w:val="both"/>
        <w:rPr>
          <w:i/>
          <w:iCs/>
          <w:lang w:val="en-GB"/>
        </w:rPr>
      </w:pPr>
      <w:r w:rsidRPr="1BA8183D">
        <w:rPr>
          <w:rFonts w:asciiTheme="minorHAnsi" w:hAnsiTheme="minorHAnsi" w:cstheme="minorBidi"/>
          <w:lang w:val="en-GB"/>
        </w:rPr>
        <w:t xml:space="preserve">Problem statement </w:t>
      </w:r>
    </w:p>
    <w:p w14:paraId="61EFF11F" w14:textId="194DC4FE" w:rsidR="002E5A95" w:rsidRDefault="4A933D55" w:rsidP="007F7E58">
      <w:pPr>
        <w:jc w:val="both"/>
        <w:rPr>
          <w:lang w:val="en-GB"/>
        </w:rPr>
      </w:pPr>
      <w:r w:rsidRPr="1BA8183D">
        <w:rPr>
          <w:lang w:val="en-GB"/>
        </w:rPr>
        <w:t>“There is no development without peace, no peace without development, and neither without human rights.</w:t>
      </w:r>
      <w:r w:rsidR="006ADFBB" w:rsidRPr="62FDF60F">
        <w:rPr>
          <w:lang w:val="en-GB"/>
        </w:rPr>
        <w:t>”</w:t>
      </w:r>
      <w:r w:rsidR="00672B07" w:rsidRPr="1BA8183D">
        <w:rPr>
          <w:rStyle w:val="FootnoteReference"/>
          <w:lang w:val="en-GB"/>
        </w:rPr>
        <w:footnoteReference w:id="2"/>
      </w:r>
      <w:r w:rsidRPr="1BA8183D">
        <w:rPr>
          <w:lang w:val="en-GB"/>
        </w:rPr>
        <w:t xml:space="preserve"> </w:t>
      </w:r>
      <w:r w:rsidR="1C9D3BA7" w:rsidRPr="62FDF60F">
        <w:rPr>
          <w:lang w:val="en-GB"/>
        </w:rPr>
        <w:t>This interdependence was clearly recognized by t</w:t>
      </w:r>
      <w:r w:rsidRPr="1BA8183D">
        <w:rPr>
          <w:lang w:val="en-GB"/>
        </w:rPr>
        <w:t xml:space="preserve">he </w:t>
      </w:r>
      <w:r w:rsidR="00813A34">
        <w:rPr>
          <w:lang w:val="en-GB"/>
        </w:rPr>
        <w:t xml:space="preserve">UN Charter and the </w:t>
      </w:r>
      <w:r w:rsidRPr="1BA8183D">
        <w:rPr>
          <w:lang w:val="en-GB"/>
        </w:rPr>
        <w:t xml:space="preserve">Declaration on the Right to Development, as </w:t>
      </w:r>
      <w:r w:rsidR="01678E8C" w:rsidRPr="62FDF60F">
        <w:rPr>
          <w:lang w:val="en-GB"/>
        </w:rPr>
        <w:t xml:space="preserve">well as </w:t>
      </w:r>
      <w:r w:rsidRPr="1BA8183D">
        <w:rPr>
          <w:lang w:val="en-GB"/>
        </w:rPr>
        <w:t>the 2030 Agenda for Sustainable Development.</w:t>
      </w:r>
      <w:r w:rsidR="2F51D830" w:rsidRPr="1BA8183D">
        <w:rPr>
          <w:lang w:val="en-GB"/>
        </w:rPr>
        <w:t xml:space="preserve"> When the 2030 Agenda was adopted, </w:t>
      </w:r>
      <w:r w:rsidR="428EB8B5" w:rsidRPr="62FDF60F">
        <w:rPr>
          <w:lang w:val="en-GB"/>
        </w:rPr>
        <w:t>the international</w:t>
      </w:r>
      <w:r w:rsidR="340BC748" w:rsidRPr="62FDF60F">
        <w:rPr>
          <w:lang w:val="en-GB"/>
        </w:rPr>
        <w:t xml:space="preserve"> community</w:t>
      </w:r>
      <w:r w:rsidR="6A3155CF">
        <w:rPr>
          <w:lang w:val="en-GB"/>
        </w:rPr>
        <w:t>, through the Addis Ababa Action Agenda,</w:t>
      </w:r>
      <w:r w:rsidR="340BC748" w:rsidRPr="62FDF60F">
        <w:rPr>
          <w:lang w:val="en-GB"/>
        </w:rPr>
        <w:t xml:space="preserve"> committed</w:t>
      </w:r>
      <w:r w:rsidR="6F908A90">
        <w:rPr>
          <w:lang w:val="en-GB"/>
        </w:rPr>
        <w:t xml:space="preserve"> </w:t>
      </w:r>
      <w:r w:rsidR="340BC748" w:rsidRPr="62FDF60F">
        <w:rPr>
          <w:lang w:val="en-GB"/>
        </w:rPr>
        <w:t xml:space="preserve">to mobilizing </w:t>
      </w:r>
      <w:r w:rsidR="71F9EEA4" w:rsidRPr="62FDF60F">
        <w:rPr>
          <w:lang w:val="en-GB"/>
        </w:rPr>
        <w:t>resources</w:t>
      </w:r>
      <w:r w:rsidR="69F7C1FF" w:rsidRPr="1BA8183D">
        <w:rPr>
          <w:lang w:val="en-GB"/>
        </w:rPr>
        <w:t xml:space="preserve"> “from billions to trillions”</w:t>
      </w:r>
      <w:r w:rsidR="002A194A" w:rsidRPr="1BA8183D">
        <w:rPr>
          <w:rStyle w:val="FootnoteReference"/>
          <w:lang w:val="en-GB"/>
        </w:rPr>
        <w:footnoteReference w:id="3"/>
      </w:r>
      <w:r w:rsidR="71F9EEA4" w:rsidRPr="62FDF60F">
        <w:rPr>
          <w:lang w:val="en-GB"/>
        </w:rPr>
        <w:t xml:space="preserve"> to</w:t>
      </w:r>
      <w:r w:rsidR="16156DB6" w:rsidRPr="1BA8183D">
        <w:rPr>
          <w:lang w:val="en-GB"/>
        </w:rPr>
        <w:t xml:space="preserve"> </w:t>
      </w:r>
      <w:r w:rsidR="6F908A90">
        <w:rPr>
          <w:lang w:val="en-GB"/>
        </w:rPr>
        <w:t>support the implementation of the</w:t>
      </w:r>
      <w:r w:rsidR="71F9EEA4" w:rsidRPr="62FDF60F">
        <w:rPr>
          <w:lang w:val="en-GB"/>
        </w:rPr>
        <w:t xml:space="preserve"> ambition. </w:t>
      </w:r>
      <w:r w:rsidR="16156DB6" w:rsidRPr="1BA8183D">
        <w:rPr>
          <w:lang w:val="en-GB"/>
        </w:rPr>
        <w:t>However,</w:t>
      </w:r>
      <w:r w:rsidR="4EF72A63" w:rsidRPr="62FDF60F">
        <w:rPr>
          <w:lang w:val="en-GB"/>
        </w:rPr>
        <w:t xml:space="preserve"> the promises have fallen short.</w:t>
      </w:r>
      <w:r w:rsidR="16156DB6" w:rsidRPr="1BA8183D">
        <w:rPr>
          <w:lang w:val="en-GB"/>
        </w:rPr>
        <w:t xml:space="preserve"> </w:t>
      </w:r>
      <w:r w:rsidR="4EF72A63" w:rsidRPr="62FDF60F">
        <w:rPr>
          <w:lang w:val="en-GB"/>
        </w:rPr>
        <w:t>T</w:t>
      </w:r>
      <w:r w:rsidR="16156DB6" w:rsidRPr="1BA8183D">
        <w:rPr>
          <w:lang w:val="en-GB"/>
        </w:rPr>
        <w:t xml:space="preserve">he lack of progress illustrates the need for </w:t>
      </w:r>
      <w:r w:rsidR="04AD0C24" w:rsidRPr="1BA8183D">
        <w:rPr>
          <w:lang w:val="en-GB"/>
        </w:rPr>
        <w:t xml:space="preserve">a re-assessment of </w:t>
      </w:r>
      <w:r w:rsidR="22E08C57" w:rsidRPr="1BA8183D">
        <w:rPr>
          <w:lang w:val="en-GB"/>
        </w:rPr>
        <w:t xml:space="preserve">existing frameworks and </w:t>
      </w:r>
      <w:r w:rsidR="39E49A40" w:rsidRPr="1BA8183D">
        <w:rPr>
          <w:lang w:val="en-GB"/>
        </w:rPr>
        <w:t>approaches</w:t>
      </w:r>
      <w:r w:rsidR="70ED107B" w:rsidRPr="1BA8183D">
        <w:rPr>
          <w:lang w:val="en-GB"/>
        </w:rPr>
        <w:t xml:space="preserve"> w</w:t>
      </w:r>
      <w:r w:rsidR="16F9F192" w:rsidRPr="1BA8183D">
        <w:rPr>
          <w:lang w:val="en-GB"/>
        </w:rPr>
        <w:t xml:space="preserve">ith a focus on </w:t>
      </w:r>
      <w:r w:rsidR="53DD98B4" w:rsidRPr="1BA8183D">
        <w:rPr>
          <w:lang w:val="en-GB"/>
        </w:rPr>
        <w:t xml:space="preserve">urgent and </w:t>
      </w:r>
      <w:r w:rsidR="16F9F192" w:rsidRPr="1BA8183D">
        <w:rPr>
          <w:lang w:val="en-GB"/>
        </w:rPr>
        <w:t>effective</w:t>
      </w:r>
      <w:r w:rsidR="70ED107B" w:rsidRPr="1BA8183D">
        <w:rPr>
          <w:lang w:val="en-GB"/>
        </w:rPr>
        <w:t xml:space="preserve"> implementation</w:t>
      </w:r>
      <w:r w:rsidR="726120E7" w:rsidRPr="1BA8183D">
        <w:rPr>
          <w:lang w:val="en-GB"/>
        </w:rPr>
        <w:t xml:space="preserve"> in practice</w:t>
      </w:r>
      <w:r w:rsidR="04AD0C24" w:rsidRPr="1BA8183D">
        <w:rPr>
          <w:lang w:val="en-GB"/>
        </w:rPr>
        <w:t xml:space="preserve">. </w:t>
      </w:r>
    </w:p>
    <w:p w14:paraId="4438A17E" w14:textId="35D06DE2" w:rsidR="00472C5E" w:rsidRPr="00222EE6" w:rsidRDefault="005E5C0F" w:rsidP="007F7E58">
      <w:pPr>
        <w:jc w:val="both"/>
        <w:rPr>
          <w:lang w:val="en-GB"/>
        </w:rPr>
      </w:pPr>
      <w:r w:rsidRPr="1BA8183D">
        <w:rPr>
          <w:lang w:val="en-GB"/>
        </w:rPr>
        <w:t>The financing gap</w:t>
      </w:r>
      <w:r w:rsidR="00B40FB9">
        <w:rPr>
          <w:lang w:val="en-GB"/>
        </w:rPr>
        <w:t xml:space="preserve"> for the Sustainable Development Goals (SDGs)</w:t>
      </w:r>
      <w:r w:rsidRPr="1BA8183D">
        <w:rPr>
          <w:lang w:val="en-GB"/>
        </w:rPr>
        <w:t xml:space="preserve"> has grown to an estimated $4.2 trillion per year, </w:t>
      </w:r>
      <w:r w:rsidR="005C3CF4">
        <w:rPr>
          <w:lang w:val="en-GB"/>
        </w:rPr>
        <w:t>restricting</w:t>
      </w:r>
      <w:r w:rsidRPr="1BA8183D">
        <w:rPr>
          <w:lang w:val="en-GB"/>
        </w:rPr>
        <w:t xml:space="preserve"> the </w:t>
      </w:r>
      <w:r w:rsidR="004F6495" w:rsidRPr="1BA8183D">
        <w:rPr>
          <w:lang w:val="en-GB"/>
        </w:rPr>
        <w:t>capacity</w:t>
      </w:r>
      <w:r w:rsidRPr="1BA8183D">
        <w:rPr>
          <w:lang w:val="en-GB"/>
        </w:rPr>
        <w:t xml:space="preserve"> of countries, particularly developing countries, to </w:t>
      </w:r>
      <w:r w:rsidR="00592D7E" w:rsidRPr="1BA8183D">
        <w:rPr>
          <w:lang w:val="en-GB"/>
        </w:rPr>
        <w:t xml:space="preserve">invest in sustainable </w:t>
      </w:r>
      <w:r w:rsidR="00592D7E" w:rsidRPr="1BA8183D">
        <w:rPr>
          <w:lang w:val="en-GB"/>
        </w:rPr>
        <w:lastRenderedPageBreak/>
        <w:t xml:space="preserve">development and </w:t>
      </w:r>
      <w:r w:rsidRPr="1BA8183D">
        <w:rPr>
          <w:lang w:val="en-GB"/>
        </w:rPr>
        <w:t>meet their human rights obligations.</w:t>
      </w:r>
      <w:r w:rsidR="000F48E2">
        <w:rPr>
          <w:rStyle w:val="FootnoteReference"/>
          <w:lang w:val="en-GB"/>
        </w:rPr>
        <w:footnoteReference w:id="4"/>
      </w:r>
      <w:r w:rsidR="00F40EEF" w:rsidRPr="1BA8183D">
        <w:rPr>
          <w:lang w:val="en-GB"/>
        </w:rPr>
        <w:t xml:space="preserve"> </w:t>
      </w:r>
      <w:r w:rsidR="0092564B" w:rsidRPr="1BA8183D">
        <w:rPr>
          <w:lang w:val="en-GB"/>
        </w:rPr>
        <w:t xml:space="preserve">The financing gap is deepening inequalities </w:t>
      </w:r>
      <w:r w:rsidR="00CF25AB">
        <w:rPr>
          <w:lang w:val="en-GB"/>
        </w:rPr>
        <w:t xml:space="preserve">within and among countries, </w:t>
      </w:r>
      <w:r w:rsidR="00400F7F" w:rsidRPr="1BA8183D">
        <w:rPr>
          <w:lang w:val="en-GB"/>
        </w:rPr>
        <w:t>and undermine</w:t>
      </w:r>
      <w:r w:rsidR="6CC37A06" w:rsidRPr="1BA8183D">
        <w:rPr>
          <w:lang w:val="en-GB"/>
        </w:rPr>
        <w:t>s</w:t>
      </w:r>
      <w:r w:rsidR="00400F7F" w:rsidRPr="1BA8183D">
        <w:rPr>
          <w:lang w:val="en-GB"/>
        </w:rPr>
        <w:t xml:space="preserve"> efforts to address global challenges</w:t>
      </w:r>
      <w:r w:rsidR="005B004B" w:rsidRPr="1BA8183D">
        <w:rPr>
          <w:lang w:val="en-GB"/>
        </w:rPr>
        <w:t>.</w:t>
      </w:r>
      <w:r w:rsidR="00683F3B">
        <w:rPr>
          <w:lang w:val="en-GB"/>
        </w:rPr>
        <w:t xml:space="preserve"> </w:t>
      </w:r>
      <w:r w:rsidR="00345653" w:rsidRPr="1BA8183D">
        <w:rPr>
          <w:lang w:val="en-GB"/>
        </w:rPr>
        <w:t>Record levels of public debt</w:t>
      </w:r>
      <w:r w:rsidR="00A84034" w:rsidRPr="1BA8183D">
        <w:rPr>
          <w:lang w:val="en-GB"/>
        </w:rPr>
        <w:t xml:space="preserve">, </w:t>
      </w:r>
      <w:r w:rsidR="002829CD" w:rsidRPr="1BA8183D">
        <w:rPr>
          <w:lang w:val="en-GB"/>
        </w:rPr>
        <w:t xml:space="preserve">rising interest rates </w:t>
      </w:r>
      <w:r w:rsidR="002829CD">
        <w:rPr>
          <w:lang w:val="en-GB"/>
        </w:rPr>
        <w:t xml:space="preserve">and </w:t>
      </w:r>
      <w:r w:rsidR="00345653" w:rsidRPr="1BA8183D">
        <w:rPr>
          <w:lang w:val="en-GB"/>
        </w:rPr>
        <w:t xml:space="preserve">debt servicing costs are forcing many developing countries to </w:t>
      </w:r>
      <w:r w:rsidR="00E43CB1">
        <w:rPr>
          <w:lang w:val="en-GB"/>
        </w:rPr>
        <w:t xml:space="preserve">prioritize </w:t>
      </w:r>
      <w:r w:rsidR="00345653" w:rsidRPr="1BA8183D">
        <w:rPr>
          <w:lang w:val="en-GB"/>
        </w:rPr>
        <w:t xml:space="preserve">public debt </w:t>
      </w:r>
      <w:r w:rsidR="002D37BE">
        <w:rPr>
          <w:lang w:val="en-GB"/>
        </w:rPr>
        <w:t>payments</w:t>
      </w:r>
      <w:r w:rsidR="002D37BE" w:rsidRPr="1BA8183D">
        <w:rPr>
          <w:lang w:val="en-GB"/>
        </w:rPr>
        <w:t xml:space="preserve"> </w:t>
      </w:r>
      <w:r w:rsidR="00E43CB1">
        <w:rPr>
          <w:lang w:val="en-GB"/>
        </w:rPr>
        <w:t xml:space="preserve">over </w:t>
      </w:r>
      <w:r w:rsidR="00345653" w:rsidRPr="1BA8183D">
        <w:rPr>
          <w:lang w:val="en-GB"/>
        </w:rPr>
        <w:t>meeting their people’s rights to health, education and social protection.</w:t>
      </w:r>
      <w:r w:rsidR="00A02E04">
        <w:rPr>
          <w:rStyle w:val="FootnoteReference"/>
          <w:lang w:val="en-GB"/>
        </w:rPr>
        <w:footnoteReference w:id="5"/>
      </w:r>
      <w:r w:rsidR="00E013F6" w:rsidRPr="1BA8183D">
        <w:rPr>
          <w:lang w:val="en-GB"/>
        </w:rPr>
        <w:t xml:space="preserve"> </w:t>
      </w:r>
    </w:p>
    <w:p w14:paraId="0FCBC16E" w14:textId="50D422C6" w:rsidR="00386C93" w:rsidRPr="00222EE6" w:rsidRDefault="00386C93" w:rsidP="007F7E58">
      <w:pPr>
        <w:jc w:val="both"/>
        <w:rPr>
          <w:lang w:val="en-GB"/>
        </w:rPr>
      </w:pPr>
      <w:r>
        <w:rPr>
          <w:lang w:val="en-GB"/>
        </w:rPr>
        <w:t>A</w:t>
      </w:r>
      <w:r w:rsidRPr="1BA8183D">
        <w:rPr>
          <w:lang w:val="en-GB"/>
        </w:rPr>
        <w:t>ccess to development finance, including concessional financing,</w:t>
      </w:r>
      <w:r>
        <w:rPr>
          <w:lang w:val="en-GB"/>
        </w:rPr>
        <w:t xml:space="preserve"> </w:t>
      </w:r>
      <w:r w:rsidR="002D37BE">
        <w:rPr>
          <w:lang w:val="en-GB"/>
        </w:rPr>
        <w:t>remains inadequate</w:t>
      </w:r>
      <w:r>
        <w:rPr>
          <w:lang w:val="en-GB"/>
        </w:rPr>
        <w:t>,</w:t>
      </w:r>
      <w:r w:rsidRPr="1BA8183D">
        <w:rPr>
          <w:lang w:val="en-GB"/>
        </w:rPr>
        <w:t xml:space="preserve"> especially for countries in vulnerable situations. Though total</w:t>
      </w:r>
      <w:r w:rsidR="00175F3F">
        <w:rPr>
          <w:lang w:val="en-GB"/>
        </w:rPr>
        <w:t xml:space="preserve"> Official Development Assistance</w:t>
      </w:r>
      <w:r w:rsidRPr="1BA8183D">
        <w:rPr>
          <w:lang w:val="en-GB"/>
        </w:rPr>
        <w:t xml:space="preserve"> </w:t>
      </w:r>
      <w:r w:rsidR="00175F3F">
        <w:rPr>
          <w:lang w:val="en-GB"/>
        </w:rPr>
        <w:t>(</w:t>
      </w:r>
      <w:r w:rsidRPr="1BA8183D">
        <w:rPr>
          <w:lang w:val="en-GB"/>
        </w:rPr>
        <w:t>ODA</w:t>
      </w:r>
      <w:r w:rsidR="00175F3F">
        <w:rPr>
          <w:lang w:val="en-GB"/>
        </w:rPr>
        <w:t>)</w:t>
      </w:r>
      <w:r w:rsidRPr="1BA8183D">
        <w:rPr>
          <w:lang w:val="en-GB"/>
        </w:rPr>
        <w:t xml:space="preserve"> reached a record high of $223.7 billion in 2023, the share of ODA </w:t>
      </w:r>
      <w:r w:rsidR="00224E88">
        <w:rPr>
          <w:lang w:val="en-GB"/>
        </w:rPr>
        <w:t>to Gross National Income</w:t>
      </w:r>
      <w:r w:rsidRPr="1BA8183D">
        <w:rPr>
          <w:lang w:val="en-GB"/>
        </w:rPr>
        <w:t xml:space="preserve"> </w:t>
      </w:r>
      <w:r w:rsidR="00224E88">
        <w:rPr>
          <w:lang w:val="en-GB"/>
        </w:rPr>
        <w:t>(</w:t>
      </w:r>
      <w:r w:rsidRPr="1BA8183D">
        <w:rPr>
          <w:lang w:val="en-GB"/>
        </w:rPr>
        <w:t>GNI</w:t>
      </w:r>
      <w:r w:rsidR="00224E88">
        <w:rPr>
          <w:lang w:val="en-GB"/>
        </w:rPr>
        <w:t>)</w:t>
      </w:r>
      <w:r w:rsidRPr="1BA8183D">
        <w:rPr>
          <w:lang w:val="en-GB"/>
        </w:rPr>
        <w:t xml:space="preserve"> only reached 0.37%, far below the 0.7% target</w:t>
      </w:r>
      <w:r w:rsidR="00E80534">
        <w:rPr>
          <w:lang w:val="en-GB"/>
        </w:rPr>
        <w:t>, first agreed in 1970</w:t>
      </w:r>
      <w:r w:rsidRPr="1BA8183D">
        <w:rPr>
          <w:lang w:val="en-GB"/>
        </w:rPr>
        <w:t>.</w:t>
      </w:r>
      <w:r w:rsidR="00E80534">
        <w:rPr>
          <w:rStyle w:val="FootnoteReference"/>
          <w:lang w:val="en-GB"/>
        </w:rPr>
        <w:footnoteReference w:id="6"/>
      </w:r>
      <w:r w:rsidRPr="1BA8183D">
        <w:rPr>
          <w:lang w:val="en-GB"/>
        </w:rPr>
        <w:t xml:space="preserve"> Moreover, ODA flows to </w:t>
      </w:r>
      <w:r w:rsidR="005C2A58">
        <w:rPr>
          <w:lang w:val="en-GB"/>
        </w:rPr>
        <w:t>Least Developed Countries (</w:t>
      </w:r>
      <w:r w:rsidRPr="1BA8183D">
        <w:rPr>
          <w:lang w:val="en-GB"/>
        </w:rPr>
        <w:t>LDCs</w:t>
      </w:r>
      <w:r w:rsidR="005C2A58">
        <w:rPr>
          <w:lang w:val="en-GB"/>
        </w:rPr>
        <w:t>)</w:t>
      </w:r>
      <w:r w:rsidRPr="1BA8183D">
        <w:rPr>
          <w:lang w:val="en-GB"/>
        </w:rPr>
        <w:t xml:space="preserve"> have been trending downward to just above 0.05% of donors’ GNI, from 0.08% in 2009 and falling short of 0.15 to 0.20% commitment.</w:t>
      </w:r>
      <w:r w:rsidRPr="1BA8183D">
        <w:rPr>
          <w:rStyle w:val="FootnoteReference"/>
          <w:lang w:val="en-GB"/>
        </w:rPr>
        <w:footnoteReference w:id="7"/>
      </w:r>
      <w:r w:rsidRPr="1BA8183D">
        <w:rPr>
          <w:lang w:val="en-GB"/>
        </w:rPr>
        <w:t xml:space="preserve"> Financial flows to </w:t>
      </w:r>
      <w:r w:rsidR="00224E88">
        <w:rPr>
          <w:lang w:val="en-GB"/>
        </w:rPr>
        <w:t>Small Island Developing States (</w:t>
      </w:r>
      <w:r w:rsidRPr="1BA8183D">
        <w:rPr>
          <w:lang w:val="en-GB"/>
        </w:rPr>
        <w:t>SIDS</w:t>
      </w:r>
      <w:r w:rsidR="00224E88">
        <w:rPr>
          <w:lang w:val="en-GB"/>
        </w:rPr>
        <w:t>)</w:t>
      </w:r>
      <w:r w:rsidRPr="1BA8183D">
        <w:rPr>
          <w:lang w:val="en-GB"/>
        </w:rPr>
        <w:t xml:space="preserve"> have also been declining and SIDS most often receive funding immediately following exogenous shocks while struggl</w:t>
      </w:r>
      <w:r>
        <w:rPr>
          <w:lang w:val="en-GB"/>
        </w:rPr>
        <w:t>ing</w:t>
      </w:r>
      <w:r w:rsidRPr="1BA8183D">
        <w:rPr>
          <w:lang w:val="en-GB"/>
        </w:rPr>
        <w:t xml:space="preserve"> to access long-term and predictable funding to build resilience, accelerate growth and break the spiral of high debt.</w:t>
      </w:r>
      <w:r w:rsidRPr="1BA8183D">
        <w:rPr>
          <w:rStyle w:val="FootnoteReference"/>
          <w:lang w:val="en-GB"/>
        </w:rPr>
        <w:footnoteReference w:id="8"/>
      </w:r>
    </w:p>
    <w:p w14:paraId="16C84519" w14:textId="1B3E997C" w:rsidR="00386C93" w:rsidRPr="00222EE6" w:rsidRDefault="00386C93" w:rsidP="007F7E58">
      <w:pPr>
        <w:jc w:val="both"/>
        <w:rPr>
          <w:lang w:val="en-GB"/>
        </w:rPr>
      </w:pPr>
      <w:r w:rsidRPr="1BA8183D">
        <w:rPr>
          <w:lang w:val="en-GB"/>
        </w:rPr>
        <w:t xml:space="preserve">Additionally, developing countries lose significant resources due to tax </w:t>
      </w:r>
      <w:r w:rsidR="5CF5853A" w:rsidRPr="74FD3405">
        <w:rPr>
          <w:lang w:val="en-GB"/>
        </w:rPr>
        <w:t xml:space="preserve">avoidance and </w:t>
      </w:r>
      <w:r w:rsidRPr="1BA8183D">
        <w:rPr>
          <w:lang w:val="en-GB"/>
        </w:rPr>
        <w:t>evasion and illicit financial flows, further constraining their capacity to invest in human rights and the SDGs. Countries around the world are losing $480 billion per year to global tax abuse by large multinational corporations and wealthy individuals.</w:t>
      </w:r>
      <w:r w:rsidR="008A3482">
        <w:rPr>
          <w:rStyle w:val="FootnoteReference"/>
          <w:lang w:val="en-GB"/>
        </w:rPr>
        <w:footnoteReference w:id="9"/>
      </w:r>
      <w:r w:rsidRPr="1BA8183D">
        <w:rPr>
          <w:lang w:val="en-GB"/>
        </w:rPr>
        <w:t xml:space="preserve"> When corporations and wealthy people avoid paying their fair share of taxes in the countries where they are due, the burden of taxes falls on the poor, deepening inequalities.</w:t>
      </w:r>
      <w:r w:rsidRPr="1BA8183D">
        <w:rPr>
          <w:rStyle w:val="FootnoteReference"/>
          <w:lang w:val="en-GB"/>
        </w:rPr>
        <w:footnoteReference w:id="10"/>
      </w:r>
      <w:r w:rsidRPr="1BA8183D">
        <w:rPr>
          <w:lang w:val="en-GB"/>
        </w:rPr>
        <w:t xml:space="preserve"> </w:t>
      </w:r>
    </w:p>
    <w:p w14:paraId="3C6ED654" w14:textId="1865EFDB" w:rsidR="00551657" w:rsidRPr="00222EE6" w:rsidRDefault="00A00D5B" w:rsidP="007F7E58">
      <w:pPr>
        <w:jc w:val="both"/>
        <w:rPr>
          <w:lang w:val="en-GB"/>
        </w:rPr>
      </w:pPr>
      <w:r w:rsidRPr="1BA8183D">
        <w:rPr>
          <w:lang w:val="en-GB"/>
        </w:rPr>
        <w:t xml:space="preserve">The international financial architecture, established decades ago, </w:t>
      </w:r>
      <w:r w:rsidR="00B64FD0" w:rsidRPr="1BA8183D">
        <w:rPr>
          <w:lang w:val="en-GB"/>
        </w:rPr>
        <w:t>is no longer fit for addressing</w:t>
      </w:r>
      <w:r w:rsidRPr="1BA8183D">
        <w:rPr>
          <w:lang w:val="en-GB"/>
        </w:rPr>
        <w:t xml:space="preserve"> today’s complex development challenges</w:t>
      </w:r>
      <w:r w:rsidR="00B64FD0" w:rsidRPr="1BA8183D">
        <w:rPr>
          <w:lang w:val="en-GB"/>
        </w:rPr>
        <w:t>. It</w:t>
      </w:r>
      <w:r w:rsidR="00F40EEF" w:rsidRPr="1BA8183D">
        <w:rPr>
          <w:lang w:val="en-GB"/>
        </w:rPr>
        <w:t xml:space="preserve"> has failed to offer a robust safety net</w:t>
      </w:r>
      <w:r w:rsidR="00252059" w:rsidRPr="1BA8183D">
        <w:rPr>
          <w:lang w:val="en-GB"/>
        </w:rPr>
        <w:t xml:space="preserve"> and to effectively support countries to meet </w:t>
      </w:r>
      <w:r w:rsidR="00F40EEF" w:rsidRPr="1BA8183D">
        <w:rPr>
          <w:lang w:val="en-GB"/>
        </w:rPr>
        <w:t>the challenges of financing sustainable development and recovering from multiple crises, including the COVID-19 pandemic, economic downturns, and climate disasters. T</w:t>
      </w:r>
      <w:r w:rsidR="00551657" w:rsidRPr="1BA8183D">
        <w:rPr>
          <w:lang w:val="en-GB"/>
        </w:rPr>
        <w:t>he lack of representation and voice of developing countries in global financial decision-making exacerbates existing inequalities and hampers their ability to shape policies that affect them. For example, 68 low- and middle-income countries, representing some 1.74 billion people (21.7% of the global population), have just 5.3% of the IMF’s votes.</w:t>
      </w:r>
      <w:r w:rsidR="003178FF">
        <w:rPr>
          <w:rStyle w:val="FootnoteReference"/>
          <w:lang w:val="en-GB"/>
        </w:rPr>
        <w:footnoteReference w:id="11"/>
      </w:r>
      <w:r w:rsidR="00551657" w:rsidRPr="1BA8183D">
        <w:rPr>
          <w:lang w:val="en-GB"/>
        </w:rPr>
        <w:t xml:space="preserve"> This means that these countries have little power to shape IMF policies, despite </w:t>
      </w:r>
      <w:r w:rsidR="35084AD0" w:rsidRPr="1BA8183D">
        <w:rPr>
          <w:lang w:val="en-GB"/>
        </w:rPr>
        <w:t>being</w:t>
      </w:r>
      <w:r w:rsidR="00551657" w:rsidRPr="1BA8183D">
        <w:rPr>
          <w:lang w:val="en-GB"/>
        </w:rPr>
        <w:t xml:space="preserve"> the ones most affected by those policies.</w:t>
      </w:r>
      <w:r w:rsidR="006D09CA" w:rsidRPr="1BA8183D">
        <w:rPr>
          <w:rStyle w:val="FootnoteReference"/>
          <w:lang w:val="en-GB"/>
        </w:rPr>
        <w:footnoteReference w:id="12"/>
      </w:r>
    </w:p>
    <w:p w14:paraId="5F1B4BFC" w14:textId="68C8164B" w:rsidR="00174569" w:rsidRPr="00222EE6" w:rsidRDefault="00174569" w:rsidP="007F7E58">
      <w:pPr>
        <w:pStyle w:val="Heading2"/>
        <w:jc w:val="both"/>
        <w:rPr>
          <w:i/>
          <w:iCs/>
          <w:lang w:val="en-GB"/>
        </w:rPr>
      </w:pPr>
      <w:r w:rsidRPr="1BA8183D">
        <w:rPr>
          <w:rFonts w:asciiTheme="minorHAnsi" w:hAnsiTheme="minorHAnsi" w:cstheme="minorBidi"/>
          <w:lang w:val="en-GB"/>
        </w:rPr>
        <w:t>Policy solutions</w:t>
      </w:r>
      <w:r w:rsidR="002F4A33" w:rsidRPr="1BA8183D">
        <w:rPr>
          <w:rFonts w:asciiTheme="minorHAnsi" w:hAnsiTheme="minorHAnsi" w:cstheme="minorBidi"/>
          <w:lang w:val="en-GB"/>
        </w:rPr>
        <w:t xml:space="preserve"> </w:t>
      </w:r>
    </w:p>
    <w:p w14:paraId="1B5A745E" w14:textId="35DE8A58" w:rsidR="00E029E9" w:rsidRPr="00222EE6" w:rsidRDefault="00090360" w:rsidP="007F7E58">
      <w:pPr>
        <w:jc w:val="both"/>
        <w:rPr>
          <w:lang w:val="en-GB"/>
        </w:rPr>
      </w:pPr>
      <w:r w:rsidRPr="62FDF60F">
        <w:rPr>
          <w:lang w:val="en-GB"/>
        </w:rPr>
        <w:t>To s</w:t>
      </w:r>
      <w:r w:rsidR="0002027F" w:rsidRPr="62FDF60F">
        <w:rPr>
          <w:lang w:val="en-GB"/>
        </w:rPr>
        <w:t>cale up access to timely, concessional and low-cost financial resources for developing countries, with a particular focus on countries with the greatest need and the lowest capacities to mobilize other sources of development finance</w:t>
      </w:r>
      <w:r w:rsidR="00962471" w:rsidRPr="62FDF60F">
        <w:rPr>
          <w:lang w:val="en-GB"/>
        </w:rPr>
        <w:t xml:space="preserve">, </w:t>
      </w:r>
      <w:r w:rsidR="0002027F" w:rsidRPr="62FDF60F">
        <w:rPr>
          <w:lang w:val="en-GB"/>
        </w:rPr>
        <w:t>multilateral development banks</w:t>
      </w:r>
      <w:r w:rsidR="00962471" w:rsidRPr="62FDF60F">
        <w:rPr>
          <w:lang w:val="en-GB"/>
        </w:rPr>
        <w:t xml:space="preserve"> (MDBs) should adopt</w:t>
      </w:r>
      <w:r w:rsidR="0002027F" w:rsidRPr="62FDF60F">
        <w:rPr>
          <w:lang w:val="en-GB"/>
        </w:rPr>
        <w:t xml:space="preserve"> lending criteria that are </w:t>
      </w:r>
      <w:r w:rsidR="1870D559" w:rsidRPr="62FDF60F">
        <w:rPr>
          <w:lang w:val="en-GB"/>
        </w:rPr>
        <w:t>aligned with human rights</w:t>
      </w:r>
      <w:r w:rsidR="00744363">
        <w:rPr>
          <w:lang w:val="en-GB"/>
        </w:rPr>
        <w:t xml:space="preserve">, including </w:t>
      </w:r>
      <w:r w:rsidR="0002027F" w:rsidRPr="62FDF60F">
        <w:rPr>
          <w:lang w:val="en-GB"/>
        </w:rPr>
        <w:t>the right to development</w:t>
      </w:r>
      <w:r w:rsidR="00744363">
        <w:rPr>
          <w:lang w:val="en-GB"/>
        </w:rPr>
        <w:t>,</w:t>
      </w:r>
      <w:r w:rsidR="0002027F" w:rsidRPr="62FDF60F">
        <w:rPr>
          <w:lang w:val="en-GB"/>
        </w:rPr>
        <w:t xml:space="preserve"> and encapsulate the weighting of vulnerability in all its dimensions. </w:t>
      </w:r>
      <w:r w:rsidR="00586ECC" w:rsidRPr="62FDF60F">
        <w:rPr>
          <w:lang w:val="en-GB"/>
        </w:rPr>
        <w:t xml:space="preserve">Member States </w:t>
      </w:r>
      <w:r w:rsidR="0002027F" w:rsidRPr="62FDF60F">
        <w:rPr>
          <w:lang w:val="en-GB"/>
        </w:rPr>
        <w:t xml:space="preserve">should commit to voluntary rechannelling of additional </w:t>
      </w:r>
      <w:r w:rsidR="0002027F" w:rsidRPr="62FDF60F">
        <w:rPr>
          <w:lang w:val="en-GB"/>
        </w:rPr>
        <w:lastRenderedPageBreak/>
        <w:t xml:space="preserve">SDRs to countries most in need, including through </w:t>
      </w:r>
      <w:r w:rsidR="00586ECC" w:rsidRPr="62FDF60F">
        <w:rPr>
          <w:lang w:val="en-GB"/>
        </w:rPr>
        <w:t>MDBs</w:t>
      </w:r>
      <w:r w:rsidR="0002027F" w:rsidRPr="62FDF60F">
        <w:rPr>
          <w:lang w:val="en-GB"/>
        </w:rPr>
        <w:t xml:space="preserve">, while respecting the relevant legal frameworks and preserving the reserve asset character of SDRs. </w:t>
      </w:r>
      <w:r w:rsidR="0002027F" w:rsidRPr="1BA8183D">
        <w:rPr>
          <w:lang w:val="en-GB"/>
        </w:rPr>
        <w:t xml:space="preserve">ODA donors </w:t>
      </w:r>
      <w:r w:rsidR="001E43D6">
        <w:rPr>
          <w:lang w:val="en-GB"/>
        </w:rPr>
        <w:t>need</w:t>
      </w:r>
      <w:r w:rsidR="0002027F" w:rsidRPr="1BA8183D">
        <w:rPr>
          <w:lang w:val="en-GB"/>
        </w:rPr>
        <w:t xml:space="preserve"> to step up efforts to meet their </w:t>
      </w:r>
      <w:r w:rsidR="0002027F" w:rsidRPr="00B12878">
        <w:rPr>
          <w:lang w:val="en-GB"/>
        </w:rPr>
        <w:t>ODA commitments</w:t>
      </w:r>
      <w:r w:rsidR="0002027F" w:rsidRPr="1BA8183D">
        <w:rPr>
          <w:lang w:val="en-GB"/>
        </w:rPr>
        <w:t xml:space="preserve"> and increase </w:t>
      </w:r>
      <w:r w:rsidR="0002027F" w:rsidRPr="00B12878">
        <w:rPr>
          <w:lang w:val="en-GB"/>
        </w:rPr>
        <w:t>grant-based ODA</w:t>
      </w:r>
      <w:r w:rsidR="0002027F" w:rsidRPr="1BA8183D">
        <w:rPr>
          <w:lang w:val="en-GB"/>
        </w:rPr>
        <w:t xml:space="preserve"> to address the evolving priorities of developing countries. </w:t>
      </w:r>
    </w:p>
    <w:p w14:paraId="118558D2" w14:textId="77777777" w:rsidR="00C53A28" w:rsidRDefault="7BF33488" w:rsidP="007F7E58">
      <w:pPr>
        <w:jc w:val="both"/>
        <w:rPr>
          <w:lang w:val="en-GB"/>
        </w:rPr>
      </w:pPr>
      <w:r w:rsidRPr="1B9D4877">
        <w:rPr>
          <w:lang w:val="en-GB"/>
        </w:rPr>
        <w:t xml:space="preserve">International financial institutions should </w:t>
      </w:r>
      <w:r w:rsidR="16E1840B" w:rsidRPr="1B9D4877">
        <w:rPr>
          <w:lang w:val="en-GB"/>
        </w:rPr>
        <w:t>ensur</w:t>
      </w:r>
      <w:r w:rsidR="42240AAB" w:rsidRPr="1B9D4877">
        <w:rPr>
          <w:lang w:val="en-GB"/>
        </w:rPr>
        <w:t xml:space="preserve">e </w:t>
      </w:r>
      <w:r w:rsidR="16E1840B" w:rsidRPr="1B9D4877">
        <w:rPr>
          <w:lang w:val="en-GB"/>
        </w:rPr>
        <w:t xml:space="preserve">that their missions, policies, practices, metrics and internal incentives </w:t>
      </w:r>
      <w:r w:rsidR="69D6B6A9" w:rsidRPr="1B9D4877">
        <w:rPr>
          <w:lang w:val="en-GB"/>
        </w:rPr>
        <w:t xml:space="preserve">and monitoring and evaluation </w:t>
      </w:r>
      <w:r w:rsidR="16E1840B" w:rsidRPr="1B9D4877">
        <w:rPr>
          <w:lang w:val="en-GB"/>
        </w:rPr>
        <w:t>are aligned with human rights standards</w:t>
      </w:r>
      <w:r w:rsidR="68AFD3BD" w:rsidRPr="1B9D4877">
        <w:rPr>
          <w:lang w:val="en-GB"/>
        </w:rPr>
        <w:t>, including the right to development,</w:t>
      </w:r>
      <w:r w:rsidR="16E1840B" w:rsidRPr="1B9D4877">
        <w:rPr>
          <w:lang w:val="en-GB"/>
        </w:rPr>
        <w:t xml:space="preserve"> and do not undermine States’ obligations to invest in </w:t>
      </w:r>
      <w:r w:rsidR="1CFB530F" w:rsidRPr="1B9D4877">
        <w:rPr>
          <w:lang w:val="en-GB"/>
        </w:rPr>
        <w:t>human</w:t>
      </w:r>
      <w:r w:rsidR="16E1840B" w:rsidRPr="1B9D4877">
        <w:rPr>
          <w:lang w:val="en-GB"/>
        </w:rPr>
        <w:t xml:space="preserve"> rights</w:t>
      </w:r>
      <w:r w:rsidR="4D084327" w:rsidRPr="1B9D4877">
        <w:rPr>
          <w:lang w:val="en-GB"/>
        </w:rPr>
        <w:t xml:space="preserve">. </w:t>
      </w:r>
      <w:r w:rsidR="668418FD" w:rsidRPr="1B9D4877">
        <w:rPr>
          <w:lang w:val="en-GB"/>
        </w:rPr>
        <w:t>They should i</w:t>
      </w:r>
      <w:r w:rsidRPr="1B9D4877">
        <w:rPr>
          <w:lang w:val="en-GB"/>
        </w:rPr>
        <w:t>nclude human rights principles and responsibilities in risk analysis and due diligence processes and systematically conduct independent, participatory, informed, transparent</w:t>
      </w:r>
      <w:r w:rsidR="494751B8" w:rsidRPr="1B9D4877">
        <w:rPr>
          <w:lang w:val="en-GB"/>
        </w:rPr>
        <w:t>,</w:t>
      </w:r>
      <w:r w:rsidRPr="1B9D4877">
        <w:rPr>
          <w:lang w:val="en-GB"/>
        </w:rPr>
        <w:t xml:space="preserve"> age- and gender-sensitive human rights impact assessments integrated with or alongside environmental and social impact assessments prior to making decisions</w:t>
      </w:r>
      <w:r w:rsidR="668418FD" w:rsidRPr="1B9D4877">
        <w:rPr>
          <w:lang w:val="en-GB"/>
        </w:rPr>
        <w:t>.</w:t>
      </w:r>
      <w:r w:rsidR="58EEED29" w:rsidRPr="1B9D4877">
        <w:rPr>
          <w:lang w:val="en-GB"/>
        </w:rPr>
        <w:t xml:space="preserve"> </w:t>
      </w:r>
    </w:p>
    <w:p w14:paraId="1EE84EDC" w14:textId="4F628496" w:rsidR="002B695B" w:rsidRPr="00222EE6" w:rsidRDefault="668418FD" w:rsidP="007F7E58">
      <w:pPr>
        <w:jc w:val="both"/>
        <w:rPr>
          <w:lang w:val="en-GB"/>
        </w:rPr>
      </w:pPr>
      <w:r w:rsidRPr="1B9D4877">
        <w:rPr>
          <w:lang w:val="en-GB"/>
        </w:rPr>
        <w:t>D</w:t>
      </w:r>
      <w:r w:rsidR="7BF33488" w:rsidRPr="1B9D4877">
        <w:rPr>
          <w:lang w:val="en-GB"/>
        </w:rPr>
        <w:t xml:space="preserve">ue diligence, grievance redress, risk management and remedy frameworks </w:t>
      </w:r>
      <w:r w:rsidRPr="1B9D4877">
        <w:rPr>
          <w:lang w:val="en-GB"/>
        </w:rPr>
        <w:t xml:space="preserve">should be brought </w:t>
      </w:r>
      <w:r w:rsidR="7BF33488" w:rsidRPr="1B9D4877">
        <w:rPr>
          <w:lang w:val="en-GB"/>
        </w:rPr>
        <w:t>into alignment with the Guiding Principles on Business and Human Rights as part of a broader effort to mainstream human rights within the</w:t>
      </w:r>
      <w:r w:rsidRPr="1B9D4877">
        <w:rPr>
          <w:lang w:val="en-GB"/>
        </w:rPr>
        <w:t>ir</w:t>
      </w:r>
      <w:r w:rsidR="7BF33488" w:rsidRPr="1B9D4877">
        <w:rPr>
          <w:lang w:val="en-GB"/>
        </w:rPr>
        <w:t xml:space="preserve"> operations</w:t>
      </w:r>
      <w:r w:rsidRPr="1B9D4877">
        <w:rPr>
          <w:lang w:val="en-GB"/>
        </w:rPr>
        <w:t>.</w:t>
      </w:r>
      <w:r w:rsidR="7BF33488" w:rsidRPr="1B9D4877">
        <w:rPr>
          <w:lang w:val="en-GB"/>
        </w:rPr>
        <w:t xml:space="preserve"> </w:t>
      </w:r>
      <w:r w:rsidR="6ADA91D5" w:rsidRPr="1B9D4877">
        <w:rPr>
          <w:lang w:val="en-GB"/>
        </w:rPr>
        <w:t>Areas for reform</w:t>
      </w:r>
      <w:r w:rsidR="672403E3" w:rsidRPr="1B9D4877">
        <w:rPr>
          <w:lang w:val="en-GB"/>
        </w:rPr>
        <w:t xml:space="preserve"> of the governance and operations of IFIs</w:t>
      </w:r>
      <w:r w:rsidR="6ADA91D5" w:rsidRPr="1B9D4877">
        <w:rPr>
          <w:lang w:val="en-GB"/>
        </w:rPr>
        <w:t xml:space="preserve"> include updating IMF quota formulas to increase representation of developing countries, reforming voting rights and decision-making rules to make them more democratic, separating access to resources from quotas, and improving institutional transparency and gender representation in governance structures.</w:t>
      </w:r>
    </w:p>
    <w:p w14:paraId="3C2F55C9" w14:textId="6C6BC055" w:rsidR="009344B7" w:rsidRPr="007C76BE" w:rsidRDefault="658A7E64" w:rsidP="007F7E58">
      <w:pPr>
        <w:pStyle w:val="NormalWeb"/>
        <w:spacing w:line="259" w:lineRule="auto"/>
        <w:jc w:val="both"/>
        <w:rPr>
          <w:rFonts w:asciiTheme="minorHAnsi" w:eastAsiaTheme="minorEastAsia" w:hAnsiTheme="minorHAnsi" w:cstheme="minorBidi"/>
          <w:kern w:val="2"/>
          <w:sz w:val="22"/>
          <w:szCs w:val="22"/>
          <w:lang w:eastAsia="zh-CN"/>
          <w14:ligatures w14:val="standardContextual"/>
        </w:rPr>
      </w:pPr>
      <w:r w:rsidRPr="1B9D4877">
        <w:rPr>
          <w:rFonts w:asciiTheme="minorHAnsi" w:eastAsiaTheme="minorEastAsia" w:hAnsiTheme="minorHAnsi" w:cstheme="minorBidi"/>
          <w:kern w:val="2"/>
          <w:sz w:val="22"/>
          <w:szCs w:val="22"/>
          <w:lang w:eastAsia="zh-CN"/>
          <w14:ligatures w14:val="standardContextual"/>
        </w:rPr>
        <w:t>I</w:t>
      </w:r>
      <w:r w:rsidR="2F0EC2C9" w:rsidRPr="1B9D4877">
        <w:rPr>
          <w:rFonts w:asciiTheme="minorHAnsi" w:eastAsiaTheme="minorEastAsia" w:hAnsiTheme="minorHAnsi" w:cstheme="minorBidi"/>
          <w:kern w:val="2"/>
          <w:sz w:val="22"/>
          <w:szCs w:val="22"/>
          <w:lang w:eastAsia="zh-CN"/>
          <w14:ligatures w14:val="standardContextual"/>
        </w:rPr>
        <w:t xml:space="preserve">nternational tax cooperation is needed </w:t>
      </w:r>
      <w:r w:rsidRPr="1B9D4877">
        <w:rPr>
          <w:rFonts w:asciiTheme="minorHAnsi" w:eastAsiaTheme="minorEastAsia" w:hAnsiTheme="minorHAnsi" w:cstheme="minorBidi"/>
          <w:kern w:val="2"/>
          <w:sz w:val="22"/>
          <w:szCs w:val="22"/>
          <w:lang w:eastAsia="zh-CN"/>
          <w14:ligatures w14:val="standardContextual"/>
        </w:rPr>
        <w:t xml:space="preserve">to create a fairer, more </w:t>
      </w:r>
      <w:r w:rsidR="3ABCEDD3" w:rsidRPr="1B9D4877">
        <w:rPr>
          <w:rFonts w:asciiTheme="minorHAnsi" w:eastAsiaTheme="minorEastAsia" w:hAnsiTheme="minorHAnsi" w:cstheme="minorBidi"/>
          <w:kern w:val="2"/>
          <w:sz w:val="22"/>
          <w:szCs w:val="22"/>
          <w:lang w:eastAsia="zh-CN"/>
          <w14:ligatures w14:val="standardContextual"/>
        </w:rPr>
        <w:t xml:space="preserve">effective and </w:t>
      </w:r>
      <w:r w:rsidRPr="1B9D4877">
        <w:rPr>
          <w:rFonts w:asciiTheme="minorHAnsi" w:eastAsiaTheme="minorEastAsia" w:hAnsiTheme="minorHAnsi" w:cstheme="minorBidi"/>
          <w:kern w:val="2"/>
          <w:sz w:val="22"/>
          <w:szCs w:val="22"/>
          <w:lang w:eastAsia="zh-CN"/>
          <w14:ligatures w14:val="standardContextual"/>
        </w:rPr>
        <w:t xml:space="preserve">inclusive, participatory and transparent global tax system </w:t>
      </w:r>
      <w:r w:rsidR="64FBAA88" w:rsidRPr="1B9D4877">
        <w:rPr>
          <w:rFonts w:asciiTheme="minorHAnsi" w:eastAsiaTheme="minorEastAsia" w:hAnsiTheme="minorHAnsi" w:cstheme="minorBidi"/>
          <w:kern w:val="2"/>
          <w:sz w:val="22"/>
          <w:szCs w:val="22"/>
          <w:lang w:eastAsia="zh-CN"/>
          <w14:ligatures w14:val="standardContextual"/>
        </w:rPr>
        <w:t>that ensures</w:t>
      </w:r>
      <w:r w:rsidR="6EA932FA" w:rsidRPr="1B9D4877">
        <w:rPr>
          <w:rFonts w:asciiTheme="minorHAnsi" w:eastAsiaTheme="minorEastAsia" w:hAnsiTheme="minorHAnsi" w:cstheme="minorBidi"/>
          <w:kern w:val="2"/>
          <w:sz w:val="22"/>
          <w:szCs w:val="22"/>
          <w:lang w:eastAsia="zh-CN"/>
          <w14:ligatures w14:val="standardContextual"/>
        </w:rPr>
        <w:t xml:space="preserve"> equitable distribution of global resources and </w:t>
      </w:r>
      <w:r w:rsidR="3AB77AE3" w:rsidRPr="1B9D4877">
        <w:rPr>
          <w:rFonts w:asciiTheme="minorHAnsi" w:eastAsiaTheme="minorEastAsia" w:hAnsiTheme="minorHAnsi" w:cstheme="minorBidi"/>
          <w:kern w:val="2"/>
          <w:sz w:val="22"/>
          <w:szCs w:val="22"/>
          <w:lang w:eastAsia="zh-CN"/>
          <w14:ligatures w14:val="standardContextual"/>
        </w:rPr>
        <w:t xml:space="preserve">a fairer sharing </w:t>
      </w:r>
      <w:r w:rsidR="1644D1F9" w:rsidRPr="1B9D4877">
        <w:rPr>
          <w:rFonts w:asciiTheme="minorHAnsi" w:eastAsiaTheme="minorEastAsia" w:hAnsiTheme="minorHAnsi" w:cstheme="minorBidi"/>
          <w:kern w:val="2"/>
          <w:sz w:val="22"/>
          <w:szCs w:val="22"/>
          <w:lang w:eastAsia="zh-CN"/>
          <w14:ligatures w14:val="standardContextual"/>
        </w:rPr>
        <w:t xml:space="preserve">of </w:t>
      </w:r>
      <w:r w:rsidR="4AE46375" w:rsidRPr="1B9D4877">
        <w:rPr>
          <w:rFonts w:asciiTheme="minorHAnsi" w:eastAsiaTheme="minorEastAsia" w:hAnsiTheme="minorHAnsi" w:cstheme="minorBidi"/>
          <w:kern w:val="2"/>
          <w:sz w:val="22"/>
          <w:szCs w:val="22"/>
          <w:lang w:eastAsia="zh-CN"/>
          <w14:ligatures w14:val="standardContextual"/>
        </w:rPr>
        <w:t xml:space="preserve">the </w:t>
      </w:r>
      <w:r w:rsidR="1644D1F9" w:rsidRPr="1B9D4877">
        <w:rPr>
          <w:rFonts w:asciiTheme="minorHAnsi" w:eastAsiaTheme="minorEastAsia" w:hAnsiTheme="minorHAnsi" w:cstheme="minorBidi"/>
          <w:kern w:val="2"/>
          <w:sz w:val="22"/>
          <w:szCs w:val="22"/>
          <w:lang w:eastAsia="zh-CN"/>
          <w14:ligatures w14:val="standardContextual"/>
        </w:rPr>
        <w:t>benefits</w:t>
      </w:r>
      <w:r w:rsidR="338E0CDF" w:rsidRPr="1B9D4877">
        <w:rPr>
          <w:rFonts w:asciiTheme="minorHAnsi" w:eastAsiaTheme="minorEastAsia" w:hAnsiTheme="minorHAnsi" w:cstheme="minorBidi"/>
          <w:kern w:val="2"/>
          <w:sz w:val="22"/>
          <w:szCs w:val="22"/>
          <w:lang w:eastAsia="zh-CN"/>
          <w14:ligatures w14:val="standardContextual"/>
        </w:rPr>
        <w:t xml:space="preserve"> of development that </w:t>
      </w:r>
      <w:r w:rsidR="006C3C61" w:rsidRPr="1B9D4877">
        <w:rPr>
          <w:rFonts w:asciiTheme="minorHAnsi" w:eastAsiaTheme="minorEastAsia" w:hAnsiTheme="minorHAnsi" w:cstheme="minorBidi"/>
          <w:kern w:val="2"/>
          <w:sz w:val="22"/>
          <w:szCs w:val="22"/>
          <w:lang w:eastAsia="zh-CN"/>
          <w14:ligatures w14:val="standardContextual"/>
        </w:rPr>
        <w:t>strengthens</w:t>
      </w:r>
      <w:r w:rsidR="338E0CDF" w:rsidRPr="1B9D4877">
        <w:rPr>
          <w:rFonts w:asciiTheme="minorHAnsi" w:eastAsiaTheme="minorEastAsia" w:hAnsiTheme="minorHAnsi" w:cstheme="minorBidi"/>
          <w:kern w:val="2"/>
          <w:sz w:val="22"/>
          <w:szCs w:val="22"/>
          <w:lang w:eastAsia="zh-CN"/>
          <w14:ligatures w14:val="standardContextual"/>
        </w:rPr>
        <w:t xml:space="preserve"> countries capacity to invest in the realization of </w:t>
      </w:r>
      <w:r w:rsidR="009B692F">
        <w:rPr>
          <w:rFonts w:asciiTheme="minorHAnsi" w:eastAsiaTheme="minorEastAsia" w:hAnsiTheme="minorHAnsi" w:cstheme="minorBidi"/>
          <w:kern w:val="2"/>
          <w:sz w:val="22"/>
          <w:szCs w:val="22"/>
          <w:lang w:eastAsia="zh-CN"/>
          <w14:ligatures w14:val="standardContextual"/>
        </w:rPr>
        <w:t xml:space="preserve">all </w:t>
      </w:r>
      <w:r w:rsidR="338E0CDF" w:rsidRPr="1B9D4877">
        <w:rPr>
          <w:rFonts w:asciiTheme="minorHAnsi" w:eastAsiaTheme="minorEastAsia" w:hAnsiTheme="minorHAnsi" w:cstheme="minorBidi"/>
          <w:kern w:val="2"/>
          <w:sz w:val="22"/>
          <w:szCs w:val="22"/>
          <w:lang w:eastAsia="zh-CN"/>
          <w14:ligatures w14:val="standardContextual"/>
        </w:rPr>
        <w:t xml:space="preserve">human </w:t>
      </w:r>
      <w:r w:rsidR="006C3C61" w:rsidRPr="1B9D4877">
        <w:rPr>
          <w:rFonts w:asciiTheme="minorHAnsi" w:eastAsiaTheme="minorEastAsia" w:hAnsiTheme="minorHAnsi" w:cstheme="minorBidi"/>
          <w:kern w:val="2"/>
          <w:sz w:val="22"/>
          <w:szCs w:val="22"/>
          <w:lang w:eastAsia="zh-CN"/>
          <w14:ligatures w14:val="standardContextual"/>
        </w:rPr>
        <w:t>rights.</w:t>
      </w:r>
      <w:r w:rsidR="2F0EC2C9" w:rsidRPr="1B9D4877">
        <w:rPr>
          <w:rFonts w:asciiTheme="minorHAnsi" w:eastAsiaTheme="minorEastAsia" w:hAnsiTheme="minorHAnsi" w:cstheme="minorBidi"/>
          <w:kern w:val="2"/>
          <w:sz w:val="22"/>
          <w:szCs w:val="22"/>
          <w:lang w:eastAsia="zh-CN"/>
          <w14:ligatures w14:val="standardContextual"/>
        </w:rPr>
        <w:t xml:space="preserve"> </w:t>
      </w:r>
      <w:r w:rsidR="7523220B" w:rsidRPr="1B9D4877">
        <w:rPr>
          <w:rFonts w:asciiTheme="minorHAnsi" w:eastAsiaTheme="minorEastAsia" w:hAnsiTheme="minorHAnsi" w:cstheme="minorBidi"/>
          <w:kern w:val="2"/>
          <w:sz w:val="22"/>
          <w:szCs w:val="22"/>
          <w:lang w:eastAsia="zh-CN"/>
          <w14:ligatures w14:val="standardContextual"/>
        </w:rPr>
        <w:t xml:space="preserve">Key recommendations </w:t>
      </w:r>
      <w:r w:rsidR="075CD718" w:rsidRPr="1B9D4877">
        <w:rPr>
          <w:rFonts w:asciiTheme="minorHAnsi" w:eastAsiaTheme="minorEastAsia" w:hAnsiTheme="minorHAnsi" w:cstheme="minorBidi"/>
          <w:kern w:val="2"/>
          <w:sz w:val="22"/>
          <w:szCs w:val="22"/>
          <w:lang w:eastAsia="zh-CN"/>
          <w14:ligatures w14:val="standardContextual"/>
        </w:rPr>
        <w:t>include</w:t>
      </w:r>
      <w:r w:rsidR="2007040D" w:rsidRPr="1B9D4877">
        <w:rPr>
          <w:rFonts w:asciiTheme="minorHAnsi" w:eastAsiaTheme="minorEastAsia" w:hAnsiTheme="minorHAnsi" w:cstheme="minorBidi"/>
          <w:kern w:val="2"/>
          <w:sz w:val="22"/>
          <w:szCs w:val="22"/>
          <w:lang w:eastAsia="zh-CN"/>
          <w14:ligatures w14:val="standardContextual"/>
        </w:rPr>
        <w:t>:</w:t>
      </w:r>
      <w:r w:rsidR="075CD718" w:rsidRPr="1B9D4877">
        <w:rPr>
          <w:rFonts w:asciiTheme="minorHAnsi" w:eastAsiaTheme="minorEastAsia" w:hAnsiTheme="minorHAnsi" w:cstheme="minorBidi"/>
          <w:kern w:val="2"/>
          <w:sz w:val="22"/>
          <w:szCs w:val="22"/>
          <w:lang w:eastAsia="zh-CN"/>
          <w14:ligatures w14:val="standardContextual"/>
        </w:rPr>
        <w:t xml:space="preserve"> integrating human rights </w:t>
      </w:r>
      <w:r w:rsidR="3814A5E7" w:rsidRPr="1B9D4877">
        <w:rPr>
          <w:rFonts w:asciiTheme="minorHAnsi" w:eastAsiaTheme="minorEastAsia" w:hAnsiTheme="minorHAnsi" w:cstheme="minorBidi"/>
          <w:kern w:val="2"/>
          <w:sz w:val="22"/>
          <w:szCs w:val="22"/>
          <w:lang w:eastAsia="zh-CN"/>
          <w14:ligatures w14:val="standardContextual"/>
        </w:rPr>
        <w:t>as a key principle</w:t>
      </w:r>
      <w:r w:rsidR="0A152D79" w:rsidRPr="1B9D4877">
        <w:rPr>
          <w:rFonts w:asciiTheme="minorHAnsi" w:eastAsiaTheme="minorEastAsia" w:hAnsiTheme="minorHAnsi" w:cstheme="minorBidi"/>
          <w:kern w:val="2"/>
          <w:sz w:val="22"/>
          <w:szCs w:val="22"/>
          <w:lang w:eastAsia="zh-CN"/>
          <w14:ligatures w14:val="standardContextual"/>
        </w:rPr>
        <w:t xml:space="preserve"> of the</w:t>
      </w:r>
      <w:r w:rsidR="075CD718" w:rsidRPr="1B9D4877">
        <w:rPr>
          <w:rFonts w:asciiTheme="minorHAnsi" w:eastAsiaTheme="minorEastAsia" w:hAnsiTheme="minorHAnsi" w:cstheme="minorBidi"/>
          <w:kern w:val="2"/>
          <w:sz w:val="22"/>
          <w:szCs w:val="22"/>
          <w:lang w:eastAsia="zh-CN"/>
          <w14:ligatures w14:val="standardContextual"/>
        </w:rPr>
        <w:t xml:space="preserve"> United Nations framework convention on international tax cooperation</w:t>
      </w:r>
      <w:r w:rsidR="19616860" w:rsidRPr="1B9D4877">
        <w:rPr>
          <w:rFonts w:asciiTheme="minorHAnsi" w:eastAsiaTheme="minorEastAsia" w:hAnsiTheme="minorHAnsi" w:cstheme="minorBidi"/>
          <w:kern w:val="2"/>
          <w:sz w:val="22"/>
          <w:szCs w:val="22"/>
          <w:lang w:eastAsia="zh-CN"/>
          <w14:ligatures w14:val="standardContextual"/>
        </w:rPr>
        <w:t>, in line with the draft TOR</w:t>
      </w:r>
      <w:r w:rsidR="2007040D" w:rsidRPr="1B9D4877">
        <w:rPr>
          <w:rFonts w:asciiTheme="minorHAnsi" w:eastAsiaTheme="minorEastAsia" w:hAnsiTheme="minorHAnsi" w:cstheme="minorBidi"/>
          <w:kern w:val="2"/>
          <w:sz w:val="22"/>
          <w:szCs w:val="22"/>
          <w:lang w:eastAsia="zh-CN"/>
          <w14:ligatures w14:val="standardContextual"/>
        </w:rPr>
        <w:t>;</w:t>
      </w:r>
      <w:r w:rsidR="3FE998D2" w:rsidRPr="1B9D4877">
        <w:rPr>
          <w:rFonts w:asciiTheme="minorHAnsi" w:eastAsiaTheme="minorEastAsia" w:hAnsiTheme="minorHAnsi" w:cstheme="minorBidi"/>
          <w:kern w:val="2"/>
          <w:sz w:val="22"/>
          <w:szCs w:val="22"/>
          <w:lang w:eastAsia="zh-CN"/>
          <w14:ligatures w14:val="standardContextual"/>
        </w:rPr>
        <w:t xml:space="preserve"> establishing a more effective, inclusive and representative body on international tax cooperation </w:t>
      </w:r>
      <w:r w:rsidR="51DD175B" w:rsidRPr="1B9D4877">
        <w:rPr>
          <w:rFonts w:asciiTheme="minorHAnsi" w:eastAsiaTheme="minorEastAsia" w:hAnsiTheme="minorHAnsi" w:cstheme="minorBidi"/>
          <w:kern w:val="2"/>
          <w:sz w:val="22"/>
          <w:szCs w:val="22"/>
          <w:lang w:eastAsia="zh-CN"/>
          <w14:ligatures w14:val="standardContextual"/>
        </w:rPr>
        <w:t xml:space="preserve">under the auspices </w:t>
      </w:r>
      <w:r w:rsidR="3FE998D2" w:rsidRPr="1B9D4877">
        <w:rPr>
          <w:rFonts w:asciiTheme="minorHAnsi" w:eastAsiaTheme="minorEastAsia" w:hAnsiTheme="minorHAnsi" w:cstheme="minorBidi"/>
          <w:kern w:val="2"/>
          <w:sz w:val="22"/>
          <w:szCs w:val="22"/>
          <w:lang w:eastAsia="zh-CN"/>
          <w14:ligatures w14:val="standardContextual"/>
        </w:rPr>
        <w:t>of the UN</w:t>
      </w:r>
      <w:r w:rsidR="58B95157" w:rsidRPr="1B9D4877">
        <w:rPr>
          <w:rFonts w:asciiTheme="minorHAnsi" w:eastAsiaTheme="minorEastAsia" w:hAnsiTheme="minorHAnsi" w:cstheme="minorBidi"/>
          <w:kern w:val="2"/>
          <w:sz w:val="22"/>
          <w:szCs w:val="22"/>
          <w:lang w:eastAsia="zh-CN"/>
          <w14:ligatures w14:val="standardContextual"/>
        </w:rPr>
        <w:t xml:space="preserve"> </w:t>
      </w:r>
      <w:r w:rsidR="006C3C61" w:rsidRPr="1B9D4877">
        <w:rPr>
          <w:rFonts w:asciiTheme="minorHAnsi" w:eastAsiaTheme="minorEastAsia" w:hAnsiTheme="minorHAnsi" w:cstheme="minorBidi"/>
          <w:kern w:val="2"/>
          <w:sz w:val="22"/>
          <w:szCs w:val="22"/>
          <w:lang w:eastAsia="zh-CN"/>
          <w14:ligatures w14:val="standardContextual"/>
        </w:rPr>
        <w:t>with</w:t>
      </w:r>
      <w:r w:rsidR="58B95157" w:rsidRPr="1B9D4877">
        <w:rPr>
          <w:rFonts w:asciiTheme="minorHAnsi" w:eastAsiaTheme="minorEastAsia" w:hAnsiTheme="minorHAnsi" w:cstheme="minorBidi"/>
          <w:kern w:val="2"/>
          <w:sz w:val="22"/>
          <w:szCs w:val="22"/>
          <w:lang w:eastAsia="zh-CN"/>
          <w14:ligatures w14:val="standardContextual"/>
        </w:rPr>
        <w:t xml:space="preserve"> representation of all Member States</w:t>
      </w:r>
      <w:r w:rsidR="2007040D" w:rsidRPr="1B9D4877">
        <w:rPr>
          <w:rFonts w:asciiTheme="minorHAnsi" w:eastAsiaTheme="minorEastAsia" w:hAnsiTheme="minorHAnsi" w:cstheme="minorBidi"/>
          <w:kern w:val="2"/>
          <w:sz w:val="22"/>
          <w:szCs w:val="22"/>
          <w:lang w:eastAsia="zh-CN"/>
          <w14:ligatures w14:val="standardContextual"/>
        </w:rPr>
        <w:t>;</w:t>
      </w:r>
      <w:r w:rsidR="216231BD" w:rsidRPr="1B9D4877">
        <w:rPr>
          <w:rFonts w:asciiTheme="minorHAnsi" w:eastAsiaTheme="minorEastAsia" w:hAnsiTheme="minorHAnsi" w:cstheme="minorBidi"/>
          <w:kern w:val="2"/>
          <w:sz w:val="22"/>
          <w:szCs w:val="22"/>
          <w:lang w:eastAsia="zh-CN"/>
          <w14:ligatures w14:val="standardContextual"/>
        </w:rPr>
        <w:t xml:space="preserve"> </w:t>
      </w:r>
      <w:r w:rsidR="5DE6BD1B" w:rsidRPr="1B9D4877">
        <w:rPr>
          <w:rFonts w:asciiTheme="minorHAnsi" w:eastAsiaTheme="minorEastAsia" w:hAnsiTheme="minorHAnsi" w:cstheme="minorBidi"/>
          <w:kern w:val="2"/>
          <w:sz w:val="22"/>
          <w:szCs w:val="22"/>
          <w:lang w:eastAsia="zh-CN"/>
          <w14:ligatures w14:val="standardContextual"/>
        </w:rPr>
        <w:t xml:space="preserve">ensuring </w:t>
      </w:r>
      <w:r w:rsidR="3FE998D2" w:rsidRPr="1B9D4877">
        <w:rPr>
          <w:rFonts w:asciiTheme="minorHAnsi" w:eastAsiaTheme="minorEastAsia" w:hAnsiTheme="minorHAnsi" w:cstheme="minorBidi"/>
          <w:kern w:val="2"/>
          <w:sz w:val="22"/>
          <w:szCs w:val="22"/>
          <w:lang w:eastAsia="zh-CN"/>
          <w14:ligatures w14:val="standardContextual"/>
        </w:rPr>
        <w:t>a fairer allocation of taxing rights to developing countries and higher global minimum corporate tax rate to thwart the “race to the bottom</w:t>
      </w:r>
      <w:r w:rsidR="5DE6BD1B" w:rsidRPr="1B9D4877">
        <w:rPr>
          <w:rFonts w:asciiTheme="minorHAnsi" w:eastAsiaTheme="minorEastAsia" w:hAnsiTheme="minorHAnsi" w:cstheme="minorBidi"/>
          <w:kern w:val="2"/>
          <w:sz w:val="22"/>
          <w:szCs w:val="22"/>
          <w:lang w:eastAsia="zh-CN"/>
          <w14:ligatures w14:val="standardContextual"/>
        </w:rPr>
        <w:t>”, and conducting</w:t>
      </w:r>
      <w:r w:rsidR="2007040D" w:rsidRPr="1B9D4877">
        <w:rPr>
          <w:rFonts w:asciiTheme="minorHAnsi" w:eastAsiaTheme="minorEastAsia" w:hAnsiTheme="minorHAnsi" w:cstheme="minorBidi"/>
          <w:kern w:val="2"/>
          <w:sz w:val="22"/>
          <w:szCs w:val="22"/>
          <w:lang w:eastAsia="zh-CN"/>
          <w14:ligatures w14:val="standardContextual"/>
        </w:rPr>
        <w:t xml:space="preserve"> a human rights impact assessment of the two-pillar approach of OECD and the </w:t>
      </w:r>
      <w:r w:rsidR="06E38A61" w:rsidRPr="1B9D4877">
        <w:rPr>
          <w:rFonts w:asciiTheme="minorHAnsi" w:eastAsiaTheme="minorEastAsia" w:hAnsiTheme="minorHAnsi" w:cstheme="minorBidi"/>
          <w:kern w:val="2"/>
          <w:sz w:val="22"/>
          <w:szCs w:val="22"/>
          <w:lang w:eastAsia="zh-CN"/>
          <w14:ligatures w14:val="standardContextual"/>
        </w:rPr>
        <w:t>G20</w:t>
      </w:r>
      <w:r w:rsidR="2007040D" w:rsidRPr="1B9D4877">
        <w:rPr>
          <w:rFonts w:asciiTheme="minorHAnsi" w:eastAsiaTheme="minorEastAsia" w:hAnsiTheme="minorHAnsi" w:cstheme="minorBidi"/>
          <w:kern w:val="2"/>
          <w:sz w:val="22"/>
          <w:szCs w:val="22"/>
          <w:lang w:eastAsia="zh-CN"/>
          <w14:ligatures w14:val="standardContextual"/>
        </w:rPr>
        <w:t xml:space="preserve">. </w:t>
      </w:r>
      <w:r w:rsidR="78AD8D5F" w:rsidRPr="1B9D4877">
        <w:rPr>
          <w:rFonts w:asciiTheme="minorHAnsi" w:eastAsiaTheme="minorEastAsia" w:hAnsiTheme="minorHAnsi" w:cstheme="minorBidi"/>
          <w:kern w:val="2"/>
          <w:sz w:val="22"/>
          <w:szCs w:val="22"/>
          <w:lang w:eastAsia="zh-CN"/>
          <w14:ligatures w14:val="standardContextual"/>
        </w:rPr>
        <w:t>Member States should also</w:t>
      </w:r>
      <w:r w:rsidR="792E5A82" w:rsidRPr="1B9D4877">
        <w:rPr>
          <w:rFonts w:asciiTheme="minorHAnsi" w:eastAsiaTheme="minorEastAsia" w:hAnsiTheme="minorHAnsi" w:cstheme="minorBidi"/>
          <w:kern w:val="2"/>
          <w:sz w:val="22"/>
          <w:szCs w:val="22"/>
          <w:lang w:eastAsia="zh-CN"/>
          <w14:ligatures w14:val="standardContextual"/>
        </w:rPr>
        <w:t>:</w:t>
      </w:r>
      <w:r w:rsidR="78AD8D5F" w:rsidRPr="1B9D4877">
        <w:rPr>
          <w:rFonts w:asciiTheme="minorHAnsi" w:eastAsiaTheme="minorEastAsia" w:hAnsiTheme="minorHAnsi" w:cstheme="minorBidi"/>
          <w:kern w:val="2"/>
          <w:sz w:val="22"/>
          <w:szCs w:val="22"/>
          <w:lang w:eastAsia="zh-CN"/>
          <w14:ligatures w14:val="standardContextual"/>
        </w:rPr>
        <w:t xml:space="preserve"> </w:t>
      </w:r>
      <w:r w:rsidR="792E5A82" w:rsidRPr="1B9D4877">
        <w:rPr>
          <w:rFonts w:asciiTheme="minorHAnsi" w:eastAsiaTheme="minorEastAsia" w:hAnsiTheme="minorHAnsi" w:cstheme="minorBidi"/>
          <w:kern w:val="2"/>
          <w:sz w:val="22"/>
          <w:szCs w:val="22"/>
          <w:lang w:eastAsia="zh-CN"/>
          <w14:ligatures w14:val="standardContextual"/>
        </w:rPr>
        <w:t>strengthen the automatic exchange of tax and financial information among the competent authorities; implement public beneficial ownership registers for legal entities, assets and arrangements, to include information on the identities of true owners, shareholders and corporate structures; (implement public, country-by-country reporting of taxes paid and other related financial information by multinational companies;</w:t>
      </w:r>
      <w:r w:rsidR="5CA2027C" w:rsidRPr="1B9D4877">
        <w:rPr>
          <w:rFonts w:asciiTheme="minorHAnsi" w:eastAsiaTheme="minorEastAsia" w:hAnsiTheme="minorHAnsi" w:cstheme="minorBidi"/>
          <w:kern w:val="2"/>
          <w:sz w:val="22"/>
          <w:szCs w:val="22"/>
          <w:lang w:eastAsia="zh-CN"/>
          <w14:ligatures w14:val="standardContextual"/>
        </w:rPr>
        <w:t xml:space="preserve"> and</w:t>
      </w:r>
      <w:r w:rsidR="792E5A82" w:rsidRPr="1B9D4877">
        <w:rPr>
          <w:rFonts w:asciiTheme="minorHAnsi" w:eastAsiaTheme="minorEastAsia" w:hAnsiTheme="minorHAnsi" w:cstheme="minorBidi"/>
          <w:kern w:val="2"/>
          <w:sz w:val="22"/>
          <w:szCs w:val="22"/>
          <w:lang w:eastAsia="zh-CN"/>
          <w14:ligatures w14:val="standardContextual"/>
        </w:rPr>
        <w:t xml:space="preserve"> strengthen corporate due diligence, laws and regulation on investment, tax, banking and financial institutions to plug loopholes that allow</w:t>
      </w:r>
      <w:r w:rsidR="1D2B1B62" w:rsidRPr="1B9D4877">
        <w:rPr>
          <w:rFonts w:asciiTheme="minorHAnsi" w:eastAsiaTheme="minorEastAsia" w:hAnsiTheme="minorHAnsi" w:cstheme="minorBidi"/>
          <w:kern w:val="2"/>
          <w:sz w:val="22"/>
          <w:szCs w:val="22"/>
          <w:lang w:eastAsia="zh-CN"/>
          <w14:ligatures w14:val="standardContextual"/>
        </w:rPr>
        <w:t xml:space="preserve"> tax-related</w:t>
      </w:r>
      <w:r w:rsidR="792E5A82" w:rsidRPr="1B9D4877">
        <w:rPr>
          <w:rFonts w:asciiTheme="minorHAnsi" w:eastAsiaTheme="minorEastAsia" w:hAnsiTheme="minorHAnsi" w:cstheme="minorBidi"/>
          <w:kern w:val="2"/>
          <w:sz w:val="22"/>
          <w:szCs w:val="22"/>
          <w:lang w:eastAsia="zh-CN"/>
          <w14:ligatures w14:val="standardContextual"/>
        </w:rPr>
        <w:t xml:space="preserve"> illicit financial flows</w:t>
      </w:r>
      <w:r w:rsidR="68D5D42C" w:rsidRPr="1B9D4877">
        <w:rPr>
          <w:rFonts w:asciiTheme="minorHAnsi" w:eastAsiaTheme="minorEastAsia" w:hAnsiTheme="minorHAnsi" w:cstheme="minorBidi"/>
          <w:kern w:val="2"/>
          <w:sz w:val="22"/>
          <w:szCs w:val="22"/>
          <w:lang w:eastAsia="zh-CN"/>
          <w14:ligatures w14:val="standardContextual"/>
        </w:rPr>
        <w:t xml:space="preserve"> and</w:t>
      </w:r>
      <w:r w:rsidR="7358F6DF" w:rsidRPr="1B9D4877">
        <w:rPr>
          <w:rFonts w:asciiTheme="minorHAnsi" w:eastAsiaTheme="minorEastAsia" w:hAnsiTheme="minorHAnsi" w:cstheme="minorBidi"/>
          <w:kern w:val="2"/>
          <w:sz w:val="22"/>
          <w:szCs w:val="22"/>
          <w:lang w:eastAsia="zh-CN"/>
          <w14:ligatures w14:val="standardContextual"/>
        </w:rPr>
        <w:t xml:space="preserve"> the persistence of</w:t>
      </w:r>
      <w:r w:rsidR="68D5D42C" w:rsidRPr="1B9D4877">
        <w:rPr>
          <w:rFonts w:asciiTheme="minorHAnsi" w:eastAsiaTheme="minorEastAsia" w:hAnsiTheme="minorHAnsi" w:cstheme="minorBidi"/>
          <w:kern w:val="2"/>
          <w:sz w:val="22"/>
          <w:szCs w:val="22"/>
          <w:lang w:eastAsia="zh-CN"/>
          <w14:ligatures w14:val="standardContextual"/>
        </w:rPr>
        <w:t xml:space="preserve"> tax havens</w:t>
      </w:r>
      <w:r w:rsidR="792E5A82" w:rsidRPr="1B9D4877">
        <w:rPr>
          <w:rFonts w:asciiTheme="minorHAnsi" w:eastAsiaTheme="minorEastAsia" w:hAnsiTheme="minorHAnsi" w:cstheme="minorBidi"/>
          <w:kern w:val="2"/>
          <w:sz w:val="22"/>
          <w:szCs w:val="22"/>
          <w:lang w:eastAsia="zh-CN"/>
          <w14:ligatures w14:val="standardContextual"/>
        </w:rPr>
        <w:t>.</w:t>
      </w:r>
      <w:r w:rsidR="792E5A82" w:rsidRPr="1B9D4877" w:rsidDel="005E37C8">
        <w:rPr>
          <w:rFonts w:eastAsiaTheme="minorEastAsia"/>
          <w:b/>
          <w:bCs/>
          <w:kern w:val="2"/>
          <w:lang w:eastAsia="zh-CN"/>
          <w14:ligatures w14:val="standardContextual"/>
        </w:rPr>
        <w:t xml:space="preserve"> </w:t>
      </w:r>
    </w:p>
    <w:p w14:paraId="5DD89856" w14:textId="1EC20CCA" w:rsidR="00174569" w:rsidRPr="003A4ACF" w:rsidRDefault="5D67CAD5" w:rsidP="007F7E58">
      <w:pPr>
        <w:pStyle w:val="Heading2"/>
        <w:jc w:val="both"/>
        <w:rPr>
          <w:rFonts w:asciiTheme="minorHAnsi" w:hAnsiTheme="minorHAnsi" w:cstheme="minorBidi"/>
          <w:lang w:val="en-GB"/>
        </w:rPr>
      </w:pPr>
      <w:r w:rsidRPr="1B9D4877">
        <w:rPr>
          <w:rFonts w:asciiTheme="minorHAnsi" w:hAnsiTheme="minorHAnsi" w:cstheme="minorBidi"/>
          <w:lang w:val="en-GB"/>
        </w:rPr>
        <w:t xml:space="preserve">Specific </w:t>
      </w:r>
      <w:r w:rsidR="23F45AB4" w:rsidRPr="1B9D4877">
        <w:rPr>
          <w:rFonts w:asciiTheme="minorHAnsi" w:hAnsiTheme="minorHAnsi" w:cstheme="minorBidi"/>
          <w:lang w:val="en-GB"/>
        </w:rPr>
        <w:t>r</w:t>
      </w:r>
      <w:r w:rsidR="212040E1" w:rsidRPr="1B9D4877">
        <w:rPr>
          <w:rFonts w:asciiTheme="minorHAnsi" w:hAnsiTheme="minorHAnsi" w:cstheme="minorBidi"/>
          <w:lang w:val="en-GB"/>
        </w:rPr>
        <w:t>ecommendations for FFD4</w:t>
      </w:r>
      <w:r w:rsidR="17989717" w:rsidRPr="1B9D4877">
        <w:rPr>
          <w:rFonts w:asciiTheme="minorHAnsi" w:hAnsiTheme="minorHAnsi" w:cstheme="minorBidi"/>
          <w:lang w:val="en-GB"/>
        </w:rPr>
        <w:t xml:space="preserve"> </w:t>
      </w:r>
    </w:p>
    <w:p w14:paraId="5596A70A" w14:textId="5C3BEAF0" w:rsidR="0020036D" w:rsidRPr="00222EE6" w:rsidRDefault="0020036D" w:rsidP="007F7E58">
      <w:pPr>
        <w:jc w:val="both"/>
        <w:rPr>
          <w:lang w:val="en-GB"/>
        </w:rPr>
      </w:pPr>
      <w:r w:rsidRPr="1BA8183D">
        <w:rPr>
          <w:lang w:val="en-GB"/>
        </w:rPr>
        <w:t xml:space="preserve">The FfD4 outcome document should </w:t>
      </w:r>
      <w:r w:rsidR="002C3CC4" w:rsidRPr="1BA8183D">
        <w:rPr>
          <w:lang w:val="en-GB"/>
        </w:rPr>
        <w:t>emphasize the following key actions</w:t>
      </w:r>
      <w:r w:rsidRPr="1BA8183D">
        <w:rPr>
          <w:lang w:val="en-GB"/>
        </w:rPr>
        <w:t>:</w:t>
      </w:r>
    </w:p>
    <w:p w14:paraId="7807FF3C" w14:textId="4FE9ACF4" w:rsidR="004A6C04" w:rsidRDefault="004A6C04" w:rsidP="004A6C04">
      <w:pPr>
        <w:pStyle w:val="ListParagraph"/>
        <w:numPr>
          <w:ilvl w:val="0"/>
          <w:numId w:val="10"/>
        </w:numPr>
        <w:rPr>
          <w:lang w:val="en-GB"/>
        </w:rPr>
      </w:pPr>
      <w:r w:rsidRPr="004A6C04">
        <w:rPr>
          <w:b/>
          <w:bCs/>
          <w:lang w:val="en-GB"/>
        </w:rPr>
        <w:t>Rally for a global financial governance and an international economic order that integrates human rights safeguards and creates an environment which enables all human rights for all</w:t>
      </w:r>
      <w:r w:rsidRPr="004A6C04">
        <w:rPr>
          <w:lang w:val="en-GB"/>
        </w:rPr>
        <w:t xml:space="preserve">: The outcome document should advocate for the integration of human rights in all aspects of international financial architecture and call for governance reforms within IFIs to ensure more equitable representation of developing countries in global decision-making. Justice and equity, </w:t>
      </w:r>
      <w:r w:rsidRPr="004A6C04">
        <w:rPr>
          <w:lang w:val="en-GB"/>
        </w:rPr>
        <w:lastRenderedPageBreak/>
        <w:t>transparency and accountability must be advanced, ensuring active, free and meaningful participation of individuals and peoples in decisions and agreements that affect their lives, livelihoods and rights and the fair distribution of the benefits of development within and between nations and generations.</w:t>
      </w:r>
    </w:p>
    <w:p w14:paraId="1D3EA9E4" w14:textId="217A76F8" w:rsidR="004A6C04" w:rsidRPr="004A6C04" w:rsidRDefault="004A6C04" w:rsidP="00C6173F">
      <w:pPr>
        <w:pStyle w:val="ListParagraph"/>
        <w:numPr>
          <w:ilvl w:val="0"/>
          <w:numId w:val="10"/>
        </w:numPr>
        <w:rPr>
          <w:b/>
          <w:bCs/>
          <w:lang w:val="en-GB"/>
        </w:rPr>
      </w:pPr>
      <w:r w:rsidRPr="004A6C04">
        <w:rPr>
          <w:b/>
          <w:bCs/>
          <w:lang w:val="en-GB"/>
        </w:rPr>
        <w:t xml:space="preserve">Promote a fair global tax system: FfD4 should support the development of </w:t>
      </w:r>
      <w:proofErr w:type="gramStart"/>
      <w:r w:rsidRPr="004A6C04">
        <w:rPr>
          <w:b/>
          <w:bCs/>
          <w:lang w:val="en-GB"/>
        </w:rPr>
        <w:t>a</w:t>
      </w:r>
      <w:proofErr w:type="gramEnd"/>
      <w:r w:rsidRPr="004A6C04">
        <w:rPr>
          <w:b/>
          <w:bCs/>
          <w:lang w:val="en-GB"/>
        </w:rPr>
        <w:t xml:space="preserve"> UN-led framework convention on international tax cooperation to strengthen capacity of all States, including developing countries, to raise revenues from multinational corporations to invest in the realization of human rights. This should include concrete measures to combat tax evasion, strengthen tax transparency, and ensure that multinational corporations contribute fairly to the public budgets of the countries where they operate.</w:t>
      </w:r>
    </w:p>
    <w:p w14:paraId="66FE9D00" w14:textId="5C8F143B" w:rsidR="00C679AA" w:rsidRPr="00222EE6" w:rsidRDefault="52099C32" w:rsidP="007F7E58">
      <w:pPr>
        <w:pStyle w:val="ListParagraph"/>
        <w:numPr>
          <w:ilvl w:val="0"/>
          <w:numId w:val="10"/>
        </w:numPr>
        <w:jc w:val="both"/>
        <w:rPr>
          <w:lang w:val="en-GB"/>
        </w:rPr>
      </w:pPr>
      <w:r w:rsidRPr="1B9D4877">
        <w:rPr>
          <w:b/>
          <w:bCs/>
          <w:lang w:val="en-GB"/>
        </w:rPr>
        <w:t>R</w:t>
      </w:r>
      <w:r w:rsidR="15807831" w:rsidRPr="1B9D4877">
        <w:rPr>
          <w:b/>
          <w:bCs/>
          <w:lang w:val="en-GB"/>
        </w:rPr>
        <w:t>evitalize global partnership</w:t>
      </w:r>
      <w:r w:rsidR="71A91126" w:rsidRPr="1B9D4877">
        <w:rPr>
          <w:b/>
          <w:bCs/>
          <w:lang w:val="en-GB"/>
        </w:rPr>
        <w:t>s</w:t>
      </w:r>
      <w:r w:rsidR="15807831" w:rsidRPr="1B9D4877">
        <w:rPr>
          <w:b/>
          <w:bCs/>
          <w:lang w:val="en-GB"/>
        </w:rPr>
        <w:t xml:space="preserve"> and international </w:t>
      </w:r>
      <w:r w:rsidR="29CDF7F1" w:rsidRPr="1B9D4877">
        <w:rPr>
          <w:b/>
          <w:bCs/>
          <w:lang w:val="en-GB"/>
        </w:rPr>
        <w:t xml:space="preserve">development </w:t>
      </w:r>
      <w:r w:rsidR="15807831" w:rsidRPr="1B9D4877">
        <w:rPr>
          <w:b/>
          <w:bCs/>
          <w:lang w:val="en-GB"/>
        </w:rPr>
        <w:t>cooperation</w:t>
      </w:r>
      <w:r w:rsidR="15807831" w:rsidRPr="1B9D4877">
        <w:rPr>
          <w:lang w:val="en-GB"/>
        </w:rPr>
        <w:t xml:space="preserve">: FfD4 should call </w:t>
      </w:r>
      <w:r w:rsidR="537F341C" w:rsidRPr="1B9D4877">
        <w:rPr>
          <w:lang w:val="en-GB"/>
        </w:rPr>
        <w:t>for</w:t>
      </w:r>
      <w:r w:rsidR="15807831" w:rsidRPr="1B9D4877">
        <w:rPr>
          <w:lang w:val="en-GB"/>
        </w:rPr>
        <w:t xml:space="preserve"> </w:t>
      </w:r>
      <w:r w:rsidR="1531DB98" w:rsidRPr="1B9D4877">
        <w:rPr>
          <w:lang w:val="en-GB"/>
        </w:rPr>
        <w:t xml:space="preserve">a </w:t>
      </w:r>
      <w:r w:rsidR="15807831" w:rsidRPr="1B9D4877">
        <w:rPr>
          <w:lang w:val="en-GB"/>
        </w:rPr>
        <w:t>significant increase</w:t>
      </w:r>
      <w:r w:rsidR="537F341C" w:rsidRPr="1B9D4877">
        <w:rPr>
          <w:lang w:val="en-GB"/>
        </w:rPr>
        <w:t xml:space="preserve"> of</w:t>
      </w:r>
      <w:r w:rsidR="15807831" w:rsidRPr="1B9D4877">
        <w:rPr>
          <w:lang w:val="en-GB"/>
        </w:rPr>
        <w:t xml:space="preserve"> development finance, ensuring that these resources are provided in a concessional, predictable and appropriate manner to the needs of developing countries. </w:t>
      </w:r>
      <w:r w:rsidR="5C7C2181" w:rsidRPr="1B9D4877">
        <w:rPr>
          <w:lang w:val="en-GB"/>
        </w:rPr>
        <w:t>Special attention must be given to c</w:t>
      </w:r>
      <w:r w:rsidR="50185C16" w:rsidRPr="1B9D4877">
        <w:rPr>
          <w:lang w:val="en-GB"/>
        </w:rPr>
        <w:t>ountries in vulnerable situations, including LDCs, LLDCs, and SIDS</w:t>
      </w:r>
      <w:r w:rsidR="443FA631" w:rsidRPr="1B9D4877">
        <w:rPr>
          <w:lang w:val="en-GB"/>
        </w:rPr>
        <w:t>,</w:t>
      </w:r>
      <w:r w:rsidR="5C7C2181" w:rsidRPr="1B9D4877">
        <w:rPr>
          <w:lang w:val="en-GB"/>
        </w:rPr>
        <w:t xml:space="preserve"> and</w:t>
      </w:r>
      <w:r w:rsidR="443FA631" w:rsidRPr="1B9D4877">
        <w:rPr>
          <w:lang w:val="en-GB"/>
        </w:rPr>
        <w:t xml:space="preserve"> in line with their respective action agendas. </w:t>
      </w:r>
      <w:r w:rsidR="7266708E" w:rsidRPr="1B9D4877">
        <w:rPr>
          <w:lang w:val="en-GB"/>
        </w:rPr>
        <w:t>FfD4 should re-affirm the</w:t>
      </w:r>
      <w:r w:rsidR="151D29BA" w:rsidRPr="1B9D4877">
        <w:rPr>
          <w:lang w:val="en-GB"/>
        </w:rPr>
        <w:t xml:space="preserve"> unique</w:t>
      </w:r>
      <w:r w:rsidR="57BE7A3B" w:rsidRPr="1B9D4877">
        <w:rPr>
          <w:lang w:val="en-GB"/>
        </w:rPr>
        <w:t xml:space="preserve"> and essential</w:t>
      </w:r>
      <w:r w:rsidR="151D29BA" w:rsidRPr="1B9D4877">
        <w:rPr>
          <w:lang w:val="en-GB"/>
        </w:rPr>
        <w:t xml:space="preserve"> role of ODA</w:t>
      </w:r>
      <w:r w:rsidR="40BAF8DE" w:rsidRPr="1B9D4877">
        <w:rPr>
          <w:lang w:val="en-GB"/>
        </w:rPr>
        <w:t xml:space="preserve"> and the systematic application of </w:t>
      </w:r>
      <w:r w:rsidR="10B19E4B" w:rsidRPr="1B9D4877">
        <w:rPr>
          <w:lang w:val="en-GB"/>
        </w:rPr>
        <w:t>development cooperation effectiveness principles. It should also</w:t>
      </w:r>
      <w:r w:rsidR="0AAE02B3" w:rsidRPr="1B9D4877">
        <w:rPr>
          <w:lang w:val="en-GB"/>
        </w:rPr>
        <w:t xml:space="preserve"> stress</w:t>
      </w:r>
      <w:r w:rsidR="26271F76" w:rsidRPr="1B9D4877">
        <w:rPr>
          <w:lang w:val="en-GB"/>
        </w:rPr>
        <w:t xml:space="preserve"> the urgency </w:t>
      </w:r>
      <w:r w:rsidR="10B19E4B" w:rsidRPr="1B9D4877">
        <w:rPr>
          <w:lang w:val="en-GB"/>
        </w:rPr>
        <w:t xml:space="preserve">for </w:t>
      </w:r>
      <w:r w:rsidR="26271F76" w:rsidRPr="1B9D4877">
        <w:rPr>
          <w:lang w:val="en-GB"/>
        </w:rPr>
        <w:t xml:space="preserve">donor countries </w:t>
      </w:r>
      <w:r w:rsidR="10B19E4B" w:rsidRPr="1B9D4877">
        <w:rPr>
          <w:lang w:val="en-GB"/>
        </w:rPr>
        <w:t>to meet</w:t>
      </w:r>
      <w:r w:rsidR="77D23F72" w:rsidRPr="1B9D4877">
        <w:rPr>
          <w:lang w:val="en-GB"/>
        </w:rPr>
        <w:t xml:space="preserve"> their commitments in a timely </w:t>
      </w:r>
      <w:r w:rsidR="006C3C61" w:rsidRPr="1B9D4877">
        <w:rPr>
          <w:lang w:val="en-GB"/>
        </w:rPr>
        <w:t>manner and</w:t>
      </w:r>
      <w:r w:rsidR="66F1969A" w:rsidRPr="1B9D4877">
        <w:rPr>
          <w:lang w:val="en-GB"/>
        </w:rPr>
        <w:t xml:space="preserve"> </w:t>
      </w:r>
      <w:r w:rsidR="594CCD40" w:rsidRPr="1B9D4877">
        <w:rPr>
          <w:lang w:val="en-GB"/>
        </w:rPr>
        <w:t xml:space="preserve">reiterate </w:t>
      </w:r>
      <w:r w:rsidR="66F1969A" w:rsidRPr="1B9D4877">
        <w:rPr>
          <w:lang w:val="en-GB"/>
        </w:rPr>
        <w:t xml:space="preserve">that other measures of </w:t>
      </w:r>
      <w:r w:rsidR="4D9F3030" w:rsidRPr="1B9D4877">
        <w:rPr>
          <w:lang w:val="en-GB"/>
        </w:rPr>
        <w:t xml:space="preserve">official support </w:t>
      </w:r>
      <w:r w:rsidR="2DF8D211" w:rsidRPr="1B9D4877">
        <w:rPr>
          <w:lang w:val="en-GB"/>
        </w:rPr>
        <w:t xml:space="preserve">do </w:t>
      </w:r>
      <w:r w:rsidR="4D9F3030" w:rsidRPr="1B9D4877">
        <w:rPr>
          <w:lang w:val="en-GB"/>
        </w:rPr>
        <w:t>not supplant ODA.</w:t>
      </w:r>
    </w:p>
    <w:p w14:paraId="2FDB5127" w14:textId="025ECA47" w:rsidR="00035684" w:rsidRPr="00496D48" w:rsidRDefault="22322A9C" w:rsidP="007F7E58">
      <w:pPr>
        <w:pStyle w:val="ListParagraph"/>
        <w:numPr>
          <w:ilvl w:val="0"/>
          <w:numId w:val="10"/>
        </w:numPr>
        <w:jc w:val="both"/>
        <w:rPr>
          <w:lang w:val="en-GB"/>
        </w:rPr>
      </w:pPr>
      <w:r>
        <w:rPr>
          <w:rStyle w:val="Strong"/>
          <w:lang w:val="en-GB"/>
        </w:rPr>
        <w:t>Reinforce the</w:t>
      </w:r>
      <w:r w:rsidR="031EB5F3" w:rsidRPr="1BA8183D">
        <w:rPr>
          <w:rStyle w:val="Strong"/>
          <w:lang w:val="en-GB"/>
        </w:rPr>
        <w:t xml:space="preserve"> </w:t>
      </w:r>
      <w:r w:rsidR="38D37AA7" w:rsidRPr="1BA8183D">
        <w:rPr>
          <w:rStyle w:val="Strong"/>
          <w:lang w:val="en-GB"/>
        </w:rPr>
        <w:t>f</w:t>
      </w:r>
      <w:r w:rsidR="55BA7CD3" w:rsidRPr="1BA8183D">
        <w:rPr>
          <w:rStyle w:val="Strong"/>
          <w:lang w:val="en-GB"/>
        </w:rPr>
        <w:t>ollow</w:t>
      </w:r>
      <w:r w:rsidR="031EB5F3" w:rsidRPr="1BA8183D">
        <w:rPr>
          <w:rStyle w:val="Strong"/>
          <w:lang w:val="en-GB"/>
        </w:rPr>
        <w:t>-u</w:t>
      </w:r>
      <w:r w:rsidR="55BA7CD3" w:rsidRPr="1BA8183D">
        <w:rPr>
          <w:rStyle w:val="Strong"/>
          <w:lang w:val="en-GB"/>
        </w:rPr>
        <w:t xml:space="preserve">p </w:t>
      </w:r>
      <w:r w:rsidR="38D37AA7" w:rsidRPr="1BA8183D">
        <w:rPr>
          <w:rStyle w:val="Strong"/>
          <w:lang w:val="en-GB"/>
        </w:rPr>
        <w:t>p</w:t>
      </w:r>
      <w:r w:rsidR="55BA7CD3" w:rsidRPr="1BA8183D">
        <w:rPr>
          <w:rStyle w:val="Strong"/>
          <w:lang w:val="en-GB"/>
        </w:rPr>
        <w:t>rocess</w:t>
      </w:r>
      <w:r w:rsidR="55BA7CD3" w:rsidRPr="1BA8183D">
        <w:rPr>
          <w:lang w:val="en-GB"/>
        </w:rPr>
        <w:t xml:space="preserve">: </w:t>
      </w:r>
      <w:r w:rsidR="4C9DE49F">
        <w:rPr>
          <w:lang w:val="en-GB"/>
        </w:rPr>
        <w:t xml:space="preserve">To increase effectiveness and accountability, </w:t>
      </w:r>
      <w:r w:rsidR="4C9DE49F" w:rsidRPr="4702B3AB">
        <w:rPr>
          <w:lang w:val="en-GB"/>
        </w:rPr>
        <w:t>t</w:t>
      </w:r>
      <w:r w:rsidR="18487826" w:rsidRPr="1BA8183D">
        <w:rPr>
          <w:shd w:val="clear" w:color="auto" w:fill="FFFFFF"/>
          <w:lang w:val="en-GB"/>
        </w:rPr>
        <w:t xml:space="preserve">he </w:t>
      </w:r>
      <w:r w:rsidR="0623BBE7" w:rsidRPr="4702B3AB">
        <w:rPr>
          <w:lang w:val="en-GB"/>
        </w:rPr>
        <w:t xml:space="preserve">monitoring </w:t>
      </w:r>
      <w:r w:rsidR="68C48F47" w:rsidRPr="4702B3AB">
        <w:rPr>
          <w:lang w:val="en-GB"/>
        </w:rPr>
        <w:t>framework</w:t>
      </w:r>
      <w:r w:rsidR="4C9DE49F" w:rsidRPr="4702B3AB">
        <w:rPr>
          <w:lang w:val="en-GB"/>
        </w:rPr>
        <w:t xml:space="preserve"> </w:t>
      </w:r>
      <w:r w:rsidR="18487826" w:rsidRPr="1BA8183D">
        <w:rPr>
          <w:shd w:val="clear" w:color="auto" w:fill="FFFFFF"/>
          <w:lang w:val="en-GB"/>
        </w:rPr>
        <w:t>should include a global peer review dimension</w:t>
      </w:r>
      <w:r w:rsidR="6C0FD87A" w:rsidRPr="4702B3AB">
        <w:rPr>
          <w:lang w:val="en-GB"/>
        </w:rPr>
        <w:t>. It</w:t>
      </w:r>
      <w:r w:rsidR="18487826" w:rsidRPr="1BA8183D">
        <w:rPr>
          <w:shd w:val="clear" w:color="auto" w:fill="FFFFFF"/>
          <w:lang w:val="en-GB"/>
        </w:rPr>
        <w:t xml:space="preserve"> should </w:t>
      </w:r>
      <w:r w:rsidR="1C71BCEA" w:rsidRPr="4702B3AB">
        <w:rPr>
          <w:lang w:val="en-GB"/>
        </w:rPr>
        <w:t>build on</w:t>
      </w:r>
      <w:r w:rsidR="18487826" w:rsidRPr="1BA8183D">
        <w:rPr>
          <w:shd w:val="clear" w:color="auto" w:fill="FFFFFF"/>
          <w:lang w:val="en-GB"/>
        </w:rPr>
        <w:t xml:space="preserve"> existing monitoring mechanisms, including by integrating in a structured manner the work of relevant human rights bodies. The </w:t>
      </w:r>
      <w:r w:rsidR="75A32858" w:rsidRPr="4702B3AB">
        <w:rPr>
          <w:lang w:val="en-GB"/>
        </w:rPr>
        <w:t>review</w:t>
      </w:r>
      <w:r w:rsidR="18487826" w:rsidRPr="1BA8183D">
        <w:rPr>
          <w:shd w:val="clear" w:color="auto" w:fill="FFFFFF"/>
          <w:lang w:val="en-GB"/>
        </w:rPr>
        <w:t xml:space="preserve"> needs to go beyond the tracking of financial flows </w:t>
      </w:r>
      <w:r w:rsidR="22AD3598" w:rsidRPr="4702B3AB">
        <w:rPr>
          <w:lang w:val="en-GB"/>
        </w:rPr>
        <w:t xml:space="preserve">to </w:t>
      </w:r>
      <w:r w:rsidR="18487826" w:rsidRPr="1BA8183D">
        <w:rPr>
          <w:shd w:val="clear" w:color="auto" w:fill="FFFFFF"/>
          <w:lang w:val="en-GB"/>
        </w:rPr>
        <w:t xml:space="preserve">also assess the development results </w:t>
      </w:r>
      <w:r w:rsidR="2CBC56FA" w:rsidRPr="4702B3AB">
        <w:rPr>
          <w:lang w:val="en-GB"/>
        </w:rPr>
        <w:t>and</w:t>
      </w:r>
      <w:r w:rsidR="18487826" w:rsidRPr="1BA8183D">
        <w:rPr>
          <w:shd w:val="clear" w:color="auto" w:fill="FFFFFF"/>
          <w:lang w:val="en-GB"/>
        </w:rPr>
        <w:t xml:space="preserve"> progress </w:t>
      </w:r>
      <w:r w:rsidR="6FF28FB4" w:rsidRPr="4702B3AB">
        <w:rPr>
          <w:lang w:val="en-GB"/>
        </w:rPr>
        <w:t xml:space="preserve">in </w:t>
      </w:r>
      <w:r w:rsidR="18487826" w:rsidRPr="1BA8183D">
        <w:rPr>
          <w:shd w:val="clear" w:color="auto" w:fill="FFFFFF"/>
          <w:lang w:val="en-GB"/>
        </w:rPr>
        <w:t xml:space="preserve">addressing systemic </w:t>
      </w:r>
      <w:r w:rsidR="029ABCA6" w:rsidRPr="1BA8183D">
        <w:rPr>
          <w:shd w:val="clear" w:color="auto" w:fill="FFFFFF"/>
          <w:lang w:val="en-GB"/>
        </w:rPr>
        <w:t xml:space="preserve">and structural </w:t>
      </w:r>
      <w:r w:rsidR="18487826" w:rsidRPr="1BA8183D">
        <w:rPr>
          <w:shd w:val="clear" w:color="auto" w:fill="FFFFFF"/>
          <w:lang w:val="en-GB"/>
        </w:rPr>
        <w:t xml:space="preserve">issues. Monitoring efforts must be underpinned by human rights-based data </w:t>
      </w:r>
      <w:r w:rsidR="1C9A7DC0" w:rsidRPr="4702B3AB">
        <w:rPr>
          <w:lang w:val="en-GB"/>
        </w:rPr>
        <w:t>that are transparent</w:t>
      </w:r>
      <w:r w:rsidR="18487826" w:rsidRPr="1BA8183D">
        <w:rPr>
          <w:shd w:val="clear" w:color="auto" w:fill="FFFFFF"/>
          <w:lang w:val="en-GB"/>
        </w:rPr>
        <w:t>, accessible and disaggregated to track development</w:t>
      </w:r>
      <w:r w:rsidR="00347C1F">
        <w:rPr>
          <w:shd w:val="clear" w:color="auto" w:fill="FFFFFF"/>
          <w:lang w:val="en-GB"/>
        </w:rPr>
        <w:t xml:space="preserve"> and human rights</w:t>
      </w:r>
      <w:r w:rsidR="18487826" w:rsidRPr="1BA8183D">
        <w:rPr>
          <w:shd w:val="clear" w:color="auto" w:fill="FFFFFF"/>
          <w:lang w:val="en-GB"/>
        </w:rPr>
        <w:t xml:space="preserve"> impacts for all people in all countrie</w:t>
      </w:r>
      <w:r w:rsidR="06F2F7F7" w:rsidRPr="4702B3AB">
        <w:rPr>
          <w:lang w:val="en-GB"/>
        </w:rPr>
        <w:t>s.</w:t>
      </w:r>
    </w:p>
    <w:p w14:paraId="1DBAE161" w14:textId="2641D4CE" w:rsidR="00373939" w:rsidRPr="00AC57D3" w:rsidRDefault="005B34A9" w:rsidP="007F7E58">
      <w:pPr>
        <w:pStyle w:val="Heading2"/>
        <w:jc w:val="both"/>
        <w:rPr>
          <w:rFonts w:asciiTheme="minorHAnsi" w:hAnsiTheme="minorHAnsi" w:cstheme="minorBidi"/>
          <w:lang w:val="en-GB"/>
        </w:rPr>
      </w:pPr>
      <w:r w:rsidRPr="00AC57D3">
        <w:rPr>
          <w:rFonts w:asciiTheme="minorHAnsi" w:hAnsiTheme="minorHAnsi" w:cstheme="minorBidi"/>
          <w:lang w:val="en-GB"/>
        </w:rPr>
        <w:t xml:space="preserve">Summary: </w:t>
      </w:r>
    </w:p>
    <w:p w14:paraId="7CB13284" w14:textId="26425F89" w:rsidR="005B34A9" w:rsidRPr="00222EE6" w:rsidRDefault="00EA1183" w:rsidP="007F7E58">
      <w:pPr>
        <w:jc w:val="both"/>
      </w:pPr>
      <w:r>
        <w:t xml:space="preserve">This policy </w:t>
      </w:r>
      <w:proofErr w:type="gramStart"/>
      <w:r>
        <w:t>brief</w:t>
      </w:r>
      <w:proofErr w:type="gramEnd"/>
      <w:r>
        <w:t xml:space="preserve"> argues that t</w:t>
      </w:r>
      <w:r w:rsidR="005B34A9" w:rsidRPr="005B34A9">
        <w:t>he international financial architecture, established decades ago, is no longer fit for addressing today’s complex development challenges.</w:t>
      </w:r>
      <w:r w:rsidR="005B34A9">
        <w:t xml:space="preserve"> </w:t>
      </w:r>
      <w:r w:rsidR="00AA5CC5" w:rsidRPr="00AA5CC5">
        <w:t>The lack of representation and voice of developing countries in global financial decision-making exacerbates existing inequalities and hampers their ability to shape policies that affect them.</w:t>
      </w:r>
      <w:r w:rsidR="003A4ACF" w:rsidRPr="003A4ACF">
        <w:t xml:space="preserve"> Reform of the international financial architecture is needed to ensure that countries </w:t>
      </w:r>
      <w:proofErr w:type="gramStart"/>
      <w:r w:rsidR="003A4ACF" w:rsidRPr="003A4ACF">
        <w:t xml:space="preserve">have the </w:t>
      </w:r>
      <w:r w:rsidR="004A6C04">
        <w:t>ability to</w:t>
      </w:r>
      <w:proofErr w:type="gramEnd"/>
      <w:r w:rsidR="004A6C04">
        <w:t xml:space="preserve"> invest in human rights, for example, health and education as well as the </w:t>
      </w:r>
      <w:r w:rsidR="003A4ACF" w:rsidRPr="003A4ACF">
        <w:t>required resources to invest in sustainable development and human rights, including the right to development.</w:t>
      </w:r>
    </w:p>
    <w:sectPr w:rsidR="005B34A9" w:rsidRPr="00222EE6" w:rsidSect="00C50E56">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79965" w14:textId="77777777" w:rsidR="00C42EF0" w:rsidRDefault="00C42EF0" w:rsidP="003A03B5">
      <w:pPr>
        <w:spacing w:after="0" w:line="240" w:lineRule="auto"/>
      </w:pPr>
      <w:r>
        <w:separator/>
      </w:r>
    </w:p>
  </w:endnote>
  <w:endnote w:type="continuationSeparator" w:id="0">
    <w:p w14:paraId="78486F22" w14:textId="77777777" w:rsidR="00C42EF0" w:rsidRDefault="00C42EF0" w:rsidP="003A03B5">
      <w:pPr>
        <w:spacing w:after="0" w:line="240" w:lineRule="auto"/>
      </w:pPr>
      <w:r>
        <w:continuationSeparator/>
      </w:r>
    </w:p>
  </w:endnote>
  <w:endnote w:type="continuationNotice" w:id="1">
    <w:p w14:paraId="5B9B5DD1" w14:textId="77777777" w:rsidR="00C42EF0" w:rsidRDefault="00C42E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944541"/>
      <w:docPartObj>
        <w:docPartGallery w:val="Page Numbers (Bottom of Page)"/>
        <w:docPartUnique/>
      </w:docPartObj>
    </w:sdtPr>
    <w:sdtEndPr>
      <w:rPr>
        <w:noProof/>
      </w:rPr>
    </w:sdtEndPr>
    <w:sdtContent>
      <w:p w14:paraId="4CF03DC4" w14:textId="298BF2A9" w:rsidR="00095718" w:rsidRDefault="000957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B8A7C0" w14:textId="77777777" w:rsidR="00095718" w:rsidRDefault="00095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DE557" w14:textId="77777777" w:rsidR="00C42EF0" w:rsidRDefault="00C42EF0" w:rsidP="003A03B5">
      <w:pPr>
        <w:spacing w:after="0" w:line="240" w:lineRule="auto"/>
      </w:pPr>
      <w:r>
        <w:separator/>
      </w:r>
    </w:p>
  </w:footnote>
  <w:footnote w:type="continuationSeparator" w:id="0">
    <w:p w14:paraId="7CDE0AE6" w14:textId="77777777" w:rsidR="00C42EF0" w:rsidRDefault="00C42EF0" w:rsidP="003A03B5">
      <w:pPr>
        <w:spacing w:after="0" w:line="240" w:lineRule="auto"/>
      </w:pPr>
      <w:r>
        <w:continuationSeparator/>
      </w:r>
    </w:p>
  </w:footnote>
  <w:footnote w:type="continuationNotice" w:id="1">
    <w:p w14:paraId="716BA005" w14:textId="77777777" w:rsidR="00C42EF0" w:rsidRDefault="00C42EF0">
      <w:pPr>
        <w:spacing w:after="0" w:line="240" w:lineRule="auto"/>
      </w:pPr>
    </w:p>
  </w:footnote>
  <w:footnote w:id="2">
    <w:p w14:paraId="772B4460" w14:textId="7E233B82" w:rsidR="00672B07" w:rsidRPr="00672B07" w:rsidRDefault="00672B07">
      <w:pPr>
        <w:pStyle w:val="FootnoteText"/>
        <w:rPr>
          <w:lang w:val="en-GB"/>
        </w:rPr>
      </w:pPr>
      <w:r>
        <w:rPr>
          <w:rStyle w:val="FootnoteReference"/>
        </w:rPr>
        <w:footnoteRef/>
      </w:r>
      <w:r>
        <w:t xml:space="preserve"> </w:t>
      </w:r>
      <w:hyperlink r:id="rId1" w:history="1">
        <w:r w:rsidRPr="00BD4881">
          <w:rPr>
            <w:rStyle w:val="Hyperlink"/>
          </w:rPr>
          <w:t>Attributable to Kofi Annan</w:t>
        </w:r>
      </w:hyperlink>
      <w:r w:rsidR="00BD4881">
        <w:t>.</w:t>
      </w:r>
      <w:r w:rsidRPr="00672B07">
        <w:t xml:space="preserve"> </w:t>
      </w:r>
    </w:p>
  </w:footnote>
  <w:footnote w:id="3">
    <w:p w14:paraId="32D41727" w14:textId="0A6C55C3" w:rsidR="002A194A" w:rsidRPr="007F666A" w:rsidRDefault="002A194A" w:rsidP="006B17F0">
      <w:pPr>
        <w:pStyle w:val="FootnoteText"/>
        <w:rPr>
          <w:lang w:val="en-GB"/>
        </w:rPr>
      </w:pPr>
      <w:r>
        <w:rPr>
          <w:rStyle w:val="FootnoteReference"/>
        </w:rPr>
        <w:footnoteRef/>
      </w:r>
      <w:r w:rsidRPr="007F666A">
        <w:rPr>
          <w:lang w:val="en-GB"/>
        </w:rPr>
        <w:t xml:space="preserve"> </w:t>
      </w:r>
      <w:r w:rsidR="006B17F0">
        <w:rPr>
          <w:lang w:val="en-GB"/>
        </w:rPr>
        <w:t xml:space="preserve">2015. </w:t>
      </w:r>
      <w:hyperlink r:id="rId2" w:history="1">
        <w:r w:rsidR="006B17F0" w:rsidRPr="006B17F0">
          <w:rPr>
            <w:rStyle w:val="Hyperlink"/>
            <w:lang w:val="en-GB"/>
          </w:rPr>
          <w:t>Statement</w:t>
        </w:r>
      </w:hyperlink>
      <w:r w:rsidR="006B17F0" w:rsidRPr="006B17F0">
        <w:rPr>
          <w:lang w:val="en-GB"/>
        </w:rPr>
        <w:t xml:space="preserve"> by the Heads of the African Development Bank, the Asian Development Bank, the European Bank for Reconstruction and Development, the European Investment Bank,</w:t>
      </w:r>
      <w:r w:rsidR="006B17F0">
        <w:rPr>
          <w:lang w:val="en-GB"/>
        </w:rPr>
        <w:t xml:space="preserve"> </w:t>
      </w:r>
      <w:r w:rsidR="006B17F0" w:rsidRPr="006B17F0">
        <w:rPr>
          <w:lang w:val="en-GB"/>
        </w:rPr>
        <w:t>the Inter-American Development Bank, the World Bank Group</w:t>
      </w:r>
      <w:r w:rsidR="006B17F0">
        <w:rPr>
          <w:lang w:val="en-GB"/>
        </w:rPr>
        <w:t xml:space="preserve"> </w:t>
      </w:r>
      <w:r w:rsidR="006B17F0" w:rsidRPr="006B17F0">
        <w:rPr>
          <w:lang w:val="en-GB"/>
        </w:rPr>
        <w:t>and the International Monetary Fund</w:t>
      </w:r>
      <w:r w:rsidR="006B17F0">
        <w:rPr>
          <w:lang w:val="en-GB"/>
        </w:rPr>
        <w:t>.</w:t>
      </w:r>
      <w:r w:rsidRPr="007F666A">
        <w:rPr>
          <w:lang w:val="en-GB"/>
        </w:rPr>
        <w:t xml:space="preserve"> </w:t>
      </w:r>
    </w:p>
  </w:footnote>
  <w:footnote w:id="4">
    <w:p w14:paraId="18144B19" w14:textId="33A06387" w:rsidR="000F48E2" w:rsidRPr="000F48E2" w:rsidRDefault="000F48E2">
      <w:pPr>
        <w:pStyle w:val="FootnoteText"/>
        <w:rPr>
          <w:lang w:val="en-GB"/>
        </w:rPr>
      </w:pPr>
      <w:r>
        <w:rPr>
          <w:rStyle w:val="FootnoteReference"/>
        </w:rPr>
        <w:footnoteRef/>
      </w:r>
      <w:r>
        <w:t xml:space="preserve"> </w:t>
      </w:r>
      <w:r>
        <w:rPr>
          <w:lang w:val="en-GB"/>
        </w:rPr>
        <w:t xml:space="preserve">United Nations, 2024. </w:t>
      </w:r>
      <w:r w:rsidRPr="000F48E2">
        <w:rPr>
          <w:lang w:val="en-GB"/>
        </w:rPr>
        <w:t>Financing for Sustainable Development Report</w:t>
      </w:r>
      <w:r>
        <w:rPr>
          <w:lang w:val="en-GB"/>
        </w:rPr>
        <w:t>.</w:t>
      </w:r>
    </w:p>
  </w:footnote>
  <w:footnote w:id="5">
    <w:p w14:paraId="5F82722D" w14:textId="128BB8C1" w:rsidR="00A02E04" w:rsidRPr="007C76BE" w:rsidRDefault="00A02E04">
      <w:pPr>
        <w:pStyle w:val="FootnoteText"/>
        <w:rPr>
          <w:lang w:val="en-GB"/>
        </w:rPr>
      </w:pPr>
      <w:r>
        <w:rPr>
          <w:rStyle w:val="FootnoteReference"/>
        </w:rPr>
        <w:footnoteRef/>
      </w:r>
      <w:r>
        <w:t xml:space="preserve"> </w:t>
      </w:r>
      <w:r>
        <w:rPr>
          <w:lang w:val="en-GB"/>
        </w:rPr>
        <w:t>See OHCHR brief on debt</w:t>
      </w:r>
    </w:p>
  </w:footnote>
  <w:footnote w:id="6">
    <w:p w14:paraId="7546F186" w14:textId="1200244F" w:rsidR="00E80534" w:rsidRPr="00E80534" w:rsidRDefault="00E80534">
      <w:pPr>
        <w:pStyle w:val="FootnoteText"/>
      </w:pPr>
      <w:r>
        <w:rPr>
          <w:rStyle w:val="FootnoteReference"/>
        </w:rPr>
        <w:footnoteRef/>
      </w:r>
      <w:r>
        <w:t xml:space="preserve"> </w:t>
      </w:r>
      <w:r w:rsidR="00E20BE9" w:rsidRPr="00E20BE9">
        <w:t>DAC</w:t>
      </w:r>
      <w:r w:rsidR="00BA0ADA">
        <w:t>, 2</w:t>
      </w:r>
      <w:r w:rsidR="00E20BE9" w:rsidRPr="00E20BE9">
        <w:t>002</w:t>
      </w:r>
      <w:r w:rsidR="00BA0ADA">
        <w:t xml:space="preserve"> (revised 2016). </w:t>
      </w:r>
      <w:hyperlink r:id="rId3" w:history="1">
        <w:r w:rsidR="00BA0ADA" w:rsidRPr="00DD321B">
          <w:rPr>
            <w:rStyle w:val="Hyperlink"/>
          </w:rPr>
          <w:t>History of the 0.7% ODA target</w:t>
        </w:r>
      </w:hyperlink>
      <w:r w:rsidR="00BA0ADA">
        <w:t>.</w:t>
      </w:r>
    </w:p>
  </w:footnote>
  <w:footnote w:id="7">
    <w:p w14:paraId="39E75BDD" w14:textId="66DC2662" w:rsidR="00386C93" w:rsidRPr="007C76BE" w:rsidRDefault="00386C93" w:rsidP="00386C93">
      <w:pPr>
        <w:pStyle w:val="FootnoteText"/>
        <w:rPr>
          <w:lang w:val="en-GB"/>
        </w:rPr>
      </w:pPr>
      <w:r>
        <w:rPr>
          <w:rStyle w:val="FootnoteReference"/>
        </w:rPr>
        <w:footnoteRef/>
      </w:r>
      <w:r w:rsidRPr="007C76BE">
        <w:rPr>
          <w:lang w:val="en-GB"/>
        </w:rPr>
        <w:t xml:space="preserve"> </w:t>
      </w:r>
      <w:r w:rsidR="00825350">
        <w:rPr>
          <w:lang w:val="en-GB"/>
        </w:rPr>
        <w:t xml:space="preserve">UNCTAD, SDG Pulse. </w:t>
      </w:r>
      <w:hyperlink r:id="rId4" w:history="1">
        <w:r w:rsidR="00825350" w:rsidRPr="00825350">
          <w:rPr>
            <w:rStyle w:val="Hyperlink"/>
            <w:lang w:val="en-GB"/>
          </w:rPr>
          <w:t>Cooperation and solidarity for progress towards the 2030 Agenda</w:t>
        </w:r>
      </w:hyperlink>
      <w:r w:rsidR="00825350" w:rsidRPr="00825350">
        <w:rPr>
          <w:lang w:val="en-GB"/>
        </w:rPr>
        <w:t xml:space="preserve"> </w:t>
      </w:r>
    </w:p>
  </w:footnote>
  <w:footnote w:id="8">
    <w:p w14:paraId="7BBBF00B" w14:textId="468A32CC" w:rsidR="00386C93" w:rsidRPr="00EA3E38" w:rsidRDefault="00386C93" w:rsidP="00386C93">
      <w:pPr>
        <w:pStyle w:val="FootnoteText"/>
        <w:rPr>
          <w:lang w:val="en-GB"/>
        </w:rPr>
      </w:pPr>
      <w:r>
        <w:rPr>
          <w:rStyle w:val="FootnoteReference"/>
        </w:rPr>
        <w:footnoteRef/>
      </w:r>
      <w:r>
        <w:t xml:space="preserve"> </w:t>
      </w:r>
      <w:r w:rsidR="00A623D2">
        <w:t>OHRLLS,</w:t>
      </w:r>
      <w:r w:rsidR="00F12A70">
        <w:t xml:space="preserve"> 2022.</w:t>
      </w:r>
      <w:r w:rsidR="00A623D2">
        <w:t xml:space="preserve"> </w:t>
      </w:r>
      <w:hyperlink r:id="rId5" w:history="1">
        <w:r w:rsidR="00A623D2" w:rsidRPr="00A623D2">
          <w:rPr>
            <w:rStyle w:val="Hyperlink"/>
          </w:rPr>
          <w:t>Financing for Development for SIDS (Advanced Unedited)</w:t>
        </w:r>
      </w:hyperlink>
      <w:r w:rsidR="00A623D2">
        <w:t xml:space="preserve">. </w:t>
      </w:r>
    </w:p>
  </w:footnote>
  <w:footnote w:id="9">
    <w:p w14:paraId="4B92E756" w14:textId="54A68A84" w:rsidR="008A3482" w:rsidRPr="008A3482" w:rsidRDefault="008A3482">
      <w:pPr>
        <w:pStyle w:val="FootnoteText"/>
        <w:rPr>
          <w:lang w:val="en-GB"/>
        </w:rPr>
      </w:pPr>
      <w:r>
        <w:rPr>
          <w:rStyle w:val="FootnoteReference"/>
        </w:rPr>
        <w:footnoteRef/>
      </w:r>
      <w:r>
        <w:t xml:space="preserve"> </w:t>
      </w:r>
      <w:r>
        <w:rPr>
          <w:lang w:val="en-GB"/>
        </w:rPr>
        <w:t xml:space="preserve">Tax Justice Network, 2023. </w:t>
      </w:r>
      <w:r w:rsidRPr="008A3482">
        <w:rPr>
          <w:lang w:val="en-GB"/>
        </w:rPr>
        <w:t>The State of Tax Justice</w:t>
      </w:r>
      <w:r>
        <w:rPr>
          <w:lang w:val="en-GB"/>
        </w:rPr>
        <w:t>.</w:t>
      </w:r>
    </w:p>
  </w:footnote>
  <w:footnote w:id="10">
    <w:p w14:paraId="73F4D020" w14:textId="0B4D93C9" w:rsidR="00386C93" w:rsidRPr="00196024" w:rsidRDefault="00386C93" w:rsidP="00386C93">
      <w:pPr>
        <w:pStyle w:val="FootnoteText"/>
        <w:rPr>
          <w:lang w:val="en-GB"/>
        </w:rPr>
      </w:pPr>
      <w:r>
        <w:rPr>
          <w:rStyle w:val="FootnoteReference"/>
        </w:rPr>
        <w:footnoteRef/>
      </w:r>
      <w:r>
        <w:t xml:space="preserve"> OHCHR</w:t>
      </w:r>
      <w:r w:rsidR="000F47B0">
        <w:t xml:space="preserve">, 2024. </w:t>
      </w:r>
      <w:hyperlink r:id="rId6" w:history="1">
        <w:r w:rsidR="000F47B0" w:rsidRPr="007D313B">
          <w:rPr>
            <w:rStyle w:val="Hyperlink"/>
          </w:rPr>
          <w:t>Key Messages on</w:t>
        </w:r>
        <w:r w:rsidRPr="007D313B">
          <w:rPr>
            <w:rStyle w:val="Hyperlink"/>
          </w:rPr>
          <w:t xml:space="preserve"> Integrating Human Rights into the International Financial Architecture Reforms</w:t>
        </w:r>
      </w:hyperlink>
      <w:r w:rsidR="007D313B">
        <w:t>.</w:t>
      </w:r>
    </w:p>
  </w:footnote>
  <w:footnote w:id="11">
    <w:p w14:paraId="19AF5424" w14:textId="34C97108" w:rsidR="003178FF" w:rsidRPr="004625DB" w:rsidRDefault="003178FF">
      <w:pPr>
        <w:pStyle w:val="FootnoteText"/>
        <w:rPr>
          <w:lang w:val="fr-CH"/>
        </w:rPr>
      </w:pPr>
      <w:r>
        <w:rPr>
          <w:rStyle w:val="FootnoteReference"/>
        </w:rPr>
        <w:footnoteRef/>
      </w:r>
      <w:r w:rsidRPr="004625DB">
        <w:rPr>
          <w:lang w:val="fr-CH"/>
        </w:rPr>
        <w:t xml:space="preserve"> </w:t>
      </w:r>
      <w:r w:rsidR="00E45A9A" w:rsidRPr="004625DB">
        <w:rPr>
          <w:lang w:val="fr-CH"/>
        </w:rPr>
        <w:t xml:space="preserve">2023. </w:t>
      </w:r>
      <w:r>
        <w:fldChar w:fldCharType="begin"/>
      </w:r>
      <w:r w:rsidRPr="00C6173F">
        <w:rPr>
          <w:lang w:val="fr-FR"/>
        </w:rPr>
        <w:instrText>HYPERLINK "https://www.v-20.org/v20-ministerial-dialogue-xi-communique"</w:instrText>
      </w:r>
      <w:r>
        <w:fldChar w:fldCharType="separate"/>
      </w:r>
      <w:r w:rsidRPr="004625DB">
        <w:rPr>
          <w:rStyle w:val="Hyperlink"/>
          <w:lang w:val="fr-CH"/>
        </w:rPr>
        <w:t xml:space="preserve">V20 </w:t>
      </w:r>
      <w:proofErr w:type="spellStart"/>
      <w:r w:rsidRPr="004625DB">
        <w:rPr>
          <w:rStyle w:val="Hyperlink"/>
          <w:lang w:val="fr-CH"/>
        </w:rPr>
        <w:t>Ministerial</w:t>
      </w:r>
      <w:proofErr w:type="spellEnd"/>
      <w:r w:rsidRPr="004625DB">
        <w:rPr>
          <w:rStyle w:val="Hyperlink"/>
          <w:lang w:val="fr-CH"/>
        </w:rPr>
        <w:t xml:space="preserve"> Dialogue XI Communique</w:t>
      </w:r>
      <w:r>
        <w:rPr>
          <w:rStyle w:val="Hyperlink"/>
          <w:lang w:val="fr-CH"/>
        </w:rPr>
        <w:fldChar w:fldCharType="end"/>
      </w:r>
      <w:r w:rsidR="00E45A9A" w:rsidRPr="004625DB">
        <w:rPr>
          <w:lang w:val="fr-CH"/>
        </w:rPr>
        <w:t>.</w:t>
      </w:r>
    </w:p>
  </w:footnote>
  <w:footnote w:id="12">
    <w:p w14:paraId="66DF3EC7" w14:textId="09CD2983" w:rsidR="006D09CA" w:rsidRPr="006D09CA" w:rsidRDefault="006D09CA">
      <w:pPr>
        <w:pStyle w:val="FootnoteText"/>
      </w:pPr>
      <w:r>
        <w:rPr>
          <w:rStyle w:val="FootnoteReference"/>
        </w:rPr>
        <w:footnoteRef/>
      </w:r>
      <w:r>
        <w:t xml:space="preserve"> A/HRC/57/24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63E"/>
    <w:multiLevelType w:val="hybridMultilevel"/>
    <w:tmpl w:val="A900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F5AC2"/>
    <w:multiLevelType w:val="multilevel"/>
    <w:tmpl w:val="FB4A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050C6A"/>
    <w:multiLevelType w:val="hybridMultilevel"/>
    <w:tmpl w:val="972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C07E2"/>
    <w:multiLevelType w:val="hybridMultilevel"/>
    <w:tmpl w:val="35F6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95DFA"/>
    <w:multiLevelType w:val="hybridMultilevel"/>
    <w:tmpl w:val="982EA20C"/>
    <w:lvl w:ilvl="0" w:tplc="B3DA45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31C46"/>
    <w:multiLevelType w:val="hybridMultilevel"/>
    <w:tmpl w:val="DD780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21994"/>
    <w:multiLevelType w:val="hybridMultilevel"/>
    <w:tmpl w:val="03E84404"/>
    <w:lvl w:ilvl="0" w:tplc="B3DA45A8">
      <w:numFmt w:val="bullet"/>
      <w:lvlText w:val="-"/>
      <w:lvlJc w:val="left"/>
      <w:pPr>
        <w:ind w:left="766" w:hanging="360"/>
      </w:pPr>
      <w:rPr>
        <w:rFonts w:ascii="Calibri" w:eastAsiaTheme="minorEastAsia" w:hAnsi="Calibri" w:cs="Calibri"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91932BE"/>
    <w:multiLevelType w:val="hybridMultilevel"/>
    <w:tmpl w:val="D402CA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C82625"/>
    <w:multiLevelType w:val="hybridMultilevel"/>
    <w:tmpl w:val="3C6EB7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4684D69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0855F3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8A7364A"/>
    <w:multiLevelType w:val="multilevel"/>
    <w:tmpl w:val="CBEA4E6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7225C62"/>
    <w:multiLevelType w:val="hybridMultilevel"/>
    <w:tmpl w:val="EC2C1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D22FD0"/>
    <w:multiLevelType w:val="hybridMultilevel"/>
    <w:tmpl w:val="DD04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014310">
    <w:abstractNumId w:val="0"/>
  </w:num>
  <w:num w:numId="2" w16cid:durableId="705714083">
    <w:abstractNumId w:val="8"/>
  </w:num>
  <w:num w:numId="3" w16cid:durableId="1224489899">
    <w:abstractNumId w:val="4"/>
  </w:num>
  <w:num w:numId="4" w16cid:durableId="839007420">
    <w:abstractNumId w:val="6"/>
  </w:num>
  <w:num w:numId="5" w16cid:durableId="1795057800">
    <w:abstractNumId w:val="7"/>
  </w:num>
  <w:num w:numId="6" w16cid:durableId="1539704886">
    <w:abstractNumId w:val="3"/>
  </w:num>
  <w:num w:numId="7" w16cid:durableId="1965765382">
    <w:abstractNumId w:val="2"/>
  </w:num>
  <w:num w:numId="8" w16cid:durableId="2026320341">
    <w:abstractNumId w:val="12"/>
  </w:num>
  <w:num w:numId="9" w16cid:durableId="1564214818">
    <w:abstractNumId w:val="13"/>
  </w:num>
  <w:num w:numId="10" w16cid:durableId="136268265">
    <w:abstractNumId w:val="5"/>
  </w:num>
  <w:num w:numId="11" w16cid:durableId="295336905">
    <w:abstractNumId w:val="9"/>
  </w:num>
  <w:num w:numId="12" w16cid:durableId="402681560">
    <w:abstractNumId w:val="10"/>
  </w:num>
  <w:num w:numId="13" w16cid:durableId="23797526">
    <w:abstractNumId w:val="1"/>
  </w:num>
  <w:num w:numId="14" w16cid:durableId="15950177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72"/>
    <w:rsid w:val="00012FF4"/>
    <w:rsid w:val="0001370F"/>
    <w:rsid w:val="0002027F"/>
    <w:rsid w:val="00027131"/>
    <w:rsid w:val="00027662"/>
    <w:rsid w:val="00027FCF"/>
    <w:rsid w:val="00030E3E"/>
    <w:rsid w:val="000352E2"/>
    <w:rsid w:val="00035684"/>
    <w:rsid w:val="000364DC"/>
    <w:rsid w:val="000368CB"/>
    <w:rsid w:val="00053C53"/>
    <w:rsid w:val="000606B7"/>
    <w:rsid w:val="000611B3"/>
    <w:rsid w:val="00071553"/>
    <w:rsid w:val="00072AA0"/>
    <w:rsid w:val="00074CA7"/>
    <w:rsid w:val="00075321"/>
    <w:rsid w:val="000827B9"/>
    <w:rsid w:val="00083904"/>
    <w:rsid w:val="00090360"/>
    <w:rsid w:val="000906AE"/>
    <w:rsid w:val="00090777"/>
    <w:rsid w:val="00094E5C"/>
    <w:rsid w:val="000954F4"/>
    <w:rsid w:val="00095718"/>
    <w:rsid w:val="000962DA"/>
    <w:rsid w:val="000A07A1"/>
    <w:rsid w:val="000A6F0C"/>
    <w:rsid w:val="000B12A0"/>
    <w:rsid w:val="000B28AF"/>
    <w:rsid w:val="000C191D"/>
    <w:rsid w:val="000C4F6E"/>
    <w:rsid w:val="000C736B"/>
    <w:rsid w:val="000C76F4"/>
    <w:rsid w:val="000C7E94"/>
    <w:rsid w:val="000E1C43"/>
    <w:rsid w:val="000E5B31"/>
    <w:rsid w:val="000F1B2B"/>
    <w:rsid w:val="000F47B0"/>
    <w:rsid w:val="000F48E2"/>
    <w:rsid w:val="00125691"/>
    <w:rsid w:val="001278E4"/>
    <w:rsid w:val="001331D4"/>
    <w:rsid w:val="00142685"/>
    <w:rsid w:val="001507CC"/>
    <w:rsid w:val="001516E5"/>
    <w:rsid w:val="00152653"/>
    <w:rsid w:val="001557C7"/>
    <w:rsid w:val="001558BF"/>
    <w:rsid w:val="00156466"/>
    <w:rsid w:val="00160DC1"/>
    <w:rsid w:val="00174569"/>
    <w:rsid w:val="00175A9E"/>
    <w:rsid w:val="00175F3F"/>
    <w:rsid w:val="0018253F"/>
    <w:rsid w:val="00187BEE"/>
    <w:rsid w:val="00194355"/>
    <w:rsid w:val="0019540F"/>
    <w:rsid w:val="00196024"/>
    <w:rsid w:val="001A1C32"/>
    <w:rsid w:val="001A71B9"/>
    <w:rsid w:val="001B27E6"/>
    <w:rsid w:val="001B62DE"/>
    <w:rsid w:val="001C07D7"/>
    <w:rsid w:val="001C2375"/>
    <w:rsid w:val="001C252B"/>
    <w:rsid w:val="001C5FC0"/>
    <w:rsid w:val="001E3A1A"/>
    <w:rsid w:val="001E43D6"/>
    <w:rsid w:val="001E69B9"/>
    <w:rsid w:val="001E7BE7"/>
    <w:rsid w:val="001F3444"/>
    <w:rsid w:val="001F5E2B"/>
    <w:rsid w:val="0020036D"/>
    <w:rsid w:val="00204C66"/>
    <w:rsid w:val="00206F43"/>
    <w:rsid w:val="00207157"/>
    <w:rsid w:val="00216F8C"/>
    <w:rsid w:val="00222EE6"/>
    <w:rsid w:val="00224E88"/>
    <w:rsid w:val="0022650D"/>
    <w:rsid w:val="00226DDE"/>
    <w:rsid w:val="00230CC0"/>
    <w:rsid w:val="00233147"/>
    <w:rsid w:val="00240392"/>
    <w:rsid w:val="00243CD3"/>
    <w:rsid w:val="00244256"/>
    <w:rsid w:val="0024661B"/>
    <w:rsid w:val="00251A33"/>
    <w:rsid w:val="00251D0F"/>
    <w:rsid w:val="00252059"/>
    <w:rsid w:val="002550ED"/>
    <w:rsid w:val="00256658"/>
    <w:rsid w:val="00264832"/>
    <w:rsid w:val="002667D6"/>
    <w:rsid w:val="002722A1"/>
    <w:rsid w:val="002723FF"/>
    <w:rsid w:val="00275650"/>
    <w:rsid w:val="0027643E"/>
    <w:rsid w:val="00280A5A"/>
    <w:rsid w:val="002829CD"/>
    <w:rsid w:val="002839B6"/>
    <w:rsid w:val="0029757F"/>
    <w:rsid w:val="002A194A"/>
    <w:rsid w:val="002A2996"/>
    <w:rsid w:val="002B65DB"/>
    <w:rsid w:val="002B695B"/>
    <w:rsid w:val="002B70D2"/>
    <w:rsid w:val="002C3CC4"/>
    <w:rsid w:val="002C3CDB"/>
    <w:rsid w:val="002C6D77"/>
    <w:rsid w:val="002C71C5"/>
    <w:rsid w:val="002D37BE"/>
    <w:rsid w:val="002D5FA4"/>
    <w:rsid w:val="002E1E44"/>
    <w:rsid w:val="002E31D3"/>
    <w:rsid w:val="002E5A95"/>
    <w:rsid w:val="002E6B77"/>
    <w:rsid w:val="002F489B"/>
    <w:rsid w:val="002F4A33"/>
    <w:rsid w:val="002F6B6C"/>
    <w:rsid w:val="002F78C2"/>
    <w:rsid w:val="003151D7"/>
    <w:rsid w:val="00316586"/>
    <w:rsid w:val="00317113"/>
    <w:rsid w:val="003178FF"/>
    <w:rsid w:val="0034282A"/>
    <w:rsid w:val="00345653"/>
    <w:rsid w:val="003468F0"/>
    <w:rsid w:val="003473CD"/>
    <w:rsid w:val="00347C1F"/>
    <w:rsid w:val="00364B18"/>
    <w:rsid w:val="0036504D"/>
    <w:rsid w:val="0036678B"/>
    <w:rsid w:val="00373939"/>
    <w:rsid w:val="00386829"/>
    <w:rsid w:val="00386C93"/>
    <w:rsid w:val="00392F0C"/>
    <w:rsid w:val="00394C33"/>
    <w:rsid w:val="00395858"/>
    <w:rsid w:val="003963B8"/>
    <w:rsid w:val="003A03B3"/>
    <w:rsid w:val="003A03B5"/>
    <w:rsid w:val="003A1185"/>
    <w:rsid w:val="003A1EF7"/>
    <w:rsid w:val="003A4ACF"/>
    <w:rsid w:val="003A5F1B"/>
    <w:rsid w:val="003B61E3"/>
    <w:rsid w:val="003C1617"/>
    <w:rsid w:val="003D331D"/>
    <w:rsid w:val="003F60ED"/>
    <w:rsid w:val="003F7D65"/>
    <w:rsid w:val="00400F7F"/>
    <w:rsid w:val="00401F59"/>
    <w:rsid w:val="00404590"/>
    <w:rsid w:val="004126AF"/>
    <w:rsid w:val="0042016D"/>
    <w:rsid w:val="0042245F"/>
    <w:rsid w:val="00425680"/>
    <w:rsid w:val="004278CD"/>
    <w:rsid w:val="00435CB5"/>
    <w:rsid w:val="00440410"/>
    <w:rsid w:val="0044164E"/>
    <w:rsid w:val="0044198E"/>
    <w:rsid w:val="00443149"/>
    <w:rsid w:val="00453F4A"/>
    <w:rsid w:val="00460D22"/>
    <w:rsid w:val="004625DB"/>
    <w:rsid w:val="00464A8B"/>
    <w:rsid w:val="00466138"/>
    <w:rsid w:val="004664DF"/>
    <w:rsid w:val="004713DE"/>
    <w:rsid w:val="00472C5E"/>
    <w:rsid w:val="00475E4C"/>
    <w:rsid w:val="0047653E"/>
    <w:rsid w:val="00486E17"/>
    <w:rsid w:val="00490069"/>
    <w:rsid w:val="0049205A"/>
    <w:rsid w:val="004963D6"/>
    <w:rsid w:val="00496D48"/>
    <w:rsid w:val="004A31D6"/>
    <w:rsid w:val="004A4DCC"/>
    <w:rsid w:val="004A6C04"/>
    <w:rsid w:val="004B19BF"/>
    <w:rsid w:val="004C3260"/>
    <w:rsid w:val="004C5A9A"/>
    <w:rsid w:val="004D1553"/>
    <w:rsid w:val="004D1993"/>
    <w:rsid w:val="004E5850"/>
    <w:rsid w:val="004F0557"/>
    <w:rsid w:val="004F4DF5"/>
    <w:rsid w:val="004F6495"/>
    <w:rsid w:val="00510072"/>
    <w:rsid w:val="00514251"/>
    <w:rsid w:val="00515476"/>
    <w:rsid w:val="00526450"/>
    <w:rsid w:val="00530E05"/>
    <w:rsid w:val="00534C5D"/>
    <w:rsid w:val="00551657"/>
    <w:rsid w:val="005663EA"/>
    <w:rsid w:val="0057476F"/>
    <w:rsid w:val="00584808"/>
    <w:rsid w:val="00586ECC"/>
    <w:rsid w:val="005910B8"/>
    <w:rsid w:val="00592D7E"/>
    <w:rsid w:val="0059361C"/>
    <w:rsid w:val="005A5020"/>
    <w:rsid w:val="005B004B"/>
    <w:rsid w:val="005B1C8D"/>
    <w:rsid w:val="005B2158"/>
    <w:rsid w:val="005B34A9"/>
    <w:rsid w:val="005C2A58"/>
    <w:rsid w:val="005C3CF4"/>
    <w:rsid w:val="005D4D0C"/>
    <w:rsid w:val="005D53F7"/>
    <w:rsid w:val="005D6439"/>
    <w:rsid w:val="005E37C8"/>
    <w:rsid w:val="005E3D98"/>
    <w:rsid w:val="005E5C0F"/>
    <w:rsid w:val="005F09C0"/>
    <w:rsid w:val="00601E45"/>
    <w:rsid w:val="0061473F"/>
    <w:rsid w:val="00614E95"/>
    <w:rsid w:val="00620458"/>
    <w:rsid w:val="00621992"/>
    <w:rsid w:val="00623EC0"/>
    <w:rsid w:val="00624B9C"/>
    <w:rsid w:val="0062751A"/>
    <w:rsid w:val="00630F89"/>
    <w:rsid w:val="0063460B"/>
    <w:rsid w:val="006433FF"/>
    <w:rsid w:val="00650503"/>
    <w:rsid w:val="00666D80"/>
    <w:rsid w:val="00672B07"/>
    <w:rsid w:val="00683F3B"/>
    <w:rsid w:val="006A343D"/>
    <w:rsid w:val="006A3FDC"/>
    <w:rsid w:val="006A4B47"/>
    <w:rsid w:val="006A77D7"/>
    <w:rsid w:val="006A7A2D"/>
    <w:rsid w:val="006ADFBB"/>
    <w:rsid w:val="006B17F0"/>
    <w:rsid w:val="006B4AFE"/>
    <w:rsid w:val="006B753C"/>
    <w:rsid w:val="006B7CD7"/>
    <w:rsid w:val="006C3C61"/>
    <w:rsid w:val="006D09CA"/>
    <w:rsid w:val="006D4D4C"/>
    <w:rsid w:val="006E01E0"/>
    <w:rsid w:val="006E2FD2"/>
    <w:rsid w:val="00706406"/>
    <w:rsid w:val="00711393"/>
    <w:rsid w:val="007237F2"/>
    <w:rsid w:val="007361F1"/>
    <w:rsid w:val="00741F01"/>
    <w:rsid w:val="0074246F"/>
    <w:rsid w:val="00744363"/>
    <w:rsid w:val="00744667"/>
    <w:rsid w:val="007546FB"/>
    <w:rsid w:val="007621F4"/>
    <w:rsid w:val="00765715"/>
    <w:rsid w:val="0077138E"/>
    <w:rsid w:val="00773225"/>
    <w:rsid w:val="007776DB"/>
    <w:rsid w:val="007814DE"/>
    <w:rsid w:val="00783321"/>
    <w:rsid w:val="00791604"/>
    <w:rsid w:val="007A0E73"/>
    <w:rsid w:val="007A59D3"/>
    <w:rsid w:val="007A71EE"/>
    <w:rsid w:val="007B068B"/>
    <w:rsid w:val="007B072A"/>
    <w:rsid w:val="007C16F3"/>
    <w:rsid w:val="007C3F63"/>
    <w:rsid w:val="007C5659"/>
    <w:rsid w:val="007C76BE"/>
    <w:rsid w:val="007D1216"/>
    <w:rsid w:val="007D296D"/>
    <w:rsid w:val="007D2C71"/>
    <w:rsid w:val="007D313B"/>
    <w:rsid w:val="007F075C"/>
    <w:rsid w:val="007F467A"/>
    <w:rsid w:val="007F666A"/>
    <w:rsid w:val="007F7E58"/>
    <w:rsid w:val="00810B1C"/>
    <w:rsid w:val="00810F90"/>
    <w:rsid w:val="008115DC"/>
    <w:rsid w:val="00812B9F"/>
    <w:rsid w:val="00812F0E"/>
    <w:rsid w:val="00813A34"/>
    <w:rsid w:val="0081657C"/>
    <w:rsid w:val="00817599"/>
    <w:rsid w:val="008223CD"/>
    <w:rsid w:val="00825350"/>
    <w:rsid w:val="00836668"/>
    <w:rsid w:val="008410A9"/>
    <w:rsid w:val="008422FD"/>
    <w:rsid w:val="00842754"/>
    <w:rsid w:val="00850545"/>
    <w:rsid w:val="0086457A"/>
    <w:rsid w:val="00885B2E"/>
    <w:rsid w:val="0088624B"/>
    <w:rsid w:val="008960A8"/>
    <w:rsid w:val="008A05BE"/>
    <w:rsid w:val="008A3482"/>
    <w:rsid w:val="008A5A9B"/>
    <w:rsid w:val="008B0630"/>
    <w:rsid w:val="008C0580"/>
    <w:rsid w:val="008D4AB4"/>
    <w:rsid w:val="008D4BA8"/>
    <w:rsid w:val="008D68C3"/>
    <w:rsid w:val="008D7756"/>
    <w:rsid w:val="008F1552"/>
    <w:rsid w:val="008F35A7"/>
    <w:rsid w:val="008F5AAD"/>
    <w:rsid w:val="008F6E87"/>
    <w:rsid w:val="00922358"/>
    <w:rsid w:val="0092564B"/>
    <w:rsid w:val="00925CE6"/>
    <w:rsid w:val="00930EF6"/>
    <w:rsid w:val="009344B7"/>
    <w:rsid w:val="00935035"/>
    <w:rsid w:val="009352BA"/>
    <w:rsid w:val="00945FA8"/>
    <w:rsid w:val="00962471"/>
    <w:rsid w:val="0096479E"/>
    <w:rsid w:val="00975C79"/>
    <w:rsid w:val="009820D5"/>
    <w:rsid w:val="009823DD"/>
    <w:rsid w:val="009872BE"/>
    <w:rsid w:val="00994A4C"/>
    <w:rsid w:val="00996B90"/>
    <w:rsid w:val="009A7E0A"/>
    <w:rsid w:val="009B692F"/>
    <w:rsid w:val="009C126D"/>
    <w:rsid w:val="009D6678"/>
    <w:rsid w:val="009E2461"/>
    <w:rsid w:val="00A00CA5"/>
    <w:rsid w:val="00A00D5B"/>
    <w:rsid w:val="00A02E04"/>
    <w:rsid w:val="00A103C7"/>
    <w:rsid w:val="00A13109"/>
    <w:rsid w:val="00A1434F"/>
    <w:rsid w:val="00A1652F"/>
    <w:rsid w:val="00A17E5B"/>
    <w:rsid w:val="00A22A95"/>
    <w:rsid w:val="00A252C5"/>
    <w:rsid w:val="00A36379"/>
    <w:rsid w:val="00A41E08"/>
    <w:rsid w:val="00A42C91"/>
    <w:rsid w:val="00A47114"/>
    <w:rsid w:val="00A51272"/>
    <w:rsid w:val="00A623D2"/>
    <w:rsid w:val="00A82111"/>
    <w:rsid w:val="00A8211D"/>
    <w:rsid w:val="00A84034"/>
    <w:rsid w:val="00A942F1"/>
    <w:rsid w:val="00AA5CC5"/>
    <w:rsid w:val="00AC4818"/>
    <w:rsid w:val="00AC5120"/>
    <w:rsid w:val="00AC57D3"/>
    <w:rsid w:val="00AC58B0"/>
    <w:rsid w:val="00AC635D"/>
    <w:rsid w:val="00AD1EA1"/>
    <w:rsid w:val="00AD6786"/>
    <w:rsid w:val="00AE2B30"/>
    <w:rsid w:val="00AF6E4F"/>
    <w:rsid w:val="00AF746F"/>
    <w:rsid w:val="00B011A9"/>
    <w:rsid w:val="00B02B40"/>
    <w:rsid w:val="00B10623"/>
    <w:rsid w:val="00B12446"/>
    <w:rsid w:val="00B12878"/>
    <w:rsid w:val="00B16F5C"/>
    <w:rsid w:val="00B23D18"/>
    <w:rsid w:val="00B23FBA"/>
    <w:rsid w:val="00B303BA"/>
    <w:rsid w:val="00B31384"/>
    <w:rsid w:val="00B34EFC"/>
    <w:rsid w:val="00B37572"/>
    <w:rsid w:val="00B40FB9"/>
    <w:rsid w:val="00B413C6"/>
    <w:rsid w:val="00B43106"/>
    <w:rsid w:val="00B44203"/>
    <w:rsid w:val="00B50C1C"/>
    <w:rsid w:val="00B52F12"/>
    <w:rsid w:val="00B57C16"/>
    <w:rsid w:val="00B64FD0"/>
    <w:rsid w:val="00B76379"/>
    <w:rsid w:val="00BA0ADA"/>
    <w:rsid w:val="00BA556C"/>
    <w:rsid w:val="00BB09A8"/>
    <w:rsid w:val="00BB3906"/>
    <w:rsid w:val="00BD014F"/>
    <w:rsid w:val="00BD10AD"/>
    <w:rsid w:val="00BD1E2F"/>
    <w:rsid w:val="00BD3FAA"/>
    <w:rsid w:val="00BD480C"/>
    <w:rsid w:val="00BD4881"/>
    <w:rsid w:val="00BD5F7F"/>
    <w:rsid w:val="00BE504C"/>
    <w:rsid w:val="00BF039D"/>
    <w:rsid w:val="00BF216F"/>
    <w:rsid w:val="00C01962"/>
    <w:rsid w:val="00C02B63"/>
    <w:rsid w:val="00C05713"/>
    <w:rsid w:val="00C10797"/>
    <w:rsid w:val="00C11905"/>
    <w:rsid w:val="00C21445"/>
    <w:rsid w:val="00C220A1"/>
    <w:rsid w:val="00C25DBF"/>
    <w:rsid w:val="00C401B3"/>
    <w:rsid w:val="00C42EF0"/>
    <w:rsid w:val="00C50E56"/>
    <w:rsid w:val="00C5157B"/>
    <w:rsid w:val="00C53A28"/>
    <w:rsid w:val="00C6173F"/>
    <w:rsid w:val="00C65208"/>
    <w:rsid w:val="00C679AA"/>
    <w:rsid w:val="00C67DDF"/>
    <w:rsid w:val="00C70F61"/>
    <w:rsid w:val="00C74708"/>
    <w:rsid w:val="00C82DAA"/>
    <w:rsid w:val="00C8632F"/>
    <w:rsid w:val="00C9157B"/>
    <w:rsid w:val="00C943C8"/>
    <w:rsid w:val="00CA731C"/>
    <w:rsid w:val="00CB1A9E"/>
    <w:rsid w:val="00CD4816"/>
    <w:rsid w:val="00CD5F7C"/>
    <w:rsid w:val="00CD7395"/>
    <w:rsid w:val="00CE4121"/>
    <w:rsid w:val="00CF25AB"/>
    <w:rsid w:val="00CF6B84"/>
    <w:rsid w:val="00D11E51"/>
    <w:rsid w:val="00D14383"/>
    <w:rsid w:val="00D153CA"/>
    <w:rsid w:val="00D21D17"/>
    <w:rsid w:val="00D2285E"/>
    <w:rsid w:val="00D42C88"/>
    <w:rsid w:val="00D43C16"/>
    <w:rsid w:val="00D50DC2"/>
    <w:rsid w:val="00D51619"/>
    <w:rsid w:val="00D5534A"/>
    <w:rsid w:val="00D6347F"/>
    <w:rsid w:val="00D638DB"/>
    <w:rsid w:val="00D667EF"/>
    <w:rsid w:val="00D967B2"/>
    <w:rsid w:val="00D97B79"/>
    <w:rsid w:val="00DA0594"/>
    <w:rsid w:val="00DA2EE9"/>
    <w:rsid w:val="00DA7167"/>
    <w:rsid w:val="00DD0710"/>
    <w:rsid w:val="00DD218D"/>
    <w:rsid w:val="00DD321B"/>
    <w:rsid w:val="00DD78FA"/>
    <w:rsid w:val="00DF0BDC"/>
    <w:rsid w:val="00DF0C57"/>
    <w:rsid w:val="00DF4EC2"/>
    <w:rsid w:val="00DF6F13"/>
    <w:rsid w:val="00E013F6"/>
    <w:rsid w:val="00E029E9"/>
    <w:rsid w:val="00E05541"/>
    <w:rsid w:val="00E0650B"/>
    <w:rsid w:val="00E114B1"/>
    <w:rsid w:val="00E15E29"/>
    <w:rsid w:val="00E175A2"/>
    <w:rsid w:val="00E20BE9"/>
    <w:rsid w:val="00E2175C"/>
    <w:rsid w:val="00E21763"/>
    <w:rsid w:val="00E2289C"/>
    <w:rsid w:val="00E240A1"/>
    <w:rsid w:val="00E3293C"/>
    <w:rsid w:val="00E4116F"/>
    <w:rsid w:val="00E417EB"/>
    <w:rsid w:val="00E43CB1"/>
    <w:rsid w:val="00E45A9A"/>
    <w:rsid w:val="00E46B7C"/>
    <w:rsid w:val="00E52E8B"/>
    <w:rsid w:val="00E55D80"/>
    <w:rsid w:val="00E60644"/>
    <w:rsid w:val="00E64F6E"/>
    <w:rsid w:val="00E67A17"/>
    <w:rsid w:val="00E743E8"/>
    <w:rsid w:val="00E75472"/>
    <w:rsid w:val="00E80534"/>
    <w:rsid w:val="00EA1183"/>
    <w:rsid w:val="00EA3E38"/>
    <w:rsid w:val="00EB27F2"/>
    <w:rsid w:val="00EB44E9"/>
    <w:rsid w:val="00EB7752"/>
    <w:rsid w:val="00EC0BC7"/>
    <w:rsid w:val="00EC23F2"/>
    <w:rsid w:val="00EC6D40"/>
    <w:rsid w:val="00EC7047"/>
    <w:rsid w:val="00EC70AE"/>
    <w:rsid w:val="00EC727C"/>
    <w:rsid w:val="00ED38E1"/>
    <w:rsid w:val="00ED3907"/>
    <w:rsid w:val="00ED3B46"/>
    <w:rsid w:val="00EE2AFE"/>
    <w:rsid w:val="00EF3A61"/>
    <w:rsid w:val="00EF3C6A"/>
    <w:rsid w:val="00F0085E"/>
    <w:rsid w:val="00F11EDD"/>
    <w:rsid w:val="00F12A70"/>
    <w:rsid w:val="00F14CF2"/>
    <w:rsid w:val="00F31841"/>
    <w:rsid w:val="00F31DF6"/>
    <w:rsid w:val="00F3665C"/>
    <w:rsid w:val="00F40EEF"/>
    <w:rsid w:val="00F418C6"/>
    <w:rsid w:val="00F45921"/>
    <w:rsid w:val="00F53413"/>
    <w:rsid w:val="00F5524F"/>
    <w:rsid w:val="00F613D0"/>
    <w:rsid w:val="00F63348"/>
    <w:rsid w:val="00F7121F"/>
    <w:rsid w:val="00F82A0F"/>
    <w:rsid w:val="00F92BFE"/>
    <w:rsid w:val="00F9582F"/>
    <w:rsid w:val="00FA0532"/>
    <w:rsid w:val="00FA0A77"/>
    <w:rsid w:val="00FA4C7C"/>
    <w:rsid w:val="00FA5E3B"/>
    <w:rsid w:val="00FB2980"/>
    <w:rsid w:val="00FB4B48"/>
    <w:rsid w:val="00FB5F82"/>
    <w:rsid w:val="00FC1CDB"/>
    <w:rsid w:val="00FC5F90"/>
    <w:rsid w:val="00FD07BE"/>
    <w:rsid w:val="00FD3426"/>
    <w:rsid w:val="00FD3F6E"/>
    <w:rsid w:val="00FD7E6C"/>
    <w:rsid w:val="00FE12A4"/>
    <w:rsid w:val="00FE3272"/>
    <w:rsid w:val="00FF052F"/>
    <w:rsid w:val="00FF151E"/>
    <w:rsid w:val="00FF2D68"/>
    <w:rsid w:val="011000A6"/>
    <w:rsid w:val="01678E8C"/>
    <w:rsid w:val="01A8A0EF"/>
    <w:rsid w:val="027A92D4"/>
    <w:rsid w:val="02888D84"/>
    <w:rsid w:val="029ABCA6"/>
    <w:rsid w:val="02A2FD51"/>
    <w:rsid w:val="02C3EECF"/>
    <w:rsid w:val="031EB5F3"/>
    <w:rsid w:val="0377591D"/>
    <w:rsid w:val="039C5737"/>
    <w:rsid w:val="04434544"/>
    <w:rsid w:val="0446C63A"/>
    <w:rsid w:val="044CEDAF"/>
    <w:rsid w:val="04A3ED5E"/>
    <w:rsid w:val="04AD0C24"/>
    <w:rsid w:val="04E280DA"/>
    <w:rsid w:val="0544A5BD"/>
    <w:rsid w:val="0554B7E1"/>
    <w:rsid w:val="05B802F8"/>
    <w:rsid w:val="05D5E471"/>
    <w:rsid w:val="0623BBE7"/>
    <w:rsid w:val="06E38A61"/>
    <w:rsid w:val="06F2F7F7"/>
    <w:rsid w:val="075CD718"/>
    <w:rsid w:val="07AAAE30"/>
    <w:rsid w:val="07D2B25A"/>
    <w:rsid w:val="07D52D8F"/>
    <w:rsid w:val="081A7F1C"/>
    <w:rsid w:val="08592C0F"/>
    <w:rsid w:val="08D56A18"/>
    <w:rsid w:val="0905B3C8"/>
    <w:rsid w:val="0A152D79"/>
    <w:rsid w:val="0A6370C3"/>
    <w:rsid w:val="0A6E4421"/>
    <w:rsid w:val="0A8F850F"/>
    <w:rsid w:val="0AAE02B3"/>
    <w:rsid w:val="0B2F43D4"/>
    <w:rsid w:val="0B32802C"/>
    <w:rsid w:val="0B4D6D3D"/>
    <w:rsid w:val="0BE473E4"/>
    <w:rsid w:val="0C668231"/>
    <w:rsid w:val="0E593C6F"/>
    <w:rsid w:val="0E7AEED2"/>
    <w:rsid w:val="0E92C8AD"/>
    <w:rsid w:val="0EBBDF3E"/>
    <w:rsid w:val="0F444217"/>
    <w:rsid w:val="0F697224"/>
    <w:rsid w:val="104782FF"/>
    <w:rsid w:val="10B19E4B"/>
    <w:rsid w:val="121BAF02"/>
    <w:rsid w:val="128FE046"/>
    <w:rsid w:val="12922F52"/>
    <w:rsid w:val="136D90E4"/>
    <w:rsid w:val="13B8F465"/>
    <w:rsid w:val="14979E02"/>
    <w:rsid w:val="14D72308"/>
    <w:rsid w:val="151D29BA"/>
    <w:rsid w:val="1531DB98"/>
    <w:rsid w:val="15668F4C"/>
    <w:rsid w:val="15807831"/>
    <w:rsid w:val="16156DB6"/>
    <w:rsid w:val="1644D1F9"/>
    <w:rsid w:val="165F3251"/>
    <w:rsid w:val="168BC1A7"/>
    <w:rsid w:val="16E1840B"/>
    <w:rsid w:val="16F9F192"/>
    <w:rsid w:val="172CDEE2"/>
    <w:rsid w:val="178230A9"/>
    <w:rsid w:val="17989717"/>
    <w:rsid w:val="18487826"/>
    <w:rsid w:val="1870D559"/>
    <w:rsid w:val="18DA8129"/>
    <w:rsid w:val="19616860"/>
    <w:rsid w:val="1ADA98B4"/>
    <w:rsid w:val="1B37B825"/>
    <w:rsid w:val="1B45656E"/>
    <w:rsid w:val="1B9D4877"/>
    <w:rsid w:val="1BA8183D"/>
    <w:rsid w:val="1BAF2F6C"/>
    <w:rsid w:val="1BD7F972"/>
    <w:rsid w:val="1C71BCEA"/>
    <w:rsid w:val="1C9A7DC0"/>
    <w:rsid w:val="1C9D3BA7"/>
    <w:rsid w:val="1CB20CBA"/>
    <w:rsid w:val="1CE3DEF9"/>
    <w:rsid w:val="1CFB530F"/>
    <w:rsid w:val="1D05C070"/>
    <w:rsid w:val="1D2B1B62"/>
    <w:rsid w:val="1DD99442"/>
    <w:rsid w:val="1E0366A0"/>
    <w:rsid w:val="1E265C97"/>
    <w:rsid w:val="1EFD43AF"/>
    <w:rsid w:val="1F6C41A6"/>
    <w:rsid w:val="2007040D"/>
    <w:rsid w:val="20B7AABC"/>
    <w:rsid w:val="20EF45E9"/>
    <w:rsid w:val="212040E1"/>
    <w:rsid w:val="216231BD"/>
    <w:rsid w:val="22322A9C"/>
    <w:rsid w:val="22AD3598"/>
    <w:rsid w:val="22E08C57"/>
    <w:rsid w:val="23359FF3"/>
    <w:rsid w:val="23490471"/>
    <w:rsid w:val="2359370A"/>
    <w:rsid w:val="23F02152"/>
    <w:rsid w:val="23F45AB4"/>
    <w:rsid w:val="2405CF2A"/>
    <w:rsid w:val="249587DD"/>
    <w:rsid w:val="2497AB3D"/>
    <w:rsid w:val="2568E17D"/>
    <w:rsid w:val="26132D5C"/>
    <w:rsid w:val="2622254A"/>
    <w:rsid w:val="26271F76"/>
    <w:rsid w:val="264BAA07"/>
    <w:rsid w:val="27176783"/>
    <w:rsid w:val="274D7AB8"/>
    <w:rsid w:val="275B3252"/>
    <w:rsid w:val="27A194A1"/>
    <w:rsid w:val="284B9CA8"/>
    <w:rsid w:val="291B1A80"/>
    <w:rsid w:val="291D1EAB"/>
    <w:rsid w:val="29737F2B"/>
    <w:rsid w:val="29CDF7F1"/>
    <w:rsid w:val="2A4D8012"/>
    <w:rsid w:val="2A7830D9"/>
    <w:rsid w:val="2AF05AF7"/>
    <w:rsid w:val="2B720961"/>
    <w:rsid w:val="2BCAAA64"/>
    <w:rsid w:val="2C5FB536"/>
    <w:rsid w:val="2C7C29C9"/>
    <w:rsid w:val="2C9793B4"/>
    <w:rsid w:val="2CBC56FA"/>
    <w:rsid w:val="2CE89295"/>
    <w:rsid w:val="2D0D0CF8"/>
    <w:rsid w:val="2DE8588E"/>
    <w:rsid w:val="2DF8D211"/>
    <w:rsid w:val="2EACB84D"/>
    <w:rsid w:val="2F0EC2C9"/>
    <w:rsid w:val="2F51D830"/>
    <w:rsid w:val="2F802511"/>
    <w:rsid w:val="301D5CF0"/>
    <w:rsid w:val="303E48AD"/>
    <w:rsid w:val="30432731"/>
    <w:rsid w:val="30865996"/>
    <w:rsid w:val="309C62F4"/>
    <w:rsid w:val="311BA838"/>
    <w:rsid w:val="32946D4F"/>
    <w:rsid w:val="32E45E8F"/>
    <w:rsid w:val="32F40A54"/>
    <w:rsid w:val="338E0CDF"/>
    <w:rsid w:val="33E8252D"/>
    <w:rsid w:val="340BC748"/>
    <w:rsid w:val="345AABF2"/>
    <w:rsid w:val="35084AD0"/>
    <w:rsid w:val="3524C745"/>
    <w:rsid w:val="352AA56A"/>
    <w:rsid w:val="357D557B"/>
    <w:rsid w:val="36562DAC"/>
    <w:rsid w:val="365DF13E"/>
    <w:rsid w:val="366103F5"/>
    <w:rsid w:val="36A3C03A"/>
    <w:rsid w:val="36B660D6"/>
    <w:rsid w:val="3814A5E7"/>
    <w:rsid w:val="381F97C8"/>
    <w:rsid w:val="3828BB2B"/>
    <w:rsid w:val="38D37AA7"/>
    <w:rsid w:val="39147673"/>
    <w:rsid w:val="3919AD39"/>
    <w:rsid w:val="39E49A40"/>
    <w:rsid w:val="39EAE43F"/>
    <w:rsid w:val="3A67CC65"/>
    <w:rsid w:val="3A71D65F"/>
    <w:rsid w:val="3AA99BD0"/>
    <w:rsid w:val="3AB77AE3"/>
    <w:rsid w:val="3ABCEDD3"/>
    <w:rsid w:val="3B37654A"/>
    <w:rsid w:val="3B922E00"/>
    <w:rsid w:val="3C3CDF53"/>
    <w:rsid w:val="3CFB00B6"/>
    <w:rsid w:val="3D9B474F"/>
    <w:rsid w:val="3DAE27EA"/>
    <w:rsid w:val="3DC86629"/>
    <w:rsid w:val="3E76A617"/>
    <w:rsid w:val="3E7EEE5E"/>
    <w:rsid w:val="3E964E33"/>
    <w:rsid w:val="3EBE29AF"/>
    <w:rsid w:val="3F02285D"/>
    <w:rsid w:val="3FE998D2"/>
    <w:rsid w:val="40BAF8DE"/>
    <w:rsid w:val="41AD5B2C"/>
    <w:rsid w:val="420E053C"/>
    <w:rsid w:val="42240AAB"/>
    <w:rsid w:val="4284F122"/>
    <w:rsid w:val="428EB8B5"/>
    <w:rsid w:val="42B34A37"/>
    <w:rsid w:val="43188360"/>
    <w:rsid w:val="439D14B9"/>
    <w:rsid w:val="443FA631"/>
    <w:rsid w:val="446B3CDD"/>
    <w:rsid w:val="4492424B"/>
    <w:rsid w:val="44938B5C"/>
    <w:rsid w:val="449B41A8"/>
    <w:rsid w:val="453AD6DC"/>
    <w:rsid w:val="457B37E2"/>
    <w:rsid w:val="45C5E8BD"/>
    <w:rsid w:val="463C3117"/>
    <w:rsid w:val="4694D806"/>
    <w:rsid w:val="4702B3AB"/>
    <w:rsid w:val="47CB3C7C"/>
    <w:rsid w:val="47FBE454"/>
    <w:rsid w:val="47FD852B"/>
    <w:rsid w:val="48419993"/>
    <w:rsid w:val="486B6BBA"/>
    <w:rsid w:val="4885F71E"/>
    <w:rsid w:val="494751B8"/>
    <w:rsid w:val="495D380B"/>
    <w:rsid w:val="49D2B898"/>
    <w:rsid w:val="49F14A89"/>
    <w:rsid w:val="49F83657"/>
    <w:rsid w:val="4A0D9E8D"/>
    <w:rsid w:val="4A412222"/>
    <w:rsid w:val="4A933D55"/>
    <w:rsid w:val="4AB358AF"/>
    <w:rsid w:val="4AE46375"/>
    <w:rsid w:val="4B3069E1"/>
    <w:rsid w:val="4B39EB64"/>
    <w:rsid w:val="4B71614D"/>
    <w:rsid w:val="4C171C27"/>
    <w:rsid w:val="4C478B75"/>
    <w:rsid w:val="4C9DE49F"/>
    <w:rsid w:val="4CB17146"/>
    <w:rsid w:val="4D084327"/>
    <w:rsid w:val="4D587D8C"/>
    <w:rsid w:val="4D9F3030"/>
    <w:rsid w:val="4DFA6C5D"/>
    <w:rsid w:val="4EF72A63"/>
    <w:rsid w:val="50185C16"/>
    <w:rsid w:val="5077D3CB"/>
    <w:rsid w:val="5174B450"/>
    <w:rsid w:val="518A0183"/>
    <w:rsid w:val="51DD175B"/>
    <w:rsid w:val="52099C32"/>
    <w:rsid w:val="52AAA821"/>
    <w:rsid w:val="530E13CD"/>
    <w:rsid w:val="536F4096"/>
    <w:rsid w:val="53757A65"/>
    <w:rsid w:val="537F341C"/>
    <w:rsid w:val="53DD98B4"/>
    <w:rsid w:val="53E81D1A"/>
    <w:rsid w:val="53FE9EE0"/>
    <w:rsid w:val="54E4ED7B"/>
    <w:rsid w:val="55BA7CD3"/>
    <w:rsid w:val="560F16C4"/>
    <w:rsid w:val="565587F0"/>
    <w:rsid w:val="566C5C31"/>
    <w:rsid w:val="56E8C7C8"/>
    <w:rsid w:val="57BE7A3B"/>
    <w:rsid w:val="587AD27F"/>
    <w:rsid w:val="58B95157"/>
    <w:rsid w:val="58C6895A"/>
    <w:rsid w:val="58EEED29"/>
    <w:rsid w:val="5921EF05"/>
    <w:rsid w:val="594CCD40"/>
    <w:rsid w:val="596B069A"/>
    <w:rsid w:val="59917F6B"/>
    <w:rsid w:val="59A532CB"/>
    <w:rsid w:val="5AF4EFFF"/>
    <w:rsid w:val="5B9B7255"/>
    <w:rsid w:val="5B9BED4E"/>
    <w:rsid w:val="5C35C7DE"/>
    <w:rsid w:val="5C5E936F"/>
    <w:rsid w:val="5C7C2181"/>
    <w:rsid w:val="5CA2027C"/>
    <w:rsid w:val="5CF5853A"/>
    <w:rsid w:val="5D17F7AA"/>
    <w:rsid w:val="5D67CAD5"/>
    <w:rsid w:val="5D7102BE"/>
    <w:rsid w:val="5DE6BD1B"/>
    <w:rsid w:val="5E7DAA20"/>
    <w:rsid w:val="5F163A09"/>
    <w:rsid w:val="5F5F9C87"/>
    <w:rsid w:val="5F7E5CA7"/>
    <w:rsid w:val="600089E4"/>
    <w:rsid w:val="601A8904"/>
    <w:rsid w:val="616BCB48"/>
    <w:rsid w:val="6173022B"/>
    <w:rsid w:val="621F8BA8"/>
    <w:rsid w:val="626F52A3"/>
    <w:rsid w:val="62705FD3"/>
    <w:rsid w:val="62FA54F6"/>
    <w:rsid w:val="62FDF60F"/>
    <w:rsid w:val="6410321B"/>
    <w:rsid w:val="64D9C25D"/>
    <w:rsid w:val="64FBAA88"/>
    <w:rsid w:val="6561CED0"/>
    <w:rsid w:val="658A7E64"/>
    <w:rsid w:val="65B97886"/>
    <w:rsid w:val="65DA6D85"/>
    <w:rsid w:val="661001C9"/>
    <w:rsid w:val="665B8141"/>
    <w:rsid w:val="668418FD"/>
    <w:rsid w:val="6688FFC5"/>
    <w:rsid w:val="66D201D4"/>
    <w:rsid w:val="66DF4135"/>
    <w:rsid w:val="66F1969A"/>
    <w:rsid w:val="66F432F0"/>
    <w:rsid w:val="672403E3"/>
    <w:rsid w:val="6767A1F7"/>
    <w:rsid w:val="6840FBCF"/>
    <w:rsid w:val="68AFD3BD"/>
    <w:rsid w:val="68C48F47"/>
    <w:rsid w:val="68D5D42C"/>
    <w:rsid w:val="68DD356E"/>
    <w:rsid w:val="697F6907"/>
    <w:rsid w:val="69D21E9C"/>
    <w:rsid w:val="69D6B6A9"/>
    <w:rsid w:val="69F6F7CC"/>
    <w:rsid w:val="69F7C1FF"/>
    <w:rsid w:val="6A3155CF"/>
    <w:rsid w:val="6A7E086E"/>
    <w:rsid w:val="6ADA91D5"/>
    <w:rsid w:val="6AE1884B"/>
    <w:rsid w:val="6B8A650C"/>
    <w:rsid w:val="6BF800C7"/>
    <w:rsid w:val="6C0FD87A"/>
    <w:rsid w:val="6C1A26CC"/>
    <w:rsid w:val="6C593A3B"/>
    <w:rsid w:val="6C6142F7"/>
    <w:rsid w:val="6CC37A06"/>
    <w:rsid w:val="6DE444F7"/>
    <w:rsid w:val="6E755AD4"/>
    <w:rsid w:val="6EA932FA"/>
    <w:rsid w:val="6F37038C"/>
    <w:rsid w:val="6F894F1D"/>
    <w:rsid w:val="6F908A90"/>
    <w:rsid w:val="6FCC3497"/>
    <w:rsid w:val="6FEF8809"/>
    <w:rsid w:val="6FF28FB4"/>
    <w:rsid w:val="70A77B2B"/>
    <w:rsid w:val="70ED107B"/>
    <w:rsid w:val="71092A1E"/>
    <w:rsid w:val="71A91126"/>
    <w:rsid w:val="71F9EEA4"/>
    <w:rsid w:val="71FCF225"/>
    <w:rsid w:val="72060293"/>
    <w:rsid w:val="7216E87E"/>
    <w:rsid w:val="726120E7"/>
    <w:rsid w:val="7266708E"/>
    <w:rsid w:val="72E148DF"/>
    <w:rsid w:val="7358F6DF"/>
    <w:rsid w:val="73BFCB89"/>
    <w:rsid w:val="73F93DDE"/>
    <w:rsid w:val="742365B2"/>
    <w:rsid w:val="74FD3405"/>
    <w:rsid w:val="7523220B"/>
    <w:rsid w:val="75409A5F"/>
    <w:rsid w:val="756CFEB1"/>
    <w:rsid w:val="75A32858"/>
    <w:rsid w:val="75AB2B50"/>
    <w:rsid w:val="75CEE2FC"/>
    <w:rsid w:val="761363EA"/>
    <w:rsid w:val="7725033C"/>
    <w:rsid w:val="7750A452"/>
    <w:rsid w:val="77958376"/>
    <w:rsid w:val="77D23F72"/>
    <w:rsid w:val="78803323"/>
    <w:rsid w:val="78A00976"/>
    <w:rsid w:val="78AD8D5F"/>
    <w:rsid w:val="792E5A82"/>
    <w:rsid w:val="79498DAF"/>
    <w:rsid w:val="7952A8BD"/>
    <w:rsid w:val="797BC09F"/>
    <w:rsid w:val="7999B15D"/>
    <w:rsid w:val="7A6FED92"/>
    <w:rsid w:val="7AA332C9"/>
    <w:rsid w:val="7B6C3980"/>
    <w:rsid w:val="7BC9008D"/>
    <w:rsid w:val="7BDC141D"/>
    <w:rsid w:val="7BF33488"/>
    <w:rsid w:val="7D2A064C"/>
    <w:rsid w:val="7D5BFD2D"/>
    <w:rsid w:val="7D6544BD"/>
    <w:rsid w:val="7E305BF9"/>
    <w:rsid w:val="7E4CDBB7"/>
    <w:rsid w:val="7E5B0129"/>
    <w:rsid w:val="7F23BFB2"/>
    <w:rsid w:val="7F3A99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B467"/>
  <w15:chartTrackingRefBased/>
  <w15:docId w15:val="{F6992D68-D256-4977-A8E1-D23ECF20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572"/>
    <w:pPr>
      <w:ind w:left="720"/>
      <w:contextualSpacing/>
    </w:pPr>
  </w:style>
  <w:style w:type="character" w:customStyle="1" w:styleId="Heading1Char">
    <w:name w:val="Heading 1 Char"/>
    <w:basedOn w:val="DefaultParagraphFont"/>
    <w:link w:val="Heading1"/>
    <w:uiPriority w:val="9"/>
    <w:rsid w:val="00B37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57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3A0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3B5"/>
    <w:rPr>
      <w:sz w:val="20"/>
      <w:szCs w:val="20"/>
    </w:rPr>
  </w:style>
  <w:style w:type="character" w:styleId="FootnoteReference">
    <w:name w:val="footnote reference"/>
    <w:basedOn w:val="DefaultParagraphFont"/>
    <w:uiPriority w:val="99"/>
    <w:semiHidden/>
    <w:unhideWhenUsed/>
    <w:rsid w:val="003A03B5"/>
    <w:rPr>
      <w:vertAlign w:val="superscript"/>
    </w:rPr>
  </w:style>
  <w:style w:type="character" w:styleId="Hyperlink">
    <w:name w:val="Hyperlink"/>
    <w:basedOn w:val="DefaultParagraphFont"/>
    <w:uiPriority w:val="99"/>
    <w:unhideWhenUsed/>
    <w:rsid w:val="003A03B5"/>
    <w:rPr>
      <w:color w:val="0563C1" w:themeColor="hyperlink"/>
      <w:u w:val="single"/>
    </w:rPr>
  </w:style>
  <w:style w:type="paragraph" w:styleId="Header">
    <w:name w:val="header"/>
    <w:basedOn w:val="Normal"/>
    <w:link w:val="HeaderChar"/>
    <w:uiPriority w:val="99"/>
    <w:unhideWhenUsed/>
    <w:rsid w:val="006E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2"/>
  </w:style>
  <w:style w:type="paragraph" w:styleId="Footer">
    <w:name w:val="footer"/>
    <w:basedOn w:val="Normal"/>
    <w:link w:val="FooterChar"/>
    <w:uiPriority w:val="99"/>
    <w:unhideWhenUsed/>
    <w:rsid w:val="006E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2"/>
  </w:style>
  <w:style w:type="character" w:styleId="CommentReference">
    <w:name w:val="annotation reference"/>
    <w:basedOn w:val="DefaultParagraphFont"/>
    <w:uiPriority w:val="99"/>
    <w:semiHidden/>
    <w:unhideWhenUsed/>
    <w:rsid w:val="00AC5120"/>
    <w:rPr>
      <w:sz w:val="16"/>
      <w:szCs w:val="16"/>
    </w:rPr>
  </w:style>
  <w:style w:type="paragraph" w:styleId="CommentText">
    <w:name w:val="annotation text"/>
    <w:basedOn w:val="Normal"/>
    <w:link w:val="CommentTextChar"/>
    <w:uiPriority w:val="99"/>
    <w:unhideWhenUsed/>
    <w:rsid w:val="00AC5120"/>
    <w:pPr>
      <w:spacing w:line="240" w:lineRule="auto"/>
    </w:pPr>
    <w:rPr>
      <w:sz w:val="20"/>
      <w:szCs w:val="20"/>
    </w:rPr>
  </w:style>
  <w:style w:type="character" w:customStyle="1" w:styleId="CommentTextChar">
    <w:name w:val="Comment Text Char"/>
    <w:basedOn w:val="DefaultParagraphFont"/>
    <w:link w:val="CommentText"/>
    <w:uiPriority w:val="99"/>
    <w:rsid w:val="00AC5120"/>
    <w:rPr>
      <w:sz w:val="20"/>
      <w:szCs w:val="20"/>
    </w:rPr>
  </w:style>
  <w:style w:type="paragraph" w:styleId="CommentSubject">
    <w:name w:val="annotation subject"/>
    <w:basedOn w:val="CommentText"/>
    <w:next w:val="CommentText"/>
    <w:link w:val="CommentSubjectChar"/>
    <w:uiPriority w:val="99"/>
    <w:semiHidden/>
    <w:unhideWhenUsed/>
    <w:rsid w:val="00AC5120"/>
    <w:rPr>
      <w:b/>
      <w:bCs/>
    </w:rPr>
  </w:style>
  <w:style w:type="character" w:customStyle="1" w:styleId="CommentSubjectChar">
    <w:name w:val="Comment Subject Char"/>
    <w:basedOn w:val="CommentTextChar"/>
    <w:link w:val="CommentSubject"/>
    <w:uiPriority w:val="99"/>
    <w:semiHidden/>
    <w:rsid w:val="00AC5120"/>
    <w:rPr>
      <w:b/>
      <w:bCs/>
      <w:sz w:val="20"/>
      <w:szCs w:val="20"/>
    </w:rPr>
  </w:style>
  <w:style w:type="paragraph" w:styleId="Revision">
    <w:name w:val="Revision"/>
    <w:hidden/>
    <w:uiPriority w:val="99"/>
    <w:semiHidden/>
    <w:rsid w:val="00D6347F"/>
    <w:pPr>
      <w:spacing w:after="0" w:line="240" w:lineRule="auto"/>
    </w:pPr>
  </w:style>
  <w:style w:type="character" w:customStyle="1" w:styleId="bold">
    <w:name w:val="bold"/>
    <w:basedOn w:val="DefaultParagraphFont"/>
    <w:rsid w:val="00373939"/>
  </w:style>
  <w:style w:type="character" w:customStyle="1" w:styleId="ng-star-inserted">
    <w:name w:val="ng-star-inserted"/>
    <w:basedOn w:val="DefaultParagraphFont"/>
    <w:rsid w:val="00373939"/>
  </w:style>
  <w:style w:type="character" w:styleId="UnresolvedMention">
    <w:name w:val="Unresolved Mention"/>
    <w:basedOn w:val="DefaultParagraphFont"/>
    <w:uiPriority w:val="99"/>
    <w:semiHidden/>
    <w:unhideWhenUsed/>
    <w:rsid w:val="002A194A"/>
    <w:rPr>
      <w:color w:val="605E5C"/>
      <w:shd w:val="clear" w:color="auto" w:fill="E1DFDD"/>
    </w:rPr>
  </w:style>
  <w:style w:type="paragraph" w:customStyle="1" w:styleId="Default">
    <w:name w:val="Default"/>
    <w:rsid w:val="00EC727C"/>
    <w:pPr>
      <w:autoSpaceDE w:val="0"/>
      <w:autoSpaceDN w:val="0"/>
      <w:adjustRightInd w:val="0"/>
      <w:spacing w:after="0" w:line="240" w:lineRule="auto"/>
    </w:pPr>
    <w:rPr>
      <w:rFonts w:ascii="Calibri" w:hAnsi="Calibri" w:cs="Calibri"/>
      <w:color w:val="000000"/>
      <w:kern w:val="0"/>
      <w:sz w:val="24"/>
      <w:szCs w:val="24"/>
      <w:lang w:val="en-GB"/>
    </w:rPr>
  </w:style>
  <w:style w:type="paragraph" w:styleId="NormalWeb">
    <w:name w:val="Normal (Web)"/>
    <w:basedOn w:val="Normal"/>
    <w:uiPriority w:val="99"/>
    <w:unhideWhenUsed/>
    <w:rsid w:val="00E114B1"/>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Strong">
    <w:name w:val="Strong"/>
    <w:basedOn w:val="DefaultParagraphFont"/>
    <w:uiPriority w:val="22"/>
    <w:qFormat/>
    <w:rsid w:val="00E114B1"/>
    <w:rPr>
      <w:b/>
      <w:bCs/>
    </w:rPr>
  </w:style>
  <w:style w:type="character" w:styleId="Mention">
    <w:name w:val="Mention"/>
    <w:basedOn w:val="DefaultParagraphFont"/>
    <w:uiPriority w:val="99"/>
    <w:unhideWhenUsed/>
    <w:rsid w:val="007916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360546">
      <w:bodyDiv w:val="1"/>
      <w:marLeft w:val="0"/>
      <w:marRight w:val="0"/>
      <w:marTop w:val="0"/>
      <w:marBottom w:val="0"/>
      <w:divBdr>
        <w:top w:val="none" w:sz="0" w:space="0" w:color="auto"/>
        <w:left w:val="none" w:sz="0" w:space="0" w:color="auto"/>
        <w:bottom w:val="none" w:sz="0" w:space="0" w:color="auto"/>
        <w:right w:val="none" w:sz="0" w:space="0" w:color="auto"/>
      </w:divBdr>
    </w:div>
    <w:div w:id="1180437761">
      <w:bodyDiv w:val="1"/>
      <w:marLeft w:val="0"/>
      <w:marRight w:val="0"/>
      <w:marTop w:val="0"/>
      <w:marBottom w:val="0"/>
      <w:divBdr>
        <w:top w:val="none" w:sz="0" w:space="0" w:color="auto"/>
        <w:left w:val="none" w:sz="0" w:space="0" w:color="auto"/>
        <w:bottom w:val="none" w:sz="0" w:space="0" w:color="auto"/>
        <w:right w:val="none" w:sz="0" w:space="0" w:color="auto"/>
      </w:divBdr>
      <w:divsChild>
        <w:div w:id="26031908">
          <w:marLeft w:val="0"/>
          <w:marRight w:val="0"/>
          <w:marTop w:val="0"/>
          <w:marBottom w:val="0"/>
          <w:divBdr>
            <w:top w:val="none" w:sz="0" w:space="0" w:color="auto"/>
            <w:left w:val="none" w:sz="0" w:space="0" w:color="auto"/>
            <w:bottom w:val="none" w:sz="0" w:space="0" w:color="auto"/>
            <w:right w:val="none" w:sz="0" w:space="0" w:color="auto"/>
          </w:divBdr>
        </w:div>
        <w:div w:id="28378072">
          <w:marLeft w:val="0"/>
          <w:marRight w:val="0"/>
          <w:marTop w:val="0"/>
          <w:marBottom w:val="0"/>
          <w:divBdr>
            <w:top w:val="none" w:sz="0" w:space="0" w:color="auto"/>
            <w:left w:val="none" w:sz="0" w:space="0" w:color="auto"/>
            <w:bottom w:val="none" w:sz="0" w:space="0" w:color="auto"/>
            <w:right w:val="none" w:sz="0" w:space="0" w:color="auto"/>
          </w:divBdr>
        </w:div>
        <w:div w:id="100490406">
          <w:marLeft w:val="0"/>
          <w:marRight w:val="0"/>
          <w:marTop w:val="0"/>
          <w:marBottom w:val="0"/>
          <w:divBdr>
            <w:top w:val="none" w:sz="0" w:space="0" w:color="auto"/>
            <w:left w:val="none" w:sz="0" w:space="0" w:color="auto"/>
            <w:bottom w:val="none" w:sz="0" w:space="0" w:color="auto"/>
            <w:right w:val="none" w:sz="0" w:space="0" w:color="auto"/>
          </w:divBdr>
        </w:div>
        <w:div w:id="252206341">
          <w:marLeft w:val="0"/>
          <w:marRight w:val="0"/>
          <w:marTop w:val="0"/>
          <w:marBottom w:val="0"/>
          <w:divBdr>
            <w:top w:val="none" w:sz="0" w:space="0" w:color="auto"/>
            <w:left w:val="none" w:sz="0" w:space="0" w:color="auto"/>
            <w:bottom w:val="none" w:sz="0" w:space="0" w:color="auto"/>
            <w:right w:val="none" w:sz="0" w:space="0" w:color="auto"/>
          </w:divBdr>
        </w:div>
        <w:div w:id="337317612">
          <w:marLeft w:val="0"/>
          <w:marRight w:val="0"/>
          <w:marTop w:val="0"/>
          <w:marBottom w:val="0"/>
          <w:divBdr>
            <w:top w:val="none" w:sz="0" w:space="0" w:color="auto"/>
            <w:left w:val="none" w:sz="0" w:space="0" w:color="auto"/>
            <w:bottom w:val="none" w:sz="0" w:space="0" w:color="auto"/>
            <w:right w:val="none" w:sz="0" w:space="0" w:color="auto"/>
          </w:divBdr>
        </w:div>
        <w:div w:id="358121312">
          <w:marLeft w:val="0"/>
          <w:marRight w:val="0"/>
          <w:marTop w:val="0"/>
          <w:marBottom w:val="0"/>
          <w:divBdr>
            <w:top w:val="none" w:sz="0" w:space="0" w:color="auto"/>
            <w:left w:val="none" w:sz="0" w:space="0" w:color="auto"/>
            <w:bottom w:val="none" w:sz="0" w:space="0" w:color="auto"/>
            <w:right w:val="none" w:sz="0" w:space="0" w:color="auto"/>
          </w:divBdr>
        </w:div>
        <w:div w:id="367535934">
          <w:marLeft w:val="0"/>
          <w:marRight w:val="0"/>
          <w:marTop w:val="0"/>
          <w:marBottom w:val="0"/>
          <w:divBdr>
            <w:top w:val="none" w:sz="0" w:space="0" w:color="auto"/>
            <w:left w:val="none" w:sz="0" w:space="0" w:color="auto"/>
            <w:bottom w:val="none" w:sz="0" w:space="0" w:color="auto"/>
            <w:right w:val="none" w:sz="0" w:space="0" w:color="auto"/>
          </w:divBdr>
        </w:div>
        <w:div w:id="421026686">
          <w:marLeft w:val="0"/>
          <w:marRight w:val="0"/>
          <w:marTop w:val="0"/>
          <w:marBottom w:val="0"/>
          <w:divBdr>
            <w:top w:val="none" w:sz="0" w:space="0" w:color="auto"/>
            <w:left w:val="none" w:sz="0" w:space="0" w:color="auto"/>
            <w:bottom w:val="none" w:sz="0" w:space="0" w:color="auto"/>
            <w:right w:val="none" w:sz="0" w:space="0" w:color="auto"/>
          </w:divBdr>
        </w:div>
        <w:div w:id="439842319">
          <w:marLeft w:val="0"/>
          <w:marRight w:val="0"/>
          <w:marTop w:val="0"/>
          <w:marBottom w:val="0"/>
          <w:divBdr>
            <w:top w:val="none" w:sz="0" w:space="0" w:color="auto"/>
            <w:left w:val="none" w:sz="0" w:space="0" w:color="auto"/>
            <w:bottom w:val="none" w:sz="0" w:space="0" w:color="auto"/>
            <w:right w:val="none" w:sz="0" w:space="0" w:color="auto"/>
          </w:divBdr>
        </w:div>
        <w:div w:id="450590574">
          <w:marLeft w:val="0"/>
          <w:marRight w:val="0"/>
          <w:marTop w:val="0"/>
          <w:marBottom w:val="0"/>
          <w:divBdr>
            <w:top w:val="none" w:sz="0" w:space="0" w:color="auto"/>
            <w:left w:val="none" w:sz="0" w:space="0" w:color="auto"/>
            <w:bottom w:val="none" w:sz="0" w:space="0" w:color="auto"/>
            <w:right w:val="none" w:sz="0" w:space="0" w:color="auto"/>
          </w:divBdr>
        </w:div>
        <w:div w:id="549535284">
          <w:marLeft w:val="0"/>
          <w:marRight w:val="0"/>
          <w:marTop w:val="0"/>
          <w:marBottom w:val="0"/>
          <w:divBdr>
            <w:top w:val="none" w:sz="0" w:space="0" w:color="auto"/>
            <w:left w:val="none" w:sz="0" w:space="0" w:color="auto"/>
            <w:bottom w:val="none" w:sz="0" w:space="0" w:color="auto"/>
            <w:right w:val="none" w:sz="0" w:space="0" w:color="auto"/>
          </w:divBdr>
        </w:div>
        <w:div w:id="577135900">
          <w:marLeft w:val="0"/>
          <w:marRight w:val="0"/>
          <w:marTop w:val="0"/>
          <w:marBottom w:val="0"/>
          <w:divBdr>
            <w:top w:val="none" w:sz="0" w:space="0" w:color="auto"/>
            <w:left w:val="none" w:sz="0" w:space="0" w:color="auto"/>
            <w:bottom w:val="none" w:sz="0" w:space="0" w:color="auto"/>
            <w:right w:val="none" w:sz="0" w:space="0" w:color="auto"/>
          </w:divBdr>
        </w:div>
        <w:div w:id="631180029">
          <w:marLeft w:val="0"/>
          <w:marRight w:val="0"/>
          <w:marTop w:val="0"/>
          <w:marBottom w:val="0"/>
          <w:divBdr>
            <w:top w:val="none" w:sz="0" w:space="0" w:color="auto"/>
            <w:left w:val="none" w:sz="0" w:space="0" w:color="auto"/>
            <w:bottom w:val="none" w:sz="0" w:space="0" w:color="auto"/>
            <w:right w:val="none" w:sz="0" w:space="0" w:color="auto"/>
          </w:divBdr>
        </w:div>
        <w:div w:id="640232797">
          <w:marLeft w:val="0"/>
          <w:marRight w:val="0"/>
          <w:marTop w:val="0"/>
          <w:marBottom w:val="0"/>
          <w:divBdr>
            <w:top w:val="none" w:sz="0" w:space="0" w:color="auto"/>
            <w:left w:val="none" w:sz="0" w:space="0" w:color="auto"/>
            <w:bottom w:val="none" w:sz="0" w:space="0" w:color="auto"/>
            <w:right w:val="none" w:sz="0" w:space="0" w:color="auto"/>
          </w:divBdr>
        </w:div>
        <w:div w:id="660819138">
          <w:marLeft w:val="0"/>
          <w:marRight w:val="0"/>
          <w:marTop w:val="0"/>
          <w:marBottom w:val="0"/>
          <w:divBdr>
            <w:top w:val="none" w:sz="0" w:space="0" w:color="auto"/>
            <w:left w:val="none" w:sz="0" w:space="0" w:color="auto"/>
            <w:bottom w:val="none" w:sz="0" w:space="0" w:color="auto"/>
            <w:right w:val="none" w:sz="0" w:space="0" w:color="auto"/>
          </w:divBdr>
        </w:div>
        <w:div w:id="665716185">
          <w:marLeft w:val="0"/>
          <w:marRight w:val="0"/>
          <w:marTop w:val="0"/>
          <w:marBottom w:val="0"/>
          <w:divBdr>
            <w:top w:val="none" w:sz="0" w:space="0" w:color="auto"/>
            <w:left w:val="none" w:sz="0" w:space="0" w:color="auto"/>
            <w:bottom w:val="none" w:sz="0" w:space="0" w:color="auto"/>
            <w:right w:val="none" w:sz="0" w:space="0" w:color="auto"/>
          </w:divBdr>
        </w:div>
        <w:div w:id="671643292">
          <w:marLeft w:val="0"/>
          <w:marRight w:val="0"/>
          <w:marTop w:val="0"/>
          <w:marBottom w:val="0"/>
          <w:divBdr>
            <w:top w:val="none" w:sz="0" w:space="0" w:color="auto"/>
            <w:left w:val="none" w:sz="0" w:space="0" w:color="auto"/>
            <w:bottom w:val="none" w:sz="0" w:space="0" w:color="auto"/>
            <w:right w:val="none" w:sz="0" w:space="0" w:color="auto"/>
          </w:divBdr>
        </w:div>
        <w:div w:id="673805997">
          <w:marLeft w:val="0"/>
          <w:marRight w:val="0"/>
          <w:marTop w:val="0"/>
          <w:marBottom w:val="0"/>
          <w:divBdr>
            <w:top w:val="none" w:sz="0" w:space="0" w:color="auto"/>
            <w:left w:val="none" w:sz="0" w:space="0" w:color="auto"/>
            <w:bottom w:val="none" w:sz="0" w:space="0" w:color="auto"/>
            <w:right w:val="none" w:sz="0" w:space="0" w:color="auto"/>
          </w:divBdr>
        </w:div>
        <w:div w:id="692074393">
          <w:marLeft w:val="0"/>
          <w:marRight w:val="0"/>
          <w:marTop w:val="0"/>
          <w:marBottom w:val="0"/>
          <w:divBdr>
            <w:top w:val="none" w:sz="0" w:space="0" w:color="auto"/>
            <w:left w:val="none" w:sz="0" w:space="0" w:color="auto"/>
            <w:bottom w:val="none" w:sz="0" w:space="0" w:color="auto"/>
            <w:right w:val="none" w:sz="0" w:space="0" w:color="auto"/>
          </w:divBdr>
        </w:div>
        <w:div w:id="700984003">
          <w:marLeft w:val="0"/>
          <w:marRight w:val="0"/>
          <w:marTop w:val="0"/>
          <w:marBottom w:val="0"/>
          <w:divBdr>
            <w:top w:val="none" w:sz="0" w:space="0" w:color="auto"/>
            <w:left w:val="none" w:sz="0" w:space="0" w:color="auto"/>
            <w:bottom w:val="none" w:sz="0" w:space="0" w:color="auto"/>
            <w:right w:val="none" w:sz="0" w:space="0" w:color="auto"/>
          </w:divBdr>
        </w:div>
        <w:div w:id="767313270">
          <w:marLeft w:val="0"/>
          <w:marRight w:val="0"/>
          <w:marTop w:val="0"/>
          <w:marBottom w:val="0"/>
          <w:divBdr>
            <w:top w:val="none" w:sz="0" w:space="0" w:color="auto"/>
            <w:left w:val="none" w:sz="0" w:space="0" w:color="auto"/>
            <w:bottom w:val="none" w:sz="0" w:space="0" w:color="auto"/>
            <w:right w:val="none" w:sz="0" w:space="0" w:color="auto"/>
          </w:divBdr>
        </w:div>
        <w:div w:id="791020275">
          <w:marLeft w:val="0"/>
          <w:marRight w:val="0"/>
          <w:marTop w:val="0"/>
          <w:marBottom w:val="0"/>
          <w:divBdr>
            <w:top w:val="none" w:sz="0" w:space="0" w:color="auto"/>
            <w:left w:val="none" w:sz="0" w:space="0" w:color="auto"/>
            <w:bottom w:val="none" w:sz="0" w:space="0" w:color="auto"/>
            <w:right w:val="none" w:sz="0" w:space="0" w:color="auto"/>
          </w:divBdr>
        </w:div>
        <w:div w:id="894849767">
          <w:marLeft w:val="0"/>
          <w:marRight w:val="0"/>
          <w:marTop w:val="0"/>
          <w:marBottom w:val="0"/>
          <w:divBdr>
            <w:top w:val="none" w:sz="0" w:space="0" w:color="auto"/>
            <w:left w:val="none" w:sz="0" w:space="0" w:color="auto"/>
            <w:bottom w:val="none" w:sz="0" w:space="0" w:color="auto"/>
            <w:right w:val="none" w:sz="0" w:space="0" w:color="auto"/>
          </w:divBdr>
        </w:div>
        <w:div w:id="904217241">
          <w:marLeft w:val="0"/>
          <w:marRight w:val="0"/>
          <w:marTop w:val="0"/>
          <w:marBottom w:val="0"/>
          <w:divBdr>
            <w:top w:val="none" w:sz="0" w:space="0" w:color="auto"/>
            <w:left w:val="none" w:sz="0" w:space="0" w:color="auto"/>
            <w:bottom w:val="none" w:sz="0" w:space="0" w:color="auto"/>
            <w:right w:val="none" w:sz="0" w:space="0" w:color="auto"/>
          </w:divBdr>
        </w:div>
        <w:div w:id="910308526">
          <w:marLeft w:val="0"/>
          <w:marRight w:val="0"/>
          <w:marTop w:val="0"/>
          <w:marBottom w:val="0"/>
          <w:divBdr>
            <w:top w:val="none" w:sz="0" w:space="0" w:color="auto"/>
            <w:left w:val="none" w:sz="0" w:space="0" w:color="auto"/>
            <w:bottom w:val="none" w:sz="0" w:space="0" w:color="auto"/>
            <w:right w:val="none" w:sz="0" w:space="0" w:color="auto"/>
          </w:divBdr>
        </w:div>
        <w:div w:id="912853786">
          <w:marLeft w:val="0"/>
          <w:marRight w:val="0"/>
          <w:marTop w:val="0"/>
          <w:marBottom w:val="0"/>
          <w:divBdr>
            <w:top w:val="none" w:sz="0" w:space="0" w:color="auto"/>
            <w:left w:val="none" w:sz="0" w:space="0" w:color="auto"/>
            <w:bottom w:val="none" w:sz="0" w:space="0" w:color="auto"/>
            <w:right w:val="none" w:sz="0" w:space="0" w:color="auto"/>
          </w:divBdr>
        </w:div>
        <w:div w:id="921598485">
          <w:marLeft w:val="0"/>
          <w:marRight w:val="0"/>
          <w:marTop w:val="0"/>
          <w:marBottom w:val="0"/>
          <w:divBdr>
            <w:top w:val="none" w:sz="0" w:space="0" w:color="auto"/>
            <w:left w:val="none" w:sz="0" w:space="0" w:color="auto"/>
            <w:bottom w:val="none" w:sz="0" w:space="0" w:color="auto"/>
            <w:right w:val="none" w:sz="0" w:space="0" w:color="auto"/>
          </w:divBdr>
        </w:div>
        <w:div w:id="938175237">
          <w:marLeft w:val="0"/>
          <w:marRight w:val="0"/>
          <w:marTop w:val="0"/>
          <w:marBottom w:val="0"/>
          <w:divBdr>
            <w:top w:val="none" w:sz="0" w:space="0" w:color="auto"/>
            <w:left w:val="none" w:sz="0" w:space="0" w:color="auto"/>
            <w:bottom w:val="none" w:sz="0" w:space="0" w:color="auto"/>
            <w:right w:val="none" w:sz="0" w:space="0" w:color="auto"/>
          </w:divBdr>
        </w:div>
        <w:div w:id="974140277">
          <w:marLeft w:val="0"/>
          <w:marRight w:val="0"/>
          <w:marTop w:val="0"/>
          <w:marBottom w:val="0"/>
          <w:divBdr>
            <w:top w:val="none" w:sz="0" w:space="0" w:color="auto"/>
            <w:left w:val="none" w:sz="0" w:space="0" w:color="auto"/>
            <w:bottom w:val="none" w:sz="0" w:space="0" w:color="auto"/>
            <w:right w:val="none" w:sz="0" w:space="0" w:color="auto"/>
          </w:divBdr>
        </w:div>
        <w:div w:id="992374507">
          <w:marLeft w:val="0"/>
          <w:marRight w:val="0"/>
          <w:marTop w:val="0"/>
          <w:marBottom w:val="0"/>
          <w:divBdr>
            <w:top w:val="none" w:sz="0" w:space="0" w:color="auto"/>
            <w:left w:val="none" w:sz="0" w:space="0" w:color="auto"/>
            <w:bottom w:val="none" w:sz="0" w:space="0" w:color="auto"/>
            <w:right w:val="none" w:sz="0" w:space="0" w:color="auto"/>
          </w:divBdr>
        </w:div>
        <w:div w:id="1008172365">
          <w:marLeft w:val="0"/>
          <w:marRight w:val="0"/>
          <w:marTop w:val="0"/>
          <w:marBottom w:val="0"/>
          <w:divBdr>
            <w:top w:val="none" w:sz="0" w:space="0" w:color="auto"/>
            <w:left w:val="none" w:sz="0" w:space="0" w:color="auto"/>
            <w:bottom w:val="none" w:sz="0" w:space="0" w:color="auto"/>
            <w:right w:val="none" w:sz="0" w:space="0" w:color="auto"/>
          </w:divBdr>
        </w:div>
        <w:div w:id="1031569061">
          <w:marLeft w:val="0"/>
          <w:marRight w:val="0"/>
          <w:marTop w:val="0"/>
          <w:marBottom w:val="0"/>
          <w:divBdr>
            <w:top w:val="none" w:sz="0" w:space="0" w:color="auto"/>
            <w:left w:val="none" w:sz="0" w:space="0" w:color="auto"/>
            <w:bottom w:val="none" w:sz="0" w:space="0" w:color="auto"/>
            <w:right w:val="none" w:sz="0" w:space="0" w:color="auto"/>
          </w:divBdr>
        </w:div>
        <w:div w:id="1098452959">
          <w:marLeft w:val="0"/>
          <w:marRight w:val="0"/>
          <w:marTop w:val="0"/>
          <w:marBottom w:val="0"/>
          <w:divBdr>
            <w:top w:val="none" w:sz="0" w:space="0" w:color="auto"/>
            <w:left w:val="none" w:sz="0" w:space="0" w:color="auto"/>
            <w:bottom w:val="none" w:sz="0" w:space="0" w:color="auto"/>
            <w:right w:val="none" w:sz="0" w:space="0" w:color="auto"/>
          </w:divBdr>
        </w:div>
        <w:div w:id="1186359034">
          <w:marLeft w:val="0"/>
          <w:marRight w:val="0"/>
          <w:marTop w:val="0"/>
          <w:marBottom w:val="0"/>
          <w:divBdr>
            <w:top w:val="none" w:sz="0" w:space="0" w:color="auto"/>
            <w:left w:val="none" w:sz="0" w:space="0" w:color="auto"/>
            <w:bottom w:val="none" w:sz="0" w:space="0" w:color="auto"/>
            <w:right w:val="none" w:sz="0" w:space="0" w:color="auto"/>
          </w:divBdr>
        </w:div>
        <w:div w:id="1206141969">
          <w:marLeft w:val="0"/>
          <w:marRight w:val="0"/>
          <w:marTop w:val="0"/>
          <w:marBottom w:val="0"/>
          <w:divBdr>
            <w:top w:val="none" w:sz="0" w:space="0" w:color="auto"/>
            <w:left w:val="none" w:sz="0" w:space="0" w:color="auto"/>
            <w:bottom w:val="none" w:sz="0" w:space="0" w:color="auto"/>
            <w:right w:val="none" w:sz="0" w:space="0" w:color="auto"/>
          </w:divBdr>
        </w:div>
        <w:div w:id="1239709886">
          <w:marLeft w:val="0"/>
          <w:marRight w:val="0"/>
          <w:marTop w:val="0"/>
          <w:marBottom w:val="0"/>
          <w:divBdr>
            <w:top w:val="none" w:sz="0" w:space="0" w:color="auto"/>
            <w:left w:val="none" w:sz="0" w:space="0" w:color="auto"/>
            <w:bottom w:val="none" w:sz="0" w:space="0" w:color="auto"/>
            <w:right w:val="none" w:sz="0" w:space="0" w:color="auto"/>
          </w:divBdr>
        </w:div>
        <w:div w:id="1309702474">
          <w:marLeft w:val="0"/>
          <w:marRight w:val="0"/>
          <w:marTop w:val="0"/>
          <w:marBottom w:val="0"/>
          <w:divBdr>
            <w:top w:val="none" w:sz="0" w:space="0" w:color="auto"/>
            <w:left w:val="none" w:sz="0" w:space="0" w:color="auto"/>
            <w:bottom w:val="none" w:sz="0" w:space="0" w:color="auto"/>
            <w:right w:val="none" w:sz="0" w:space="0" w:color="auto"/>
          </w:divBdr>
        </w:div>
        <w:div w:id="1357929600">
          <w:marLeft w:val="0"/>
          <w:marRight w:val="0"/>
          <w:marTop w:val="0"/>
          <w:marBottom w:val="0"/>
          <w:divBdr>
            <w:top w:val="none" w:sz="0" w:space="0" w:color="auto"/>
            <w:left w:val="none" w:sz="0" w:space="0" w:color="auto"/>
            <w:bottom w:val="none" w:sz="0" w:space="0" w:color="auto"/>
            <w:right w:val="none" w:sz="0" w:space="0" w:color="auto"/>
          </w:divBdr>
        </w:div>
        <w:div w:id="1365323672">
          <w:marLeft w:val="0"/>
          <w:marRight w:val="0"/>
          <w:marTop w:val="0"/>
          <w:marBottom w:val="0"/>
          <w:divBdr>
            <w:top w:val="none" w:sz="0" w:space="0" w:color="auto"/>
            <w:left w:val="none" w:sz="0" w:space="0" w:color="auto"/>
            <w:bottom w:val="none" w:sz="0" w:space="0" w:color="auto"/>
            <w:right w:val="none" w:sz="0" w:space="0" w:color="auto"/>
          </w:divBdr>
        </w:div>
        <w:div w:id="1371997677">
          <w:marLeft w:val="0"/>
          <w:marRight w:val="0"/>
          <w:marTop w:val="0"/>
          <w:marBottom w:val="0"/>
          <w:divBdr>
            <w:top w:val="none" w:sz="0" w:space="0" w:color="auto"/>
            <w:left w:val="none" w:sz="0" w:space="0" w:color="auto"/>
            <w:bottom w:val="none" w:sz="0" w:space="0" w:color="auto"/>
            <w:right w:val="none" w:sz="0" w:space="0" w:color="auto"/>
          </w:divBdr>
        </w:div>
        <w:div w:id="1372193338">
          <w:marLeft w:val="0"/>
          <w:marRight w:val="0"/>
          <w:marTop w:val="0"/>
          <w:marBottom w:val="0"/>
          <w:divBdr>
            <w:top w:val="none" w:sz="0" w:space="0" w:color="auto"/>
            <w:left w:val="none" w:sz="0" w:space="0" w:color="auto"/>
            <w:bottom w:val="none" w:sz="0" w:space="0" w:color="auto"/>
            <w:right w:val="none" w:sz="0" w:space="0" w:color="auto"/>
          </w:divBdr>
        </w:div>
        <w:div w:id="1387291850">
          <w:marLeft w:val="0"/>
          <w:marRight w:val="0"/>
          <w:marTop w:val="0"/>
          <w:marBottom w:val="0"/>
          <w:divBdr>
            <w:top w:val="none" w:sz="0" w:space="0" w:color="auto"/>
            <w:left w:val="none" w:sz="0" w:space="0" w:color="auto"/>
            <w:bottom w:val="none" w:sz="0" w:space="0" w:color="auto"/>
            <w:right w:val="none" w:sz="0" w:space="0" w:color="auto"/>
          </w:divBdr>
        </w:div>
        <w:div w:id="1407531947">
          <w:marLeft w:val="0"/>
          <w:marRight w:val="0"/>
          <w:marTop w:val="0"/>
          <w:marBottom w:val="0"/>
          <w:divBdr>
            <w:top w:val="none" w:sz="0" w:space="0" w:color="auto"/>
            <w:left w:val="none" w:sz="0" w:space="0" w:color="auto"/>
            <w:bottom w:val="none" w:sz="0" w:space="0" w:color="auto"/>
            <w:right w:val="none" w:sz="0" w:space="0" w:color="auto"/>
          </w:divBdr>
        </w:div>
        <w:div w:id="1445032450">
          <w:marLeft w:val="0"/>
          <w:marRight w:val="0"/>
          <w:marTop w:val="0"/>
          <w:marBottom w:val="0"/>
          <w:divBdr>
            <w:top w:val="none" w:sz="0" w:space="0" w:color="auto"/>
            <w:left w:val="none" w:sz="0" w:space="0" w:color="auto"/>
            <w:bottom w:val="none" w:sz="0" w:space="0" w:color="auto"/>
            <w:right w:val="none" w:sz="0" w:space="0" w:color="auto"/>
          </w:divBdr>
        </w:div>
        <w:div w:id="1460029013">
          <w:marLeft w:val="0"/>
          <w:marRight w:val="0"/>
          <w:marTop w:val="0"/>
          <w:marBottom w:val="0"/>
          <w:divBdr>
            <w:top w:val="none" w:sz="0" w:space="0" w:color="auto"/>
            <w:left w:val="none" w:sz="0" w:space="0" w:color="auto"/>
            <w:bottom w:val="none" w:sz="0" w:space="0" w:color="auto"/>
            <w:right w:val="none" w:sz="0" w:space="0" w:color="auto"/>
          </w:divBdr>
        </w:div>
        <w:div w:id="1500848837">
          <w:marLeft w:val="0"/>
          <w:marRight w:val="0"/>
          <w:marTop w:val="0"/>
          <w:marBottom w:val="0"/>
          <w:divBdr>
            <w:top w:val="none" w:sz="0" w:space="0" w:color="auto"/>
            <w:left w:val="none" w:sz="0" w:space="0" w:color="auto"/>
            <w:bottom w:val="none" w:sz="0" w:space="0" w:color="auto"/>
            <w:right w:val="none" w:sz="0" w:space="0" w:color="auto"/>
          </w:divBdr>
        </w:div>
        <w:div w:id="1510608211">
          <w:marLeft w:val="0"/>
          <w:marRight w:val="0"/>
          <w:marTop w:val="0"/>
          <w:marBottom w:val="0"/>
          <w:divBdr>
            <w:top w:val="none" w:sz="0" w:space="0" w:color="auto"/>
            <w:left w:val="none" w:sz="0" w:space="0" w:color="auto"/>
            <w:bottom w:val="none" w:sz="0" w:space="0" w:color="auto"/>
            <w:right w:val="none" w:sz="0" w:space="0" w:color="auto"/>
          </w:divBdr>
        </w:div>
        <w:div w:id="1527135638">
          <w:marLeft w:val="0"/>
          <w:marRight w:val="0"/>
          <w:marTop w:val="0"/>
          <w:marBottom w:val="0"/>
          <w:divBdr>
            <w:top w:val="none" w:sz="0" w:space="0" w:color="auto"/>
            <w:left w:val="none" w:sz="0" w:space="0" w:color="auto"/>
            <w:bottom w:val="none" w:sz="0" w:space="0" w:color="auto"/>
            <w:right w:val="none" w:sz="0" w:space="0" w:color="auto"/>
          </w:divBdr>
        </w:div>
        <w:div w:id="1529373662">
          <w:marLeft w:val="0"/>
          <w:marRight w:val="0"/>
          <w:marTop w:val="0"/>
          <w:marBottom w:val="0"/>
          <w:divBdr>
            <w:top w:val="none" w:sz="0" w:space="0" w:color="auto"/>
            <w:left w:val="none" w:sz="0" w:space="0" w:color="auto"/>
            <w:bottom w:val="none" w:sz="0" w:space="0" w:color="auto"/>
            <w:right w:val="none" w:sz="0" w:space="0" w:color="auto"/>
          </w:divBdr>
        </w:div>
        <w:div w:id="1534492532">
          <w:marLeft w:val="0"/>
          <w:marRight w:val="0"/>
          <w:marTop w:val="0"/>
          <w:marBottom w:val="0"/>
          <w:divBdr>
            <w:top w:val="none" w:sz="0" w:space="0" w:color="auto"/>
            <w:left w:val="none" w:sz="0" w:space="0" w:color="auto"/>
            <w:bottom w:val="none" w:sz="0" w:space="0" w:color="auto"/>
            <w:right w:val="none" w:sz="0" w:space="0" w:color="auto"/>
          </w:divBdr>
        </w:div>
        <w:div w:id="1566380865">
          <w:marLeft w:val="0"/>
          <w:marRight w:val="0"/>
          <w:marTop w:val="0"/>
          <w:marBottom w:val="0"/>
          <w:divBdr>
            <w:top w:val="none" w:sz="0" w:space="0" w:color="auto"/>
            <w:left w:val="none" w:sz="0" w:space="0" w:color="auto"/>
            <w:bottom w:val="none" w:sz="0" w:space="0" w:color="auto"/>
            <w:right w:val="none" w:sz="0" w:space="0" w:color="auto"/>
          </w:divBdr>
        </w:div>
        <w:div w:id="1581988463">
          <w:marLeft w:val="0"/>
          <w:marRight w:val="0"/>
          <w:marTop w:val="0"/>
          <w:marBottom w:val="0"/>
          <w:divBdr>
            <w:top w:val="none" w:sz="0" w:space="0" w:color="auto"/>
            <w:left w:val="none" w:sz="0" w:space="0" w:color="auto"/>
            <w:bottom w:val="none" w:sz="0" w:space="0" w:color="auto"/>
            <w:right w:val="none" w:sz="0" w:space="0" w:color="auto"/>
          </w:divBdr>
        </w:div>
        <w:div w:id="1595623031">
          <w:marLeft w:val="0"/>
          <w:marRight w:val="0"/>
          <w:marTop w:val="0"/>
          <w:marBottom w:val="0"/>
          <w:divBdr>
            <w:top w:val="none" w:sz="0" w:space="0" w:color="auto"/>
            <w:left w:val="none" w:sz="0" w:space="0" w:color="auto"/>
            <w:bottom w:val="none" w:sz="0" w:space="0" w:color="auto"/>
            <w:right w:val="none" w:sz="0" w:space="0" w:color="auto"/>
          </w:divBdr>
        </w:div>
        <w:div w:id="1633751884">
          <w:marLeft w:val="0"/>
          <w:marRight w:val="0"/>
          <w:marTop w:val="0"/>
          <w:marBottom w:val="0"/>
          <w:divBdr>
            <w:top w:val="none" w:sz="0" w:space="0" w:color="auto"/>
            <w:left w:val="none" w:sz="0" w:space="0" w:color="auto"/>
            <w:bottom w:val="none" w:sz="0" w:space="0" w:color="auto"/>
            <w:right w:val="none" w:sz="0" w:space="0" w:color="auto"/>
          </w:divBdr>
        </w:div>
        <w:div w:id="1709866509">
          <w:marLeft w:val="0"/>
          <w:marRight w:val="0"/>
          <w:marTop w:val="0"/>
          <w:marBottom w:val="0"/>
          <w:divBdr>
            <w:top w:val="none" w:sz="0" w:space="0" w:color="auto"/>
            <w:left w:val="none" w:sz="0" w:space="0" w:color="auto"/>
            <w:bottom w:val="none" w:sz="0" w:space="0" w:color="auto"/>
            <w:right w:val="none" w:sz="0" w:space="0" w:color="auto"/>
          </w:divBdr>
        </w:div>
        <w:div w:id="1718309508">
          <w:marLeft w:val="0"/>
          <w:marRight w:val="0"/>
          <w:marTop w:val="0"/>
          <w:marBottom w:val="0"/>
          <w:divBdr>
            <w:top w:val="none" w:sz="0" w:space="0" w:color="auto"/>
            <w:left w:val="none" w:sz="0" w:space="0" w:color="auto"/>
            <w:bottom w:val="none" w:sz="0" w:space="0" w:color="auto"/>
            <w:right w:val="none" w:sz="0" w:space="0" w:color="auto"/>
          </w:divBdr>
        </w:div>
        <w:div w:id="1791976728">
          <w:marLeft w:val="0"/>
          <w:marRight w:val="0"/>
          <w:marTop w:val="0"/>
          <w:marBottom w:val="0"/>
          <w:divBdr>
            <w:top w:val="none" w:sz="0" w:space="0" w:color="auto"/>
            <w:left w:val="none" w:sz="0" w:space="0" w:color="auto"/>
            <w:bottom w:val="none" w:sz="0" w:space="0" w:color="auto"/>
            <w:right w:val="none" w:sz="0" w:space="0" w:color="auto"/>
          </w:divBdr>
        </w:div>
        <w:div w:id="1805583976">
          <w:marLeft w:val="0"/>
          <w:marRight w:val="0"/>
          <w:marTop w:val="0"/>
          <w:marBottom w:val="0"/>
          <w:divBdr>
            <w:top w:val="none" w:sz="0" w:space="0" w:color="auto"/>
            <w:left w:val="none" w:sz="0" w:space="0" w:color="auto"/>
            <w:bottom w:val="none" w:sz="0" w:space="0" w:color="auto"/>
            <w:right w:val="none" w:sz="0" w:space="0" w:color="auto"/>
          </w:divBdr>
        </w:div>
        <w:div w:id="1813449292">
          <w:marLeft w:val="0"/>
          <w:marRight w:val="0"/>
          <w:marTop w:val="0"/>
          <w:marBottom w:val="0"/>
          <w:divBdr>
            <w:top w:val="none" w:sz="0" w:space="0" w:color="auto"/>
            <w:left w:val="none" w:sz="0" w:space="0" w:color="auto"/>
            <w:bottom w:val="none" w:sz="0" w:space="0" w:color="auto"/>
            <w:right w:val="none" w:sz="0" w:space="0" w:color="auto"/>
          </w:divBdr>
        </w:div>
        <w:div w:id="1862277147">
          <w:marLeft w:val="0"/>
          <w:marRight w:val="0"/>
          <w:marTop w:val="0"/>
          <w:marBottom w:val="0"/>
          <w:divBdr>
            <w:top w:val="none" w:sz="0" w:space="0" w:color="auto"/>
            <w:left w:val="none" w:sz="0" w:space="0" w:color="auto"/>
            <w:bottom w:val="none" w:sz="0" w:space="0" w:color="auto"/>
            <w:right w:val="none" w:sz="0" w:space="0" w:color="auto"/>
          </w:divBdr>
        </w:div>
        <w:div w:id="1871608886">
          <w:marLeft w:val="0"/>
          <w:marRight w:val="0"/>
          <w:marTop w:val="0"/>
          <w:marBottom w:val="0"/>
          <w:divBdr>
            <w:top w:val="none" w:sz="0" w:space="0" w:color="auto"/>
            <w:left w:val="none" w:sz="0" w:space="0" w:color="auto"/>
            <w:bottom w:val="none" w:sz="0" w:space="0" w:color="auto"/>
            <w:right w:val="none" w:sz="0" w:space="0" w:color="auto"/>
          </w:divBdr>
        </w:div>
        <w:div w:id="1906329769">
          <w:marLeft w:val="0"/>
          <w:marRight w:val="0"/>
          <w:marTop w:val="0"/>
          <w:marBottom w:val="0"/>
          <w:divBdr>
            <w:top w:val="none" w:sz="0" w:space="0" w:color="auto"/>
            <w:left w:val="none" w:sz="0" w:space="0" w:color="auto"/>
            <w:bottom w:val="none" w:sz="0" w:space="0" w:color="auto"/>
            <w:right w:val="none" w:sz="0" w:space="0" w:color="auto"/>
          </w:divBdr>
        </w:div>
        <w:div w:id="1993294146">
          <w:marLeft w:val="0"/>
          <w:marRight w:val="0"/>
          <w:marTop w:val="0"/>
          <w:marBottom w:val="0"/>
          <w:divBdr>
            <w:top w:val="none" w:sz="0" w:space="0" w:color="auto"/>
            <w:left w:val="none" w:sz="0" w:space="0" w:color="auto"/>
            <w:bottom w:val="none" w:sz="0" w:space="0" w:color="auto"/>
            <w:right w:val="none" w:sz="0" w:space="0" w:color="auto"/>
          </w:divBdr>
        </w:div>
        <w:div w:id="2029914327">
          <w:marLeft w:val="0"/>
          <w:marRight w:val="0"/>
          <w:marTop w:val="0"/>
          <w:marBottom w:val="0"/>
          <w:divBdr>
            <w:top w:val="none" w:sz="0" w:space="0" w:color="auto"/>
            <w:left w:val="none" w:sz="0" w:space="0" w:color="auto"/>
            <w:bottom w:val="none" w:sz="0" w:space="0" w:color="auto"/>
            <w:right w:val="none" w:sz="0" w:space="0" w:color="auto"/>
          </w:divBdr>
        </w:div>
        <w:div w:id="2047097689">
          <w:marLeft w:val="0"/>
          <w:marRight w:val="0"/>
          <w:marTop w:val="0"/>
          <w:marBottom w:val="0"/>
          <w:divBdr>
            <w:top w:val="none" w:sz="0" w:space="0" w:color="auto"/>
            <w:left w:val="none" w:sz="0" w:space="0" w:color="auto"/>
            <w:bottom w:val="none" w:sz="0" w:space="0" w:color="auto"/>
            <w:right w:val="none" w:sz="0" w:space="0" w:color="auto"/>
          </w:divBdr>
        </w:div>
        <w:div w:id="2050952902">
          <w:marLeft w:val="0"/>
          <w:marRight w:val="0"/>
          <w:marTop w:val="0"/>
          <w:marBottom w:val="0"/>
          <w:divBdr>
            <w:top w:val="none" w:sz="0" w:space="0" w:color="auto"/>
            <w:left w:val="none" w:sz="0" w:space="0" w:color="auto"/>
            <w:bottom w:val="none" w:sz="0" w:space="0" w:color="auto"/>
            <w:right w:val="none" w:sz="0" w:space="0" w:color="auto"/>
          </w:divBdr>
        </w:div>
        <w:div w:id="2066100372">
          <w:marLeft w:val="0"/>
          <w:marRight w:val="0"/>
          <w:marTop w:val="0"/>
          <w:marBottom w:val="0"/>
          <w:divBdr>
            <w:top w:val="none" w:sz="0" w:space="0" w:color="auto"/>
            <w:left w:val="none" w:sz="0" w:space="0" w:color="auto"/>
            <w:bottom w:val="none" w:sz="0" w:space="0" w:color="auto"/>
            <w:right w:val="none" w:sz="0" w:space="0" w:color="auto"/>
          </w:divBdr>
        </w:div>
        <w:div w:id="2096241901">
          <w:marLeft w:val="0"/>
          <w:marRight w:val="0"/>
          <w:marTop w:val="0"/>
          <w:marBottom w:val="0"/>
          <w:divBdr>
            <w:top w:val="none" w:sz="0" w:space="0" w:color="auto"/>
            <w:left w:val="none" w:sz="0" w:space="0" w:color="auto"/>
            <w:bottom w:val="none" w:sz="0" w:space="0" w:color="auto"/>
            <w:right w:val="none" w:sz="0" w:space="0" w:color="auto"/>
          </w:divBdr>
        </w:div>
        <w:div w:id="2123962437">
          <w:marLeft w:val="0"/>
          <w:marRight w:val="0"/>
          <w:marTop w:val="0"/>
          <w:marBottom w:val="0"/>
          <w:divBdr>
            <w:top w:val="none" w:sz="0" w:space="0" w:color="auto"/>
            <w:left w:val="none" w:sz="0" w:space="0" w:color="auto"/>
            <w:bottom w:val="none" w:sz="0" w:space="0" w:color="auto"/>
            <w:right w:val="none" w:sz="0" w:space="0" w:color="auto"/>
          </w:divBdr>
        </w:div>
      </w:divsChild>
    </w:div>
    <w:div w:id="20452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eb-archive.oecd.org/temp/2024-06-21/61752-officialdevelopmentassistancedefinitionandcoverage.htm" TargetMode="External"/><Relationship Id="rId2" Type="http://schemas.openxmlformats.org/officeDocument/2006/relationships/hyperlink" Target="https://www.imf.org/en/News/Articles/2015/09/14/01/49/pr15170" TargetMode="External"/><Relationship Id="rId1" Type="http://schemas.openxmlformats.org/officeDocument/2006/relationships/hyperlink" Target="https://www.un.org/sg/en/content/sg/statement/2018-09-24/secretary-generals-remarks-united-nations-private-sector-forum-delivered" TargetMode="External"/><Relationship Id="rId6" Type="http://schemas.openxmlformats.org/officeDocument/2006/relationships/hyperlink" Target="https://www.ohchr.org/sites/default/files/documents/hrbodies/hrcouncil/2030agenda/sixthsession/ohchr-key-message-18-jan-HRC-intersessional.pdf" TargetMode="External"/><Relationship Id="rId5" Type="http://schemas.openxmlformats.org/officeDocument/2006/relationships/hyperlink" Target="https://www.un.org/ohrlls/sites/www.un.org.ohrlls/files/financing_for_development_for_sids_report_advance_unedited.pdf" TargetMode="External"/><Relationship Id="rId4" Type="http://schemas.openxmlformats.org/officeDocument/2006/relationships/hyperlink" Target="https://sdgpulse.unctad.org/development-finan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4F7BD-0A27-4AA7-BEE4-87A47D5E72E7}"/>
</file>

<file path=customXml/itemProps2.xml><?xml version="1.0" encoding="utf-8"?>
<ds:datastoreItem xmlns:ds="http://schemas.openxmlformats.org/officeDocument/2006/customXml" ds:itemID="{6A4B996F-476B-4151-9AB4-F0842CBD58F2}">
  <ds:schemaRefs>
    <ds:schemaRef ds:uri="http://schemas.microsoft.com/sharepoint/v3/contenttype/forms"/>
  </ds:schemaRefs>
</ds:datastoreItem>
</file>

<file path=customXml/itemProps3.xml><?xml version="1.0" encoding="utf-8"?>
<ds:datastoreItem xmlns:ds="http://schemas.openxmlformats.org/officeDocument/2006/customXml" ds:itemID="{7ACA6BE4-341C-45D8-9928-3B0059582DF0}">
  <ds:schemaRefs>
    <ds:schemaRef ds:uri="3e65cbbf-2fe7-46ec-adf1-534fcdee8f0a"/>
    <ds:schemaRef ds:uri="http://schemas.microsoft.com/office/2006/documentManagement/types"/>
    <ds:schemaRef ds:uri="http://schemas.microsoft.com/office/2006/metadata/properties"/>
    <ds:schemaRef ds:uri="http://schemas.microsoft.com/office/infopath/2007/PartnerControls"/>
    <ds:schemaRef ds:uri="http://purl.org/dc/terms/"/>
    <ds:schemaRef ds:uri="http://www.w3.org/XML/1998/namespace"/>
    <ds:schemaRef ds:uri="http://purl.org/dc/elements/1.1/"/>
    <ds:schemaRef ds:uri="http://schemas.openxmlformats.org/package/2006/metadata/core-properties"/>
    <ds:schemaRef ds:uri="5260571d-ee9c-4188-9e45-1b32c09ae9c1"/>
    <ds:schemaRef ds:uri="http://purl.org/dc/dcmitype/"/>
    <ds:schemaRef ds:uri="e79759b9-e750-4b43-95b5-023098f0be3d"/>
    <ds:schemaRef ds:uri="3c4b2c84-b955-4201-a205-1c826f0a111c"/>
  </ds:schemaRefs>
</ds:datastoreItem>
</file>

<file path=customXml/itemProps4.xml><?xml version="1.0" encoding="utf-8"?>
<ds:datastoreItem xmlns:ds="http://schemas.openxmlformats.org/officeDocument/2006/customXml" ds:itemID="{FAFEEEC5-089E-434A-9511-11AEEFF776EC}">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6</TotalTime>
  <Pages>4</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FSDO</dc:creator>
  <cp:keywords/>
  <dc:description/>
  <cp:lastModifiedBy>Richard Lapper</cp:lastModifiedBy>
  <cp:revision>7</cp:revision>
  <dcterms:created xsi:type="dcterms:W3CDTF">2024-10-15T13:17:00Z</dcterms:created>
  <dcterms:modified xsi:type="dcterms:W3CDTF">2024-10-15T13:26:00Z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0x010100C9C7B889B47A814790B81C385C939699</vt:lpwstr>
  </property>
  <property fmtid="{D5CDD505-2E9C-101B-9397-08002B2CF9AE}" pid="3" name="MediaServiceImageTags">
    <vt:lpwstr/>
  </property>
</Properties>
</file>