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99FF" w14:textId="5439EBF4" w:rsidR="00163222" w:rsidRDefault="00B16366" w:rsidP="002A1A62">
      <w:pPr>
        <w:rPr>
          <w:lang w:val="en-GB"/>
        </w:rPr>
      </w:pPr>
      <w:r>
        <w:rPr>
          <w:lang w:val="en-GB"/>
        </w:rPr>
        <w:t>With reference to the preparative process for the 4</w:t>
      </w:r>
      <w:r w:rsidRPr="00F0198F">
        <w:rPr>
          <w:vertAlign w:val="superscript"/>
          <w:lang w:val="en-GB"/>
        </w:rPr>
        <w:t>th</w:t>
      </w:r>
      <w:r>
        <w:rPr>
          <w:lang w:val="en-GB"/>
        </w:rPr>
        <w:t xml:space="preserve"> Conference on Financing for Development please find Sweden´s input to</w:t>
      </w:r>
      <w:r w:rsidRPr="5DAD362F">
        <w:rPr>
          <w:lang w:val="en-GB"/>
        </w:rPr>
        <w:t xml:space="preserve"> </w:t>
      </w:r>
      <w:r>
        <w:rPr>
          <w:lang w:val="en-GB"/>
        </w:rPr>
        <w:t>the</w:t>
      </w:r>
      <w:r w:rsidRPr="5DAD362F">
        <w:rPr>
          <w:lang w:val="en-GB"/>
        </w:rPr>
        <w:t xml:space="preserve"> </w:t>
      </w:r>
      <w:r>
        <w:rPr>
          <w:lang w:val="en-GB"/>
        </w:rPr>
        <w:t xml:space="preserve">co-facilitators´ for the </w:t>
      </w:r>
      <w:r w:rsidRPr="5DAD362F">
        <w:rPr>
          <w:lang w:val="en-GB"/>
        </w:rPr>
        <w:t>FfD4 Elements paper</w:t>
      </w:r>
      <w:r>
        <w:rPr>
          <w:lang w:val="en-GB"/>
        </w:rPr>
        <w:t>. Sweden’s contribution is presented i</w:t>
      </w:r>
      <w:r w:rsidRPr="5DAD362F">
        <w:rPr>
          <w:lang w:val="en-GB"/>
        </w:rPr>
        <w:t>n addition</w:t>
      </w:r>
      <w:r>
        <w:rPr>
          <w:lang w:val="en-GB"/>
        </w:rPr>
        <w:t xml:space="preserve"> to and complementary</w:t>
      </w:r>
      <w:r w:rsidRPr="5DAD362F">
        <w:rPr>
          <w:lang w:val="en-GB"/>
        </w:rPr>
        <w:t xml:space="preserve"> to the input offered by the European Union, to which Sweden </w:t>
      </w:r>
      <w:r>
        <w:rPr>
          <w:lang w:val="en-GB"/>
        </w:rPr>
        <w:t>aligns itself.</w:t>
      </w:r>
    </w:p>
    <w:p w14:paraId="41B52B65" w14:textId="2C73CB07" w:rsidR="00B12D4A" w:rsidRPr="00163222" w:rsidRDefault="007804D0" w:rsidP="002A1A62">
      <w:pPr>
        <w:rPr>
          <w:lang w:val="en-GB"/>
        </w:rPr>
      </w:pPr>
      <w:r w:rsidRPr="007804D0">
        <w:rPr>
          <w:lang w:val="en-GB"/>
        </w:rPr>
        <w:t>Continued efforts to reform the international financial architecture to ensure it is fit for purpose</w:t>
      </w:r>
      <w:r w:rsidR="004B4ED1">
        <w:rPr>
          <w:lang w:val="en-GB"/>
        </w:rPr>
        <w:t xml:space="preserve"> is crucial.</w:t>
      </w:r>
      <w:r w:rsidRPr="007804D0">
        <w:rPr>
          <w:lang w:val="en-GB"/>
        </w:rPr>
        <w:t xml:space="preserve"> The effectiveness and scale of financing needs to increase to achieve the Sustainable Development Goals (SDGs) and to implement the Paris Agreement. Efforts to mobilize private financing and </w:t>
      </w:r>
      <w:r w:rsidR="004B4ED1">
        <w:rPr>
          <w:lang w:val="en-GB"/>
        </w:rPr>
        <w:t>facilitate</w:t>
      </w:r>
      <w:r w:rsidRPr="007804D0">
        <w:rPr>
          <w:lang w:val="en-GB"/>
        </w:rPr>
        <w:t xml:space="preserve"> increased domestic resource mobilisation should be intensified, as ODA and public financing alone will not suffice. We acknowledge calls to make the international financial architecture more representative of today’s world. To ensure legitimacy of the institutions the voice of the poorest and most vulnerable members must be protected.</w:t>
      </w:r>
    </w:p>
    <w:p w14:paraId="2F50BFF0" w14:textId="53C9B79F" w:rsidR="00163222" w:rsidRDefault="00163222" w:rsidP="00163222">
      <w:pPr>
        <w:rPr>
          <w:lang w:val="en-GB"/>
        </w:rPr>
      </w:pPr>
      <w:r w:rsidRPr="5DAD362F">
        <w:rPr>
          <w:lang w:val="en-GB"/>
        </w:rPr>
        <w:t xml:space="preserve">We believe </w:t>
      </w:r>
      <w:r>
        <w:rPr>
          <w:lang w:val="en-GB"/>
        </w:rPr>
        <w:t xml:space="preserve">that the following perspectives </w:t>
      </w:r>
      <w:r w:rsidR="004B4ED1">
        <w:rPr>
          <w:lang w:val="en-GB"/>
        </w:rPr>
        <w:t>would benefit the outcome of the</w:t>
      </w:r>
      <w:r>
        <w:rPr>
          <w:lang w:val="en-GB"/>
        </w:rPr>
        <w:t xml:space="preserve"> fourth international Financing for Development Conference in Sevilla in June 2025. </w:t>
      </w:r>
    </w:p>
    <w:p w14:paraId="67F7683D" w14:textId="3CCC290D" w:rsidR="00CE1F2A" w:rsidRPr="004E3A67" w:rsidRDefault="00F67412" w:rsidP="00CE1F2A">
      <w:pPr>
        <w:rPr>
          <w:lang w:val="en-GB"/>
        </w:rPr>
      </w:pPr>
      <w:r>
        <w:rPr>
          <w:lang w:val="en-GB"/>
        </w:rPr>
        <w:t xml:space="preserve">A prerequisite </w:t>
      </w:r>
      <w:r w:rsidR="00F91FF4">
        <w:rPr>
          <w:lang w:val="en-GB"/>
        </w:rPr>
        <w:t>t</w:t>
      </w:r>
      <w:r>
        <w:rPr>
          <w:lang w:val="en-GB"/>
        </w:rPr>
        <w:t>o o</w:t>
      </w:r>
      <w:r w:rsidR="00CE1F2A">
        <w:rPr>
          <w:lang w:val="en-GB"/>
        </w:rPr>
        <w:t>ur</w:t>
      </w:r>
      <w:r w:rsidR="00CE1F2A" w:rsidRPr="00163222">
        <w:rPr>
          <w:lang w:val="en-GB"/>
        </w:rPr>
        <w:t xml:space="preserve"> </w:t>
      </w:r>
      <w:r w:rsidR="00CE1F2A">
        <w:rPr>
          <w:lang w:val="en-GB"/>
        </w:rPr>
        <w:t xml:space="preserve">efforts to achieve sustainable development </w:t>
      </w:r>
      <w:r>
        <w:rPr>
          <w:lang w:val="en-GB"/>
        </w:rPr>
        <w:t>is that</w:t>
      </w:r>
      <w:r w:rsidR="00CE1F2A" w:rsidRPr="00163222">
        <w:rPr>
          <w:lang w:val="en-GB"/>
        </w:rPr>
        <w:t xml:space="preserve"> transparency can be ensured, </w:t>
      </w:r>
      <w:r w:rsidR="00CE1F2A">
        <w:rPr>
          <w:lang w:val="en-GB"/>
        </w:rPr>
        <w:t xml:space="preserve">clear </w:t>
      </w:r>
      <w:r w:rsidR="00CE1F2A" w:rsidRPr="00163222">
        <w:rPr>
          <w:lang w:val="en-GB"/>
        </w:rPr>
        <w:t xml:space="preserve">targets and goals </w:t>
      </w:r>
      <w:r w:rsidR="00CE1F2A">
        <w:rPr>
          <w:lang w:val="en-GB"/>
        </w:rPr>
        <w:t>can</w:t>
      </w:r>
      <w:r w:rsidR="00CE1F2A" w:rsidRPr="00163222">
        <w:rPr>
          <w:lang w:val="en-GB"/>
        </w:rPr>
        <w:t xml:space="preserve"> be formulated and results measured</w:t>
      </w:r>
      <w:r w:rsidR="00CE1F2A">
        <w:rPr>
          <w:lang w:val="en-GB"/>
        </w:rPr>
        <w:t>.</w:t>
      </w:r>
    </w:p>
    <w:p w14:paraId="7CD6B4F5" w14:textId="42D10FE5" w:rsidR="004E3A67" w:rsidRPr="004E3A67" w:rsidRDefault="004E3A67" w:rsidP="004E3A67">
      <w:pPr>
        <w:rPr>
          <w:lang w:val="en-GB"/>
        </w:rPr>
      </w:pPr>
      <w:r>
        <w:rPr>
          <w:b/>
          <w:bCs/>
          <w:u w:val="single"/>
          <w:lang w:val="en-GB"/>
        </w:rPr>
        <w:t xml:space="preserve">1. </w:t>
      </w:r>
      <w:r w:rsidR="005952FF">
        <w:rPr>
          <w:b/>
          <w:bCs/>
          <w:u w:val="single"/>
          <w:lang w:val="en-GB"/>
        </w:rPr>
        <w:t>The importance of n</w:t>
      </w:r>
      <w:r w:rsidRPr="004E3A67">
        <w:rPr>
          <w:b/>
          <w:bCs/>
          <w:u w:val="single"/>
          <w:lang w:val="en-GB"/>
        </w:rPr>
        <w:t xml:space="preserve">ational </w:t>
      </w:r>
      <w:r>
        <w:rPr>
          <w:b/>
          <w:bCs/>
          <w:u w:val="single"/>
          <w:lang w:val="en-GB"/>
        </w:rPr>
        <w:t xml:space="preserve">ownership in guiding and driving </w:t>
      </w:r>
      <w:r w:rsidRPr="004E3A67">
        <w:rPr>
          <w:b/>
          <w:bCs/>
          <w:u w:val="single"/>
          <w:lang w:val="en-GB"/>
        </w:rPr>
        <w:t xml:space="preserve">reforms </w:t>
      </w:r>
      <w:r w:rsidRPr="004E3A67">
        <w:rPr>
          <w:lang w:val="en-GB"/>
        </w:rPr>
        <w:t xml:space="preserve"> </w:t>
      </w:r>
    </w:p>
    <w:p w14:paraId="654C105D" w14:textId="77777777" w:rsidR="00F67412" w:rsidRPr="00240224" w:rsidRDefault="00F67412" w:rsidP="00F67412">
      <w:pPr>
        <w:numPr>
          <w:ilvl w:val="0"/>
          <w:numId w:val="11"/>
        </w:numPr>
        <w:rPr>
          <w:lang w:val="en-GB"/>
        </w:rPr>
      </w:pPr>
      <w:r>
        <w:rPr>
          <w:lang w:val="en-GB"/>
        </w:rPr>
        <w:t xml:space="preserve">It is </w:t>
      </w:r>
      <w:r w:rsidRPr="00240224">
        <w:rPr>
          <w:lang w:val="en-GB"/>
        </w:rPr>
        <w:t xml:space="preserve">critical that </w:t>
      </w:r>
      <w:r w:rsidRPr="00710DC9">
        <w:rPr>
          <w:b/>
          <w:bCs/>
          <w:lang w:val="en-GB"/>
        </w:rPr>
        <w:t>national governments drive reforms</w:t>
      </w:r>
      <w:r>
        <w:rPr>
          <w:lang w:val="en-GB"/>
        </w:rPr>
        <w:t xml:space="preserve"> to </w:t>
      </w:r>
      <w:r w:rsidRPr="00240224">
        <w:rPr>
          <w:lang w:val="en-GB"/>
        </w:rPr>
        <w:t>ensure the fundamental conditions for investments and economic development, through effective and inclusive institutions, respect for human rights and the rule of law. This entails establishing a</w:t>
      </w:r>
      <w:r>
        <w:rPr>
          <w:lang w:val="en-GB"/>
        </w:rPr>
        <w:t xml:space="preserve"> conducive </w:t>
      </w:r>
      <w:r w:rsidRPr="00240224">
        <w:rPr>
          <w:lang w:val="en-GB"/>
        </w:rPr>
        <w:t xml:space="preserve">domestic investment climate, including transparent regulatory requirements and freedom from corruption. Good governance is a prerequisite for poverty reduction and sustainable growth. </w:t>
      </w:r>
    </w:p>
    <w:p w14:paraId="53E928C4" w14:textId="0036658D" w:rsidR="004E3A67" w:rsidRDefault="004E3A67" w:rsidP="004E3A67">
      <w:pPr>
        <w:numPr>
          <w:ilvl w:val="0"/>
          <w:numId w:val="11"/>
        </w:numPr>
        <w:rPr>
          <w:lang w:val="en-GB"/>
        </w:rPr>
      </w:pPr>
      <w:r w:rsidRPr="004E3A67">
        <w:rPr>
          <w:lang w:val="en-GB"/>
        </w:rPr>
        <w:t xml:space="preserve">Nationally owned and driven processes </w:t>
      </w:r>
      <w:r w:rsidR="004B4ED1">
        <w:rPr>
          <w:lang w:val="en-GB"/>
        </w:rPr>
        <w:t>to</w:t>
      </w:r>
      <w:r w:rsidR="004B4ED1" w:rsidRPr="004E3A67">
        <w:rPr>
          <w:lang w:val="en-GB"/>
        </w:rPr>
        <w:t xml:space="preserve"> </w:t>
      </w:r>
      <w:r w:rsidRPr="004E3A67">
        <w:rPr>
          <w:lang w:val="en-GB"/>
        </w:rPr>
        <w:t xml:space="preserve">strengthen sustainable institutions </w:t>
      </w:r>
      <w:r w:rsidR="004B4ED1">
        <w:rPr>
          <w:lang w:val="en-GB"/>
        </w:rPr>
        <w:t xml:space="preserve">is a </w:t>
      </w:r>
      <w:r w:rsidRPr="004E3A67">
        <w:rPr>
          <w:lang w:val="en-GB"/>
        </w:rPr>
        <w:t>key component</w:t>
      </w:r>
      <w:r w:rsidR="004B4ED1">
        <w:rPr>
          <w:lang w:val="en-GB"/>
        </w:rPr>
        <w:t xml:space="preserve"> </w:t>
      </w:r>
      <w:r w:rsidRPr="004E3A67">
        <w:rPr>
          <w:lang w:val="en-GB"/>
        </w:rPr>
        <w:t xml:space="preserve">of sustainable development. </w:t>
      </w:r>
    </w:p>
    <w:p w14:paraId="67F86B06" w14:textId="5D9D4DFA" w:rsidR="004E3A67" w:rsidRPr="004E3A67" w:rsidRDefault="004E3A67" w:rsidP="004E3A67">
      <w:pPr>
        <w:numPr>
          <w:ilvl w:val="0"/>
          <w:numId w:val="11"/>
        </w:numPr>
        <w:rPr>
          <w:lang w:val="en-GB"/>
        </w:rPr>
      </w:pPr>
      <w:r w:rsidRPr="004E3A67">
        <w:rPr>
          <w:lang w:val="en-GB"/>
        </w:rPr>
        <w:t xml:space="preserve">FfD4 should </w:t>
      </w:r>
      <w:r w:rsidR="00F67412">
        <w:rPr>
          <w:lang w:val="en-GB"/>
        </w:rPr>
        <w:t>reinforce</w:t>
      </w:r>
      <w:r w:rsidR="00F67412" w:rsidRPr="004E3A67">
        <w:rPr>
          <w:lang w:val="en-GB"/>
        </w:rPr>
        <w:t xml:space="preserve"> </w:t>
      </w:r>
      <w:r w:rsidRPr="004E3A67">
        <w:rPr>
          <w:lang w:val="en-GB"/>
        </w:rPr>
        <w:t>the need for a</w:t>
      </w:r>
      <w:r w:rsidRPr="00473FF5">
        <w:rPr>
          <w:b/>
          <w:bCs/>
          <w:lang w:val="en-GB"/>
        </w:rPr>
        <w:t>lignment of international support with national financing priorities</w:t>
      </w:r>
      <w:r w:rsidRPr="004E3A67">
        <w:rPr>
          <w:lang w:val="en-GB"/>
        </w:rPr>
        <w:t>. By enhancing coordination among country platforms for MDBs and other partners, countries can use integrated financing, including INFFs, to align multilateral and bilateral donors, development banks, and the private sector</w:t>
      </w:r>
      <w:r w:rsidR="00F67412">
        <w:rPr>
          <w:lang w:val="en-GB"/>
        </w:rPr>
        <w:t xml:space="preserve">. Such alignment will </w:t>
      </w:r>
      <w:r w:rsidRPr="004E3A67">
        <w:rPr>
          <w:lang w:val="en-GB"/>
        </w:rPr>
        <w:t xml:space="preserve">support national priorities, scale up resources and technical assistance in support of national plans. </w:t>
      </w:r>
    </w:p>
    <w:p w14:paraId="32CDDA85" w14:textId="77777777" w:rsidR="004E3A67" w:rsidRPr="004E3A67" w:rsidRDefault="004E3A67" w:rsidP="004E3A67">
      <w:pPr>
        <w:numPr>
          <w:ilvl w:val="0"/>
          <w:numId w:val="11"/>
        </w:numPr>
        <w:rPr>
          <w:lang w:val="en-GB"/>
        </w:rPr>
      </w:pPr>
      <w:r w:rsidRPr="004E3A67">
        <w:rPr>
          <w:lang w:val="en-GB"/>
        </w:rPr>
        <w:t xml:space="preserve">Many countries face severe capacity constraints in implementing institutional reforms and in making the most of new financing instruments, such as blended finance, sustainability bonds, debt swaps, etc. This calls for an urgent </w:t>
      </w:r>
      <w:r w:rsidRPr="00710DC9">
        <w:rPr>
          <w:b/>
          <w:bCs/>
          <w:lang w:val="en-GB"/>
        </w:rPr>
        <w:t>scaling-up of technical assistance, capacity building and institutional development</w:t>
      </w:r>
      <w:r w:rsidRPr="004E3A67">
        <w:rPr>
          <w:lang w:val="en-GB"/>
        </w:rPr>
        <w:t xml:space="preserve"> efforts to align </w:t>
      </w:r>
      <w:r w:rsidRPr="004E3A67">
        <w:rPr>
          <w:lang w:val="en-GB"/>
        </w:rPr>
        <w:lastRenderedPageBreak/>
        <w:t>technical support with the financing priorities articulated through country-led INFFs and or in connection to country road maps.</w:t>
      </w:r>
    </w:p>
    <w:p w14:paraId="1E44E8B3" w14:textId="77777777" w:rsidR="004E3A67" w:rsidRPr="004E3A67" w:rsidRDefault="004E3A67" w:rsidP="004E3A67">
      <w:pPr>
        <w:numPr>
          <w:ilvl w:val="0"/>
          <w:numId w:val="11"/>
        </w:numPr>
        <w:rPr>
          <w:lang w:val="en-GB"/>
        </w:rPr>
      </w:pPr>
      <w:r w:rsidRPr="004E3A67">
        <w:rPr>
          <w:lang w:val="en-GB"/>
        </w:rPr>
        <w:t xml:space="preserve">FfD4 should recognize the critical need to support countries in </w:t>
      </w:r>
      <w:r w:rsidRPr="00710DC9">
        <w:rPr>
          <w:b/>
          <w:bCs/>
          <w:lang w:val="en-GB"/>
        </w:rPr>
        <w:t>strengthening their financial planning and policy frameworks</w:t>
      </w:r>
      <w:r w:rsidRPr="004E3A67">
        <w:rPr>
          <w:lang w:val="en-GB"/>
        </w:rPr>
        <w:t xml:space="preserve"> for achieving the SDGs, emphasizing the importance of country leadership in building sustainable national financing ecosystems. </w:t>
      </w:r>
    </w:p>
    <w:p w14:paraId="146E1DC2" w14:textId="21D7990E" w:rsidR="004E3A67" w:rsidRDefault="004E3A67" w:rsidP="004E3A67">
      <w:pPr>
        <w:numPr>
          <w:ilvl w:val="0"/>
          <w:numId w:val="11"/>
        </w:numPr>
        <w:rPr>
          <w:lang w:val="en-GB"/>
        </w:rPr>
      </w:pPr>
      <w:r w:rsidRPr="004E3A67">
        <w:rPr>
          <w:lang w:val="en-GB"/>
        </w:rPr>
        <w:t xml:space="preserve">By reinforcing country leadership in financing policy, the reform of the international financial architecture can become more responsive, coherent, and effective in addressing the unique needs and challenges of each country. </w:t>
      </w:r>
      <w:r w:rsidRPr="00710DC9">
        <w:rPr>
          <w:b/>
          <w:bCs/>
          <w:lang w:val="en-GB"/>
        </w:rPr>
        <w:t xml:space="preserve">National and international financing architecture </w:t>
      </w:r>
      <w:r w:rsidRPr="004E3A67">
        <w:rPr>
          <w:lang w:val="en-GB"/>
        </w:rPr>
        <w:t>need to be mutually supportive.</w:t>
      </w:r>
    </w:p>
    <w:p w14:paraId="27E69C61" w14:textId="25B43F8C" w:rsidR="004E3A67" w:rsidRDefault="0057219F" w:rsidP="004E3A67">
      <w:pPr>
        <w:numPr>
          <w:ilvl w:val="0"/>
          <w:numId w:val="11"/>
        </w:numPr>
        <w:rPr>
          <w:lang w:val="en-GB"/>
        </w:rPr>
      </w:pPr>
      <w:r>
        <w:rPr>
          <w:lang w:val="en-GB"/>
        </w:rPr>
        <w:t>FfD4 should highlight</w:t>
      </w:r>
      <w:r w:rsidRPr="004E3A67">
        <w:rPr>
          <w:lang w:val="en-GB"/>
        </w:rPr>
        <w:t xml:space="preserve"> </w:t>
      </w:r>
      <w:r w:rsidR="004E3A67" w:rsidRPr="004E3A67">
        <w:rPr>
          <w:lang w:val="en-GB"/>
        </w:rPr>
        <w:t xml:space="preserve">the </w:t>
      </w:r>
      <w:r w:rsidR="004E3A67" w:rsidRPr="00710DC9">
        <w:rPr>
          <w:b/>
          <w:bCs/>
          <w:lang w:val="en-GB"/>
        </w:rPr>
        <w:t>importance of treating finance policy as a holistic issue</w:t>
      </w:r>
      <w:r w:rsidR="004E3A67" w:rsidRPr="004E3A67">
        <w:rPr>
          <w:lang w:val="en-GB"/>
        </w:rPr>
        <w:t xml:space="preserve"> to drive development.</w:t>
      </w:r>
      <w:r w:rsidR="004E3A67" w:rsidRPr="004E3A67" w:rsidDel="002B7091">
        <w:rPr>
          <w:lang w:val="en-GB"/>
        </w:rPr>
        <w:t xml:space="preserve"> </w:t>
      </w:r>
      <w:r w:rsidR="004E3A67" w:rsidRPr="004E3A67">
        <w:rPr>
          <w:lang w:val="en-GB"/>
        </w:rPr>
        <w:t xml:space="preserve">Without inclusive and well-structured mechanisms for meaningful engagement with the private sector and civil society, financing strategies will not sufficiently reflect the diverse needs of key development stakeholders. </w:t>
      </w:r>
    </w:p>
    <w:p w14:paraId="43D49756" w14:textId="3C93BFDB" w:rsidR="00240224" w:rsidRDefault="00800106" w:rsidP="00240224">
      <w:pPr>
        <w:rPr>
          <w:lang w:val="en-GB"/>
        </w:rPr>
      </w:pPr>
      <w:r w:rsidRPr="009779D1">
        <w:rPr>
          <w:lang w:val="en-GB"/>
        </w:rPr>
        <w:br/>
      </w:r>
      <w:r w:rsidR="00240224">
        <w:rPr>
          <w:b/>
          <w:bCs/>
          <w:u w:val="single"/>
          <w:lang w:val="en-GB"/>
        </w:rPr>
        <w:t xml:space="preserve">2. </w:t>
      </w:r>
      <w:r w:rsidR="005952FF">
        <w:rPr>
          <w:b/>
          <w:bCs/>
          <w:u w:val="single"/>
          <w:lang w:val="en-GB"/>
        </w:rPr>
        <w:t xml:space="preserve">The importance </w:t>
      </w:r>
      <w:r w:rsidR="00070372">
        <w:rPr>
          <w:b/>
          <w:bCs/>
          <w:u w:val="single"/>
          <w:lang w:val="en-GB"/>
        </w:rPr>
        <w:t xml:space="preserve">of </w:t>
      </w:r>
      <w:r w:rsidR="00240224">
        <w:rPr>
          <w:b/>
          <w:bCs/>
          <w:u w:val="single"/>
          <w:lang w:val="en-GB"/>
        </w:rPr>
        <w:t xml:space="preserve">catalytic </w:t>
      </w:r>
      <w:r w:rsidRPr="00163222">
        <w:rPr>
          <w:b/>
          <w:bCs/>
          <w:u w:val="single"/>
          <w:lang w:val="en-GB"/>
        </w:rPr>
        <w:t>ODA</w:t>
      </w:r>
      <w:r w:rsidR="00064CC3">
        <w:rPr>
          <w:b/>
          <w:bCs/>
          <w:u w:val="single"/>
          <w:lang w:val="en-GB"/>
        </w:rPr>
        <w:t xml:space="preserve"> and p</w:t>
      </w:r>
      <w:r w:rsidR="00064CC3" w:rsidRPr="00163222">
        <w:rPr>
          <w:b/>
          <w:bCs/>
          <w:u w:val="single"/>
          <w:lang w:val="en-GB"/>
        </w:rPr>
        <w:t>romoting innovative financing solutions</w:t>
      </w:r>
      <w:r w:rsidR="00064CC3">
        <w:rPr>
          <w:b/>
          <w:bCs/>
          <w:u w:val="single"/>
          <w:lang w:val="en-GB"/>
        </w:rPr>
        <w:t xml:space="preserve"> </w:t>
      </w:r>
    </w:p>
    <w:p w14:paraId="7FD8CCF0" w14:textId="228BD122" w:rsidR="00DB7AC8" w:rsidRDefault="00AF0C67" w:rsidP="00DB7AC8">
      <w:pPr>
        <w:pStyle w:val="Liststycke"/>
        <w:numPr>
          <w:ilvl w:val="0"/>
          <w:numId w:val="13"/>
        </w:numPr>
        <w:rPr>
          <w:lang w:val="en-GB"/>
        </w:rPr>
      </w:pPr>
      <w:r w:rsidRPr="00240224">
        <w:rPr>
          <w:lang w:val="en-GB"/>
        </w:rPr>
        <w:t xml:space="preserve">The </w:t>
      </w:r>
      <w:r w:rsidRPr="00710DC9">
        <w:rPr>
          <w:b/>
          <w:bCs/>
          <w:lang w:val="en-GB"/>
        </w:rPr>
        <w:t>catalytic potential of ODA</w:t>
      </w:r>
      <w:r w:rsidRPr="00240224">
        <w:rPr>
          <w:lang w:val="en-GB"/>
        </w:rPr>
        <w:t xml:space="preserve"> must be further strengthened.</w:t>
      </w:r>
    </w:p>
    <w:p w14:paraId="51F5F8D8" w14:textId="0ECE9A5F" w:rsidR="004345F1" w:rsidRDefault="00AF0C67" w:rsidP="004345F1">
      <w:pPr>
        <w:pStyle w:val="Liststycke"/>
        <w:rPr>
          <w:lang w:val="en-GB"/>
        </w:rPr>
      </w:pPr>
      <w:r w:rsidRPr="00BD1207">
        <w:rPr>
          <w:lang w:val="en-GB"/>
        </w:rPr>
        <w:t xml:space="preserve">Steps to strengthen </w:t>
      </w:r>
      <w:r w:rsidRPr="00710DC9">
        <w:rPr>
          <w:b/>
          <w:bCs/>
          <w:lang w:val="en-GB"/>
        </w:rPr>
        <w:t>domestic resource mobilisation</w:t>
      </w:r>
      <w:r w:rsidRPr="00BD1207">
        <w:rPr>
          <w:lang w:val="en-GB"/>
        </w:rPr>
        <w:t xml:space="preserve"> for SDGs and climate action </w:t>
      </w:r>
      <w:r w:rsidR="00DB7AC8">
        <w:rPr>
          <w:lang w:val="en-GB"/>
        </w:rPr>
        <w:t xml:space="preserve">should </w:t>
      </w:r>
      <w:r w:rsidRPr="00BD1207">
        <w:rPr>
          <w:lang w:val="en-GB"/>
        </w:rPr>
        <w:t xml:space="preserve">be further elaborated in FfD4 outcomes: </w:t>
      </w:r>
    </w:p>
    <w:p w14:paraId="26A911F3" w14:textId="2FAD5C52" w:rsidR="00A00CF8" w:rsidRPr="004345F1" w:rsidRDefault="00A00CF8" w:rsidP="004345F1">
      <w:pPr>
        <w:pStyle w:val="Liststycke"/>
        <w:numPr>
          <w:ilvl w:val="0"/>
          <w:numId w:val="11"/>
        </w:numPr>
        <w:rPr>
          <w:lang w:val="en-GB"/>
        </w:rPr>
      </w:pPr>
      <w:r w:rsidRPr="004345F1">
        <w:rPr>
          <w:lang w:val="en-GB"/>
        </w:rPr>
        <w:t xml:space="preserve">The importance of support to </w:t>
      </w:r>
      <w:r w:rsidRPr="004345F1">
        <w:rPr>
          <w:b/>
          <w:bCs/>
          <w:lang w:val="en-GB"/>
        </w:rPr>
        <w:t>reforms for domestic resource mobilisation,</w:t>
      </w:r>
      <w:r w:rsidRPr="004345F1">
        <w:rPr>
          <w:lang w:val="en-GB"/>
        </w:rPr>
        <w:t xml:space="preserve"> including technical cooperation, with the aim of achieving improved tax policy and more efficient systems to increase tax revenues and prevent tax evasion, and promoting good governance</w:t>
      </w:r>
      <w:r w:rsidR="00DB7AC8" w:rsidRPr="004345F1">
        <w:rPr>
          <w:lang w:val="en-GB"/>
        </w:rPr>
        <w:t>, should be promoted.</w:t>
      </w:r>
    </w:p>
    <w:p w14:paraId="2C68140A" w14:textId="0E7DDE09" w:rsidR="009779D1" w:rsidRPr="002070AA" w:rsidRDefault="00A95C43" w:rsidP="00070372">
      <w:pPr>
        <w:pStyle w:val="Liststycke"/>
        <w:numPr>
          <w:ilvl w:val="0"/>
          <w:numId w:val="13"/>
        </w:numPr>
        <w:rPr>
          <w:lang w:val="en-GB"/>
        </w:rPr>
      </w:pPr>
      <w:r w:rsidRPr="002023D1">
        <w:rPr>
          <w:b/>
          <w:bCs/>
          <w:lang w:val="en-GB"/>
        </w:rPr>
        <w:t>I</w:t>
      </w:r>
      <w:r w:rsidR="009779D1" w:rsidRPr="002023D1">
        <w:rPr>
          <w:b/>
          <w:bCs/>
          <w:lang w:val="en-GB"/>
        </w:rPr>
        <w:t>ncentivising</w:t>
      </w:r>
      <w:r w:rsidR="0057219F" w:rsidRPr="002023D1">
        <w:rPr>
          <w:b/>
          <w:bCs/>
          <w:lang w:val="en-GB"/>
        </w:rPr>
        <w:t xml:space="preserve">, </w:t>
      </w:r>
      <w:r w:rsidR="009779D1" w:rsidRPr="002023D1">
        <w:rPr>
          <w:b/>
          <w:bCs/>
          <w:lang w:val="en-GB"/>
        </w:rPr>
        <w:t>mobilising and scaling up private finance</w:t>
      </w:r>
      <w:r w:rsidR="009779D1" w:rsidRPr="002070AA">
        <w:rPr>
          <w:lang w:val="en-GB"/>
        </w:rPr>
        <w:t xml:space="preserve"> to complement public domestic, bilateral and multilateral resources </w:t>
      </w:r>
      <w:r w:rsidR="0057219F">
        <w:rPr>
          <w:lang w:val="en-GB"/>
        </w:rPr>
        <w:t xml:space="preserve">is key </w:t>
      </w:r>
      <w:r w:rsidR="009779D1" w:rsidRPr="002070AA">
        <w:rPr>
          <w:lang w:val="en-GB"/>
        </w:rPr>
        <w:t>to achieve the SDG</w:t>
      </w:r>
      <w:r w:rsidR="0057219F">
        <w:rPr>
          <w:lang w:val="en-GB"/>
        </w:rPr>
        <w:t>:s</w:t>
      </w:r>
      <w:r>
        <w:rPr>
          <w:lang w:val="en-GB"/>
        </w:rPr>
        <w:t>.</w:t>
      </w:r>
    </w:p>
    <w:p w14:paraId="2FD58A24" w14:textId="63722650" w:rsidR="009779D1" w:rsidRDefault="009779D1" w:rsidP="00070372">
      <w:pPr>
        <w:pStyle w:val="Brdtextmedindrag"/>
        <w:numPr>
          <w:ilvl w:val="0"/>
          <w:numId w:val="13"/>
        </w:numPr>
        <w:rPr>
          <w:lang w:val="en-GB"/>
        </w:rPr>
      </w:pPr>
      <w:r w:rsidRPr="00550390">
        <w:rPr>
          <w:lang w:val="en-GB"/>
        </w:rPr>
        <w:t xml:space="preserve">ODA </w:t>
      </w:r>
      <w:r w:rsidR="0057219F">
        <w:rPr>
          <w:lang w:val="en-GB"/>
        </w:rPr>
        <w:t xml:space="preserve">should </w:t>
      </w:r>
      <w:r w:rsidR="00F67412">
        <w:rPr>
          <w:lang w:val="en-GB"/>
        </w:rPr>
        <w:t xml:space="preserve">increasingly </w:t>
      </w:r>
      <w:r w:rsidR="0057219F">
        <w:rPr>
          <w:lang w:val="en-GB"/>
        </w:rPr>
        <w:t xml:space="preserve">be targeted to </w:t>
      </w:r>
      <w:r w:rsidR="0057219F" w:rsidRPr="002023D1">
        <w:rPr>
          <w:b/>
          <w:bCs/>
          <w:lang w:val="en-GB"/>
        </w:rPr>
        <w:t xml:space="preserve">promote </w:t>
      </w:r>
      <w:r w:rsidRPr="002023D1">
        <w:rPr>
          <w:b/>
          <w:bCs/>
          <w:lang w:val="en-GB"/>
        </w:rPr>
        <w:t>catalytic approaches</w:t>
      </w:r>
      <w:r w:rsidRPr="00550390">
        <w:rPr>
          <w:lang w:val="en-GB"/>
        </w:rPr>
        <w:t xml:space="preserve"> to mobilize the private sector, </w:t>
      </w:r>
      <w:r w:rsidR="0057219F" w:rsidRPr="00550390">
        <w:rPr>
          <w:lang w:val="en-GB"/>
        </w:rPr>
        <w:t>e</w:t>
      </w:r>
      <w:r w:rsidR="0057219F">
        <w:rPr>
          <w:lang w:val="en-GB"/>
        </w:rPr>
        <w:t xml:space="preserve">g. </w:t>
      </w:r>
      <w:r w:rsidR="0057219F" w:rsidRPr="00550390">
        <w:rPr>
          <w:lang w:val="en-GB"/>
        </w:rPr>
        <w:t xml:space="preserve"> </w:t>
      </w:r>
      <w:r w:rsidRPr="00550390">
        <w:rPr>
          <w:lang w:val="en-GB"/>
        </w:rPr>
        <w:t>blended finance, green/sustainable bonds and strengthened incentives for the private sector to operate in developing economies.</w:t>
      </w:r>
    </w:p>
    <w:p w14:paraId="511FCE16" w14:textId="598B32F4" w:rsidR="009779D1" w:rsidRDefault="009779D1" w:rsidP="00070372">
      <w:pPr>
        <w:pStyle w:val="Brdtextmedindrag"/>
        <w:numPr>
          <w:ilvl w:val="0"/>
          <w:numId w:val="13"/>
        </w:numPr>
        <w:rPr>
          <w:lang w:val="en-GB"/>
        </w:rPr>
      </w:pPr>
      <w:r w:rsidRPr="00550390">
        <w:rPr>
          <w:lang w:val="en-GB"/>
        </w:rPr>
        <w:t xml:space="preserve">Work </w:t>
      </w:r>
      <w:r w:rsidR="0057219F">
        <w:rPr>
          <w:lang w:val="en-GB"/>
        </w:rPr>
        <w:t>to</w:t>
      </w:r>
      <w:r w:rsidRPr="00550390">
        <w:rPr>
          <w:lang w:val="en-GB"/>
        </w:rPr>
        <w:t xml:space="preserve"> adapt of countries' budgets to sustainable development, which has the potential to attract SDG investments</w:t>
      </w:r>
      <w:r w:rsidR="0057219F">
        <w:rPr>
          <w:lang w:val="en-GB"/>
        </w:rPr>
        <w:t>, is key.</w:t>
      </w:r>
    </w:p>
    <w:p w14:paraId="49670483" w14:textId="2B8FCDB0" w:rsidR="009779D1" w:rsidRDefault="0057219F" w:rsidP="002070AA">
      <w:pPr>
        <w:pStyle w:val="Brdtextmedindrag"/>
        <w:numPr>
          <w:ilvl w:val="0"/>
          <w:numId w:val="13"/>
        </w:numPr>
        <w:rPr>
          <w:lang w:val="en-GB"/>
        </w:rPr>
      </w:pPr>
      <w:r>
        <w:rPr>
          <w:lang w:val="en-GB"/>
        </w:rPr>
        <w:t xml:space="preserve">The scaling-up </w:t>
      </w:r>
      <w:r w:rsidR="009779D1" w:rsidRPr="00C762A9">
        <w:rPr>
          <w:lang w:val="en-GB"/>
        </w:rPr>
        <w:t xml:space="preserve">of </w:t>
      </w:r>
      <w:r w:rsidR="009779D1" w:rsidRPr="002023D1">
        <w:rPr>
          <w:b/>
          <w:bCs/>
          <w:lang w:val="en-GB"/>
        </w:rPr>
        <w:t>mobilization of private capital through blended finance</w:t>
      </w:r>
      <w:r w:rsidR="009779D1" w:rsidRPr="00C762A9">
        <w:rPr>
          <w:lang w:val="en-GB"/>
        </w:rPr>
        <w:t xml:space="preserve"> and standardized solution</w:t>
      </w:r>
      <w:r>
        <w:rPr>
          <w:lang w:val="en-GB"/>
        </w:rPr>
        <w:t xml:space="preserve">s is </w:t>
      </w:r>
      <w:r w:rsidR="002023D1">
        <w:rPr>
          <w:lang w:val="en-GB"/>
        </w:rPr>
        <w:t>crucial</w:t>
      </w:r>
      <w:r w:rsidR="00C33D2E">
        <w:rPr>
          <w:lang w:val="en-GB"/>
        </w:rPr>
        <w:t>, as well as e</w:t>
      </w:r>
      <w:r w:rsidR="009779D1" w:rsidRPr="00BB164D">
        <w:rPr>
          <w:lang w:val="en-GB"/>
        </w:rPr>
        <w:t>ngaging private sector for new financing solution</w:t>
      </w:r>
      <w:r>
        <w:rPr>
          <w:lang w:val="en-GB"/>
        </w:rPr>
        <w:t xml:space="preserve">s </w:t>
      </w:r>
      <w:r w:rsidR="009779D1" w:rsidRPr="00BB164D">
        <w:rPr>
          <w:lang w:val="en-GB"/>
        </w:rPr>
        <w:t>(</w:t>
      </w:r>
      <w:r w:rsidR="00FC5F60">
        <w:rPr>
          <w:lang w:val="en-GB"/>
        </w:rPr>
        <w:t>e.g.</w:t>
      </w:r>
      <w:r w:rsidR="009779D1" w:rsidRPr="00BB164D">
        <w:rPr>
          <w:lang w:val="en-GB"/>
        </w:rPr>
        <w:t>: SDG bond</w:t>
      </w:r>
      <w:r>
        <w:rPr>
          <w:lang w:val="en-GB"/>
        </w:rPr>
        <w:t>s</w:t>
      </w:r>
      <w:r w:rsidR="009779D1" w:rsidRPr="00BB164D">
        <w:rPr>
          <w:lang w:val="en-GB"/>
        </w:rPr>
        <w:t>). ODA can also support development of financial markets and regulatory environments to attract further investment in SDGs and climate action.</w:t>
      </w:r>
    </w:p>
    <w:p w14:paraId="598F0E50" w14:textId="288A096E" w:rsidR="002070AA" w:rsidRDefault="002070AA" w:rsidP="002070AA">
      <w:pPr>
        <w:pStyle w:val="Liststycke"/>
        <w:numPr>
          <w:ilvl w:val="0"/>
          <w:numId w:val="13"/>
        </w:numPr>
        <w:rPr>
          <w:lang w:val="en-GB"/>
        </w:rPr>
      </w:pPr>
      <w:r w:rsidRPr="002070AA">
        <w:rPr>
          <w:lang w:val="en-GB"/>
        </w:rPr>
        <w:lastRenderedPageBreak/>
        <w:t>The outcome of the FFD4 should emphasize the need to enhanc</w:t>
      </w:r>
      <w:r w:rsidR="0057219F">
        <w:rPr>
          <w:lang w:val="en-GB"/>
        </w:rPr>
        <w:t>e</w:t>
      </w:r>
      <w:r w:rsidRPr="002070AA">
        <w:rPr>
          <w:lang w:val="en-GB"/>
        </w:rPr>
        <w:t xml:space="preserve"> the use/encourage further use of guarantees </w:t>
      </w:r>
      <w:r w:rsidR="0057219F">
        <w:rPr>
          <w:lang w:val="en-GB"/>
        </w:rPr>
        <w:t xml:space="preserve">to de-risk </w:t>
      </w:r>
      <w:r w:rsidR="002023D1">
        <w:rPr>
          <w:lang w:val="en-GB"/>
        </w:rPr>
        <w:t>investments.</w:t>
      </w:r>
      <w:r>
        <w:rPr>
          <w:lang w:val="en-GB"/>
        </w:rPr>
        <w:t xml:space="preserve"> </w:t>
      </w:r>
      <w:r w:rsidR="0057219F">
        <w:rPr>
          <w:lang w:val="en-GB"/>
        </w:rPr>
        <w:t>G</w:t>
      </w:r>
      <w:r w:rsidRPr="002070AA">
        <w:rPr>
          <w:lang w:val="en-GB"/>
        </w:rPr>
        <w:t>reen bonds are important</w:t>
      </w:r>
      <w:r w:rsidR="0057219F">
        <w:rPr>
          <w:lang w:val="en-GB"/>
        </w:rPr>
        <w:t xml:space="preserve"> as well as </w:t>
      </w:r>
      <w:r w:rsidRPr="002070AA">
        <w:rPr>
          <w:lang w:val="en-GB"/>
        </w:rPr>
        <w:t>SDG-sovereign bonds, linking countries budgets to sustainable development, including climate, but also biodiversity and social SDGs</w:t>
      </w:r>
      <w:r w:rsidR="0057219F">
        <w:rPr>
          <w:lang w:val="en-GB"/>
        </w:rPr>
        <w:t>.</w:t>
      </w:r>
    </w:p>
    <w:p w14:paraId="1333408D" w14:textId="77777777" w:rsidR="002070AA" w:rsidRPr="002070AA" w:rsidRDefault="002070AA" w:rsidP="00070372">
      <w:pPr>
        <w:pStyle w:val="Liststycke"/>
        <w:rPr>
          <w:lang w:val="en-GB"/>
        </w:rPr>
      </w:pPr>
    </w:p>
    <w:p w14:paraId="3061BE2B" w14:textId="1C384CEF" w:rsidR="002070AA" w:rsidRPr="002070AA" w:rsidRDefault="002070AA" w:rsidP="00070372">
      <w:pPr>
        <w:pStyle w:val="Liststycke"/>
        <w:numPr>
          <w:ilvl w:val="0"/>
          <w:numId w:val="11"/>
        </w:numPr>
        <w:rPr>
          <w:lang w:val="en-GB"/>
        </w:rPr>
      </w:pPr>
      <w:r>
        <w:rPr>
          <w:lang w:val="en-GB"/>
        </w:rPr>
        <w:t xml:space="preserve">FfD4 should support the development of new markets, institutional conditions and business models for the green transition, including market development, policy changes, </w:t>
      </w:r>
      <w:r w:rsidR="00C33D2E">
        <w:rPr>
          <w:lang w:val="en-GB"/>
        </w:rPr>
        <w:t xml:space="preserve">voluntary </w:t>
      </w:r>
      <w:r>
        <w:rPr>
          <w:lang w:val="en-GB"/>
        </w:rPr>
        <w:t xml:space="preserve">technology transfer </w:t>
      </w:r>
      <w:r w:rsidRPr="00A15C4F">
        <w:rPr>
          <w:lang w:val="en-GB"/>
        </w:rPr>
        <w:t xml:space="preserve">on mutually agreed terms </w:t>
      </w:r>
      <w:r>
        <w:rPr>
          <w:lang w:val="en-GB"/>
        </w:rPr>
        <w:t>as well as the phasing out of harmful subsidies and reforms of institutional frameworks for pricing and emissions trading in line with Article 6 of the Paris Agreement and the EU Green Deal.</w:t>
      </w:r>
    </w:p>
    <w:p w14:paraId="22CCF5AC" w14:textId="2F353518" w:rsidR="002070AA" w:rsidRPr="00163222" w:rsidRDefault="00325F9E" w:rsidP="00163222">
      <w:pPr>
        <w:rPr>
          <w:b/>
          <w:bCs/>
          <w:u w:val="single"/>
          <w:lang w:val="en-GB"/>
        </w:rPr>
      </w:pPr>
      <w:r>
        <w:rPr>
          <w:b/>
          <w:bCs/>
          <w:u w:val="single"/>
          <w:lang w:val="en-GB"/>
        </w:rPr>
        <w:t xml:space="preserve"> </w:t>
      </w:r>
      <w:r w:rsidR="00800106" w:rsidRPr="00163222">
        <w:rPr>
          <w:b/>
          <w:bCs/>
          <w:u w:val="single"/>
          <w:lang w:val="en-GB"/>
        </w:rPr>
        <w:br/>
      </w:r>
      <w:r w:rsidR="004345F1">
        <w:rPr>
          <w:b/>
          <w:bCs/>
          <w:u w:val="single"/>
          <w:lang w:val="en-GB"/>
        </w:rPr>
        <w:t>3</w:t>
      </w:r>
      <w:r w:rsidR="00AC5A3F">
        <w:rPr>
          <w:b/>
          <w:bCs/>
          <w:u w:val="single"/>
          <w:lang w:val="en-GB"/>
        </w:rPr>
        <w:t>.</w:t>
      </w:r>
      <w:r w:rsidR="00800106" w:rsidRPr="00163222">
        <w:rPr>
          <w:b/>
          <w:bCs/>
          <w:u w:val="single"/>
          <w:lang w:val="en-GB"/>
        </w:rPr>
        <w:t xml:space="preserve"> </w:t>
      </w:r>
      <w:r w:rsidR="002070AA">
        <w:rPr>
          <w:b/>
          <w:bCs/>
          <w:u w:val="single"/>
          <w:lang w:val="en-GB"/>
        </w:rPr>
        <w:t xml:space="preserve">Increased and </w:t>
      </w:r>
      <w:r w:rsidR="00800106" w:rsidRPr="00163222">
        <w:rPr>
          <w:b/>
          <w:bCs/>
          <w:u w:val="single"/>
          <w:lang w:val="en-GB"/>
        </w:rPr>
        <w:t xml:space="preserve">catalytic climate financing </w:t>
      </w:r>
    </w:p>
    <w:p w14:paraId="30E2F6A8" w14:textId="2882B02E" w:rsidR="002070AA" w:rsidRPr="002070AA" w:rsidRDefault="002070AA" w:rsidP="002070AA">
      <w:pPr>
        <w:numPr>
          <w:ilvl w:val="0"/>
          <w:numId w:val="11"/>
        </w:numPr>
        <w:rPr>
          <w:lang w:val="en-GB"/>
        </w:rPr>
      </w:pPr>
      <w:r w:rsidRPr="002070AA">
        <w:rPr>
          <w:b/>
          <w:bCs/>
          <w:lang w:val="en-GB"/>
        </w:rPr>
        <w:t>Climate action</w:t>
      </w:r>
      <w:r w:rsidRPr="002070AA">
        <w:rPr>
          <w:lang w:val="en-GB"/>
        </w:rPr>
        <w:t xml:space="preserve"> should be strengthened and synergies with the SDGs further enhanced. The outcome of COP 29 as regards the financing goal, should be included in the final outcome of the FfD4 conference.  Connections to NDCs as a base for developing green sovereign bonds and scaling up climate finance, should be explored.</w:t>
      </w:r>
    </w:p>
    <w:p w14:paraId="0E1D4D0C" w14:textId="77777777" w:rsidR="002070AA" w:rsidRPr="002070AA" w:rsidRDefault="002070AA" w:rsidP="002070AA">
      <w:pPr>
        <w:numPr>
          <w:ilvl w:val="0"/>
          <w:numId w:val="11"/>
        </w:numPr>
        <w:rPr>
          <w:lang w:val="en-GB"/>
        </w:rPr>
      </w:pPr>
      <w:r w:rsidRPr="002070AA">
        <w:rPr>
          <w:lang w:val="en-GB"/>
        </w:rPr>
        <w:t xml:space="preserve">Countries should </w:t>
      </w:r>
      <w:r w:rsidRPr="002023D1">
        <w:rPr>
          <w:b/>
          <w:bCs/>
          <w:lang w:val="en-GB"/>
        </w:rPr>
        <w:t xml:space="preserve">integrate NDC and INFF into national plans </w:t>
      </w:r>
      <w:r w:rsidRPr="002070AA">
        <w:rPr>
          <w:lang w:val="en-GB"/>
        </w:rPr>
        <w:t>and processes. INFFs should be used to clarify investment needs also for climate action and thereby functioning as a vehicle for operationalising NDCs. NDCs can, if well developed, be a baseline for attracting climate investments at scale, through for example green sovereign bonds and other green bonds.</w:t>
      </w:r>
    </w:p>
    <w:p w14:paraId="152179D0" w14:textId="77777777" w:rsidR="002070AA" w:rsidRPr="002070AA" w:rsidRDefault="002070AA" w:rsidP="002070AA">
      <w:pPr>
        <w:numPr>
          <w:ilvl w:val="0"/>
          <w:numId w:val="11"/>
        </w:numPr>
        <w:rPr>
          <w:lang w:val="en-GB"/>
        </w:rPr>
      </w:pPr>
      <w:r w:rsidRPr="002070AA">
        <w:rPr>
          <w:lang w:val="en-GB"/>
        </w:rPr>
        <w:t xml:space="preserve">Development finance can contribute to making </w:t>
      </w:r>
      <w:r w:rsidRPr="002023D1">
        <w:rPr>
          <w:b/>
          <w:bCs/>
          <w:lang w:val="en-GB"/>
        </w:rPr>
        <w:t>financial flows consistent with a pathway towards low greenhouse gas emissions and climate-resilient development</w:t>
      </w:r>
      <w:r w:rsidRPr="002070AA">
        <w:rPr>
          <w:lang w:val="en-GB"/>
        </w:rPr>
        <w:t>, promoting sustainable development and transitioning away from fossil fuels and other harmful activities.</w:t>
      </w:r>
    </w:p>
    <w:p w14:paraId="1D7DE9ED" w14:textId="3E97C597" w:rsidR="00C575F0" w:rsidRPr="00163222" w:rsidRDefault="004345F1" w:rsidP="00163222">
      <w:pPr>
        <w:rPr>
          <w:b/>
          <w:bCs/>
          <w:u w:val="single"/>
          <w:lang w:val="en-GB"/>
        </w:rPr>
      </w:pPr>
      <w:r>
        <w:rPr>
          <w:b/>
          <w:bCs/>
          <w:u w:val="single"/>
          <w:lang w:val="en-GB"/>
        </w:rPr>
        <w:t>4</w:t>
      </w:r>
      <w:r w:rsidR="00AC5A3F">
        <w:rPr>
          <w:b/>
          <w:bCs/>
          <w:u w:val="single"/>
          <w:lang w:val="en-GB"/>
        </w:rPr>
        <w:t xml:space="preserve">. </w:t>
      </w:r>
      <w:r w:rsidR="00800106" w:rsidRPr="00163222">
        <w:rPr>
          <w:b/>
          <w:bCs/>
          <w:u w:val="single"/>
          <w:lang w:val="en-GB"/>
        </w:rPr>
        <w:t>Enhancing and harnessing the potential of the green and digital transition</w:t>
      </w:r>
    </w:p>
    <w:p w14:paraId="4E2C92D7" w14:textId="2A1C70D0" w:rsidR="00163222" w:rsidRDefault="00163222" w:rsidP="00070372">
      <w:pPr>
        <w:pStyle w:val="Liststycke"/>
        <w:numPr>
          <w:ilvl w:val="0"/>
          <w:numId w:val="15"/>
        </w:numPr>
        <w:rPr>
          <w:lang w:val="en-GB"/>
        </w:rPr>
      </w:pPr>
      <w:r w:rsidRPr="00C575F0">
        <w:rPr>
          <w:lang w:val="en-GB"/>
        </w:rPr>
        <w:t xml:space="preserve">Green and digital technologies have great potential to transform societies and accelerate their sustainable development. More financing is needed to unlock this potential for developing countries and the implementation of the sustainable development goals. </w:t>
      </w:r>
    </w:p>
    <w:p w14:paraId="1C84E489" w14:textId="77777777" w:rsidR="009961D3" w:rsidRPr="00C575F0" w:rsidRDefault="009961D3" w:rsidP="0057494D">
      <w:pPr>
        <w:pStyle w:val="Liststycke"/>
        <w:rPr>
          <w:lang w:val="en-GB"/>
        </w:rPr>
      </w:pPr>
    </w:p>
    <w:p w14:paraId="1F0A2982" w14:textId="4EAB98F7" w:rsidR="00163222" w:rsidRDefault="00C33D2E" w:rsidP="00325F9E">
      <w:pPr>
        <w:pStyle w:val="Liststycke"/>
        <w:numPr>
          <w:ilvl w:val="0"/>
          <w:numId w:val="11"/>
        </w:numPr>
        <w:rPr>
          <w:lang w:val="en-GB"/>
        </w:rPr>
      </w:pPr>
      <w:r w:rsidRPr="00C354AB">
        <w:rPr>
          <w:lang w:val="en-GB"/>
        </w:rPr>
        <w:t xml:space="preserve">Digital technologies have immense potential to transform societies and accelerate their sustainable development </w:t>
      </w:r>
      <w:r w:rsidR="00163222" w:rsidRPr="00C354AB">
        <w:rPr>
          <w:lang w:val="en-GB"/>
        </w:rPr>
        <w:t>Through the Global Digital Compact, UN Member States have committed to closing all digital divides and accelerate progress across the Sustainable Development Goals.</w:t>
      </w:r>
    </w:p>
    <w:p w14:paraId="3F5825CE" w14:textId="77777777" w:rsidR="009961D3" w:rsidRPr="00C354AB" w:rsidRDefault="009961D3" w:rsidP="0057494D">
      <w:pPr>
        <w:pStyle w:val="Liststycke"/>
        <w:rPr>
          <w:lang w:val="en-GB"/>
        </w:rPr>
      </w:pPr>
    </w:p>
    <w:p w14:paraId="63E72D2D" w14:textId="4ACE5651" w:rsidR="00163222" w:rsidRDefault="00163222" w:rsidP="00325F9E">
      <w:pPr>
        <w:pStyle w:val="Liststycke"/>
        <w:numPr>
          <w:ilvl w:val="0"/>
          <w:numId w:val="11"/>
        </w:numPr>
        <w:rPr>
          <w:lang w:val="en-GB"/>
        </w:rPr>
      </w:pPr>
      <w:r w:rsidRPr="00C354AB">
        <w:rPr>
          <w:rFonts w:eastAsiaTheme="minorEastAsia"/>
          <w:lang w:val="en-GB"/>
        </w:rPr>
        <w:lastRenderedPageBreak/>
        <w:t xml:space="preserve">The Financing for Development Conference in 2025 is an important opportunity to follow up on the commitments of the Global Digital Compact linked to </w:t>
      </w:r>
      <w:r w:rsidRPr="00E41A86">
        <w:rPr>
          <w:rFonts w:eastAsiaTheme="minorEastAsia"/>
          <w:b/>
          <w:bCs/>
          <w:lang w:val="en-GB"/>
        </w:rPr>
        <w:t>digitalisation for development</w:t>
      </w:r>
      <w:r w:rsidRPr="00C354AB">
        <w:rPr>
          <w:rFonts w:eastAsiaTheme="minorEastAsia"/>
          <w:lang w:val="en-GB"/>
        </w:rPr>
        <w:t>.</w:t>
      </w:r>
      <w:r w:rsidRPr="00C354AB">
        <w:rPr>
          <w:lang w:val="en-GB"/>
        </w:rPr>
        <w:t xml:space="preserve"> </w:t>
      </w:r>
    </w:p>
    <w:p w14:paraId="0A1EA935" w14:textId="77777777" w:rsidR="009961D3" w:rsidRPr="00C354AB" w:rsidRDefault="009961D3" w:rsidP="0057494D">
      <w:pPr>
        <w:pStyle w:val="Liststycke"/>
        <w:rPr>
          <w:lang w:val="en-GB"/>
        </w:rPr>
      </w:pPr>
    </w:p>
    <w:p w14:paraId="36BD0618" w14:textId="7BC3BBF0" w:rsidR="00163222" w:rsidRPr="00C354AB" w:rsidRDefault="00450922" w:rsidP="00325F9E">
      <w:pPr>
        <w:pStyle w:val="Liststycke"/>
        <w:numPr>
          <w:ilvl w:val="0"/>
          <w:numId w:val="11"/>
        </w:numPr>
        <w:rPr>
          <w:rFonts w:eastAsiaTheme="minorEastAsia"/>
          <w:lang w:val="en-GB"/>
        </w:rPr>
      </w:pPr>
      <w:r>
        <w:rPr>
          <w:rFonts w:eastAsiaTheme="minorEastAsia"/>
          <w:lang w:val="en-GB"/>
        </w:rPr>
        <w:t xml:space="preserve">The outcome of FfD4 ought to call </w:t>
      </w:r>
      <w:r w:rsidR="00163222" w:rsidRPr="00C354AB">
        <w:rPr>
          <w:rFonts w:eastAsiaTheme="minorEastAsia"/>
          <w:lang w:val="en-GB"/>
        </w:rPr>
        <w:t>on all stakeholders, and in particular the private sector, to deliver on the commitments of the Global Digital Compact in this regard.</w:t>
      </w:r>
    </w:p>
    <w:p w14:paraId="64E052B5" w14:textId="77777777" w:rsidR="00163222" w:rsidRPr="009779D1" w:rsidRDefault="00163222" w:rsidP="00163222">
      <w:pPr>
        <w:pStyle w:val="Liststycke"/>
        <w:rPr>
          <w:lang w:val="en-GB"/>
        </w:rPr>
      </w:pPr>
    </w:p>
    <w:p w14:paraId="7D672976" w14:textId="69C046A1" w:rsidR="005A7A08" w:rsidRPr="00070372" w:rsidRDefault="004345F1" w:rsidP="00070372">
      <w:pPr>
        <w:rPr>
          <w:b/>
          <w:bCs/>
          <w:lang w:val="en-GB"/>
        </w:rPr>
      </w:pPr>
      <w:r>
        <w:rPr>
          <w:b/>
          <w:bCs/>
          <w:lang w:val="en-GB"/>
        </w:rPr>
        <w:t>5</w:t>
      </w:r>
      <w:r w:rsidR="005A7A08">
        <w:rPr>
          <w:b/>
          <w:bCs/>
          <w:lang w:val="en-GB"/>
        </w:rPr>
        <w:t xml:space="preserve">. </w:t>
      </w:r>
      <w:r w:rsidR="005A7A08" w:rsidRPr="005A7A08">
        <w:rPr>
          <w:b/>
          <w:bCs/>
          <w:lang w:val="en-GB"/>
        </w:rPr>
        <w:t>S</w:t>
      </w:r>
      <w:r w:rsidR="0086601F" w:rsidRPr="00070372">
        <w:rPr>
          <w:b/>
          <w:bCs/>
          <w:lang w:val="en-GB"/>
        </w:rPr>
        <w:t xml:space="preserve">trengthening women's economic empowerment </w:t>
      </w:r>
    </w:p>
    <w:p w14:paraId="751F568B" w14:textId="721E17B4" w:rsidR="0086601F" w:rsidRDefault="005A7A08" w:rsidP="00FC5F60">
      <w:pPr>
        <w:pStyle w:val="Liststycke"/>
        <w:numPr>
          <w:ilvl w:val="0"/>
          <w:numId w:val="11"/>
        </w:numPr>
        <w:rPr>
          <w:rFonts w:eastAsiaTheme="minorEastAsia"/>
          <w:lang w:val="en-GB"/>
        </w:rPr>
      </w:pPr>
      <w:r>
        <w:rPr>
          <w:rFonts w:eastAsiaTheme="minorEastAsia"/>
          <w:lang w:val="en-GB"/>
        </w:rPr>
        <w:t xml:space="preserve">The importance of </w:t>
      </w:r>
      <w:r w:rsidR="0086601F" w:rsidRPr="00A05DD9">
        <w:rPr>
          <w:rFonts w:eastAsiaTheme="minorEastAsia"/>
          <w:lang w:val="en-GB"/>
        </w:rPr>
        <w:t>promoting female entrepreneurship, including market access, micro-credit, education and entrepreneurship in the local business community, as well as women's equal rights to ownership, inheritance and tenure</w:t>
      </w:r>
      <w:r w:rsidR="009961D3">
        <w:rPr>
          <w:rFonts w:eastAsiaTheme="minorEastAsia"/>
          <w:lang w:val="en-GB"/>
        </w:rPr>
        <w:t xml:space="preserve">, should be highlighted. </w:t>
      </w:r>
    </w:p>
    <w:p w14:paraId="08CD07FB" w14:textId="278BE2AD" w:rsidR="00D86DD3" w:rsidRPr="00A04449" w:rsidRDefault="004345F1" w:rsidP="00070372">
      <w:pPr>
        <w:rPr>
          <w:rFonts w:eastAsiaTheme="minorEastAsia"/>
          <w:b/>
          <w:bCs/>
          <w:lang w:val="en-GB"/>
        </w:rPr>
      </w:pPr>
      <w:r>
        <w:rPr>
          <w:rFonts w:eastAsiaTheme="minorEastAsia"/>
          <w:b/>
          <w:bCs/>
          <w:lang w:val="en-GB"/>
        </w:rPr>
        <w:t>6</w:t>
      </w:r>
      <w:r w:rsidR="009D6638" w:rsidRPr="00A04449">
        <w:rPr>
          <w:rFonts w:eastAsiaTheme="minorEastAsia"/>
          <w:b/>
          <w:bCs/>
          <w:lang w:val="en-GB"/>
        </w:rPr>
        <w:t xml:space="preserve">. </w:t>
      </w:r>
      <w:r w:rsidR="00064CC3">
        <w:rPr>
          <w:rFonts w:eastAsiaTheme="minorEastAsia"/>
          <w:b/>
          <w:bCs/>
          <w:lang w:val="en-GB"/>
        </w:rPr>
        <w:t>Free trade for sustainable development and p</w:t>
      </w:r>
      <w:r w:rsidR="009D6638" w:rsidRPr="00A04449">
        <w:rPr>
          <w:rFonts w:eastAsiaTheme="minorEastAsia"/>
          <w:b/>
          <w:bCs/>
          <w:lang w:val="en-GB"/>
        </w:rPr>
        <w:t>artnering with the private sector</w:t>
      </w:r>
    </w:p>
    <w:p w14:paraId="6F338A36" w14:textId="643A4ED0" w:rsidR="00C33D2E" w:rsidRDefault="00064CC3" w:rsidP="00C33D2E">
      <w:pPr>
        <w:pStyle w:val="Liststycke"/>
        <w:numPr>
          <w:ilvl w:val="0"/>
          <w:numId w:val="11"/>
        </w:numPr>
        <w:spacing w:after="160" w:line="256" w:lineRule="auto"/>
        <w:rPr>
          <w:lang w:val="en-US"/>
        </w:rPr>
      </w:pPr>
      <w:r>
        <w:rPr>
          <w:lang w:val="en-GB"/>
        </w:rPr>
        <w:t>The need to promote s</w:t>
      </w:r>
      <w:r w:rsidRPr="0086601F">
        <w:rPr>
          <w:lang w:val="en-GB"/>
        </w:rPr>
        <w:t>ustainable business and</w:t>
      </w:r>
      <w:r w:rsidRPr="00BD1207">
        <w:rPr>
          <w:lang w:val="en-GB"/>
        </w:rPr>
        <w:t xml:space="preserve"> sustainable procurement by multilateral organisations and the UN funds and programs </w:t>
      </w:r>
      <w:r>
        <w:rPr>
          <w:lang w:val="en-GB"/>
        </w:rPr>
        <w:t>s</w:t>
      </w:r>
      <w:r w:rsidRPr="00622920">
        <w:rPr>
          <w:lang w:val="en-GB"/>
        </w:rPr>
        <w:t>hould be recognized</w:t>
      </w:r>
      <w:r>
        <w:rPr>
          <w:lang w:val="en-GB"/>
        </w:rPr>
        <w:t>.</w:t>
      </w:r>
      <w:r w:rsidR="00C33D2E" w:rsidRPr="00C33D2E">
        <w:rPr>
          <w:lang w:val="en-US"/>
        </w:rPr>
        <w:t xml:space="preserve"> </w:t>
      </w:r>
      <w:r w:rsidR="00C33D2E" w:rsidRPr="00D822C1">
        <w:rPr>
          <w:lang w:val="en-US"/>
        </w:rPr>
        <w:t xml:space="preserve">Targets and requirements for multilateral actors to transition to and implement </w:t>
      </w:r>
      <w:r w:rsidR="00C33D2E" w:rsidRPr="0057494D">
        <w:rPr>
          <w:b/>
          <w:bCs/>
          <w:lang w:val="en-US"/>
        </w:rPr>
        <w:t>sustainable procurement</w:t>
      </w:r>
      <w:r w:rsidR="00C33D2E">
        <w:rPr>
          <w:lang w:val="en-US"/>
        </w:rPr>
        <w:t xml:space="preserve"> should be highlighted.</w:t>
      </w:r>
    </w:p>
    <w:p w14:paraId="1A27040A" w14:textId="274A30AE" w:rsidR="00064CC3" w:rsidRDefault="00064CC3" w:rsidP="00695998">
      <w:pPr>
        <w:pStyle w:val="Liststycke"/>
        <w:rPr>
          <w:lang w:val="en-GB"/>
        </w:rPr>
      </w:pPr>
    </w:p>
    <w:p w14:paraId="65D2BBF0" w14:textId="77777777" w:rsidR="00064CC3" w:rsidRPr="0057494D" w:rsidRDefault="00064CC3" w:rsidP="00064CC3">
      <w:pPr>
        <w:pStyle w:val="Liststycke"/>
        <w:numPr>
          <w:ilvl w:val="0"/>
          <w:numId w:val="11"/>
        </w:numPr>
        <w:rPr>
          <w:lang w:val="en-GB"/>
        </w:rPr>
      </w:pPr>
      <w:r w:rsidRPr="0057494D">
        <w:rPr>
          <w:lang w:val="en-GB"/>
        </w:rPr>
        <w:t xml:space="preserve">FfD4 should aim to recognize the stable and increased activity and engagement around inclusive digital commerce. </w:t>
      </w:r>
      <w:r w:rsidRPr="002023D1">
        <w:rPr>
          <w:b/>
          <w:bCs/>
          <w:lang w:val="en-GB"/>
        </w:rPr>
        <w:t xml:space="preserve">Technology </w:t>
      </w:r>
      <w:r w:rsidRPr="00473FF5">
        <w:rPr>
          <w:b/>
          <w:bCs/>
          <w:lang w:val="en-GB"/>
        </w:rPr>
        <w:t>shifts create opportunities</w:t>
      </w:r>
      <w:r w:rsidRPr="0057494D">
        <w:rPr>
          <w:lang w:val="en-GB"/>
        </w:rPr>
        <w:t xml:space="preserve"> for developing countries to increase trade, but the dynamics of the digital economy also create a risk for them falling behind.</w:t>
      </w:r>
    </w:p>
    <w:p w14:paraId="47F46B76" w14:textId="77777777" w:rsidR="00064CC3" w:rsidRDefault="00064CC3" w:rsidP="00064CC3">
      <w:pPr>
        <w:pStyle w:val="Liststycke"/>
        <w:numPr>
          <w:ilvl w:val="0"/>
          <w:numId w:val="11"/>
        </w:numPr>
        <w:spacing w:after="160" w:line="252" w:lineRule="auto"/>
        <w:rPr>
          <w:rFonts w:eastAsia="Times New Roman"/>
          <w:lang w:val="en-US"/>
        </w:rPr>
      </w:pPr>
      <w:r>
        <w:rPr>
          <w:rFonts w:eastAsia="Times New Roman"/>
          <w:lang w:val="en-GB"/>
        </w:rPr>
        <w:t>The capacity of developing countries and businesses to meet increased demands for transparency and sustainability in supply chains should be supported.</w:t>
      </w:r>
    </w:p>
    <w:p w14:paraId="2D9718B7" w14:textId="0492A162" w:rsidR="00D86DD3" w:rsidRPr="00070372" w:rsidRDefault="00AF0F92" w:rsidP="00070372">
      <w:pPr>
        <w:numPr>
          <w:ilvl w:val="0"/>
          <w:numId w:val="11"/>
        </w:numPr>
        <w:rPr>
          <w:rFonts w:eastAsiaTheme="minorEastAsia"/>
          <w:lang w:val="en-GB"/>
        </w:rPr>
      </w:pPr>
      <w:r w:rsidRPr="00D86DD3">
        <w:rPr>
          <w:rFonts w:eastAsiaTheme="minorEastAsia"/>
          <w:lang w:val="en-GB"/>
        </w:rPr>
        <w:t xml:space="preserve">Mobilizing both public and private finance for sustainable development requires </w:t>
      </w:r>
      <w:r w:rsidRPr="002023D1">
        <w:rPr>
          <w:rFonts w:eastAsiaTheme="minorEastAsia"/>
          <w:b/>
          <w:bCs/>
          <w:lang w:val="en-GB"/>
        </w:rPr>
        <w:t>inclusive dialogue and collaboration</w:t>
      </w:r>
      <w:r w:rsidRPr="00D86DD3">
        <w:rPr>
          <w:rFonts w:eastAsiaTheme="minorEastAsia"/>
          <w:lang w:val="en-GB"/>
        </w:rPr>
        <w:t xml:space="preserve"> </w:t>
      </w:r>
      <w:r w:rsidR="00E41A86" w:rsidRPr="00D86DD3">
        <w:rPr>
          <w:rFonts w:eastAsiaTheme="minorEastAsia"/>
          <w:lang w:val="en-GB"/>
        </w:rPr>
        <w:t xml:space="preserve">including </w:t>
      </w:r>
      <w:r w:rsidRPr="00D86DD3">
        <w:rPr>
          <w:rFonts w:eastAsiaTheme="minorEastAsia"/>
          <w:lang w:val="en-GB"/>
        </w:rPr>
        <w:t xml:space="preserve">with the private sector and civil society. Transparency, </w:t>
      </w:r>
      <w:r w:rsidR="002023D1" w:rsidRPr="00D86DD3">
        <w:rPr>
          <w:rFonts w:eastAsiaTheme="minorEastAsia"/>
          <w:lang w:val="en-GB"/>
        </w:rPr>
        <w:t>accountability,</w:t>
      </w:r>
      <w:r w:rsidRPr="00D86DD3">
        <w:rPr>
          <w:rFonts w:eastAsiaTheme="minorEastAsia"/>
          <w:lang w:val="en-GB"/>
        </w:rPr>
        <w:t xml:space="preserve"> and effectiveness require strong institutions, trust and meaningful engagement between actors.</w:t>
      </w:r>
      <w:r>
        <w:rPr>
          <w:rFonts w:eastAsiaTheme="minorEastAsia"/>
          <w:lang w:val="en-GB"/>
        </w:rPr>
        <w:t xml:space="preserve"> </w:t>
      </w:r>
      <w:r w:rsidR="009961D3">
        <w:rPr>
          <w:rFonts w:eastAsiaTheme="minorEastAsia"/>
          <w:lang w:val="en-GB"/>
        </w:rPr>
        <w:t>S</w:t>
      </w:r>
      <w:r w:rsidR="00D86DD3" w:rsidRPr="00070372">
        <w:rPr>
          <w:rFonts w:eastAsiaTheme="minorEastAsia"/>
          <w:lang w:val="en-GB"/>
        </w:rPr>
        <w:t xml:space="preserve">trengthening the opportunities for the </w:t>
      </w:r>
      <w:r w:rsidR="00D86DD3" w:rsidRPr="002023D1">
        <w:rPr>
          <w:rFonts w:eastAsiaTheme="minorEastAsia"/>
          <w:b/>
          <w:bCs/>
          <w:lang w:val="en-GB"/>
        </w:rPr>
        <w:t>business sector to participate</w:t>
      </w:r>
      <w:r w:rsidR="00D86DD3" w:rsidRPr="00070372">
        <w:rPr>
          <w:rFonts w:eastAsiaTheme="minorEastAsia"/>
          <w:lang w:val="en-GB"/>
        </w:rPr>
        <w:t>, including with knowledge, innovation, sustainable solutions and financing</w:t>
      </w:r>
      <w:r w:rsidR="009961D3">
        <w:rPr>
          <w:rFonts w:eastAsiaTheme="minorEastAsia"/>
          <w:lang w:val="en-GB"/>
        </w:rPr>
        <w:t xml:space="preserve">, in the run-up </w:t>
      </w:r>
      <w:r w:rsidR="0057494D">
        <w:rPr>
          <w:rFonts w:eastAsiaTheme="minorEastAsia"/>
          <w:lang w:val="en-GB"/>
        </w:rPr>
        <w:t xml:space="preserve">and </w:t>
      </w:r>
      <w:r w:rsidR="0057494D" w:rsidRPr="00D86DD3">
        <w:rPr>
          <w:rFonts w:eastAsiaTheme="minorEastAsia"/>
          <w:lang w:val="en-GB"/>
        </w:rPr>
        <w:t>preparations</w:t>
      </w:r>
      <w:r w:rsidR="009961D3" w:rsidRPr="00D86DD3">
        <w:rPr>
          <w:rFonts w:eastAsiaTheme="minorEastAsia"/>
          <w:lang w:val="en-GB"/>
        </w:rPr>
        <w:t xml:space="preserve"> for FfD4</w:t>
      </w:r>
      <w:r w:rsidR="009961D3">
        <w:rPr>
          <w:rFonts w:eastAsiaTheme="minorEastAsia"/>
          <w:lang w:val="en-GB"/>
        </w:rPr>
        <w:t xml:space="preserve"> is key.</w:t>
      </w:r>
    </w:p>
    <w:p w14:paraId="27CEDD3A" w14:textId="3817C13E" w:rsidR="00D86DD3" w:rsidRPr="00D86DD3" w:rsidRDefault="00AF0F92" w:rsidP="00D86DD3">
      <w:pPr>
        <w:numPr>
          <w:ilvl w:val="0"/>
          <w:numId w:val="11"/>
        </w:numPr>
        <w:rPr>
          <w:rFonts w:eastAsiaTheme="minorEastAsia"/>
          <w:lang w:val="en-GB"/>
        </w:rPr>
      </w:pPr>
      <w:r>
        <w:rPr>
          <w:rFonts w:eastAsiaTheme="minorEastAsia"/>
          <w:lang w:val="en-GB"/>
        </w:rPr>
        <w:t xml:space="preserve">Important to </w:t>
      </w:r>
      <w:r w:rsidR="0057494D">
        <w:rPr>
          <w:rFonts w:eastAsiaTheme="minorEastAsia"/>
          <w:lang w:val="en-GB"/>
        </w:rPr>
        <w:t>h</w:t>
      </w:r>
      <w:r w:rsidR="0057494D" w:rsidRPr="00D86DD3">
        <w:rPr>
          <w:rFonts w:eastAsiaTheme="minorEastAsia"/>
          <w:lang w:val="en-GB"/>
        </w:rPr>
        <w:t>arness the</w:t>
      </w:r>
      <w:r w:rsidR="00D86DD3" w:rsidRPr="00D86DD3">
        <w:rPr>
          <w:rFonts w:eastAsiaTheme="minorEastAsia"/>
          <w:lang w:val="en-GB"/>
        </w:rPr>
        <w:t xml:space="preserve"> potential of private sector capacity for green and digital transition</w:t>
      </w:r>
      <w:r w:rsidR="00D86DD3" w:rsidRPr="00D86DD3" w:rsidDel="002B7091">
        <w:rPr>
          <w:rFonts w:eastAsiaTheme="minorEastAsia"/>
          <w:lang w:val="en-GB"/>
        </w:rPr>
        <w:t xml:space="preserve"> </w:t>
      </w:r>
      <w:r w:rsidR="00D86DD3" w:rsidRPr="00D86DD3">
        <w:rPr>
          <w:rFonts w:eastAsiaTheme="minorEastAsia"/>
          <w:lang w:val="en-GB"/>
        </w:rPr>
        <w:t xml:space="preserve">including in capacity building and </w:t>
      </w:r>
      <w:r w:rsidR="00C33D2E">
        <w:rPr>
          <w:rFonts w:eastAsiaTheme="minorEastAsia"/>
          <w:lang w:val="en-GB"/>
        </w:rPr>
        <w:t xml:space="preserve">voluntary </w:t>
      </w:r>
      <w:r w:rsidR="00D86DD3" w:rsidRPr="00D86DD3">
        <w:rPr>
          <w:rFonts w:eastAsiaTheme="minorEastAsia"/>
          <w:lang w:val="en-GB"/>
        </w:rPr>
        <w:t>transferring of technologies</w:t>
      </w:r>
      <w:r w:rsidR="00C33D2E">
        <w:rPr>
          <w:rFonts w:eastAsiaTheme="minorEastAsia"/>
          <w:lang w:val="en-GB"/>
        </w:rPr>
        <w:t xml:space="preserve"> on mutually agreed terms</w:t>
      </w:r>
      <w:r w:rsidR="00D86DD3" w:rsidRPr="00D86DD3">
        <w:rPr>
          <w:rFonts w:eastAsiaTheme="minorEastAsia"/>
          <w:lang w:val="en-GB"/>
        </w:rPr>
        <w:t>.</w:t>
      </w:r>
    </w:p>
    <w:p w14:paraId="4609CCCB" w14:textId="70621A2A" w:rsidR="00D86DD3" w:rsidRPr="00D86DD3" w:rsidRDefault="00AF0F92" w:rsidP="00D86DD3">
      <w:pPr>
        <w:numPr>
          <w:ilvl w:val="0"/>
          <w:numId w:val="11"/>
        </w:numPr>
        <w:rPr>
          <w:rFonts w:eastAsiaTheme="minorEastAsia"/>
          <w:lang w:val="en-GB"/>
        </w:rPr>
      </w:pPr>
      <w:r>
        <w:rPr>
          <w:rFonts w:eastAsiaTheme="minorEastAsia"/>
          <w:lang w:val="en-GB"/>
        </w:rPr>
        <w:t>FfD4 outcome should h</w:t>
      </w:r>
      <w:r w:rsidR="00D86DD3" w:rsidRPr="00D86DD3">
        <w:rPr>
          <w:rFonts w:eastAsiaTheme="minorEastAsia"/>
          <w:lang w:val="en-GB"/>
        </w:rPr>
        <w:t xml:space="preserve">ighlight the impact of cooperation and partnerships between development cooperation and the private sector, including private finance. </w:t>
      </w:r>
    </w:p>
    <w:p w14:paraId="34117E0B" w14:textId="707DE6EF" w:rsidR="00164BA6" w:rsidRPr="00070372" w:rsidRDefault="00164BA6" w:rsidP="00070372">
      <w:pPr>
        <w:rPr>
          <w:rFonts w:eastAsiaTheme="minorEastAsia"/>
          <w:lang w:val="en-GB"/>
        </w:rPr>
      </w:pPr>
    </w:p>
    <w:sectPr w:rsidR="00164BA6" w:rsidRPr="00070372"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108F" w14:textId="77777777" w:rsidR="00480C2E" w:rsidRDefault="00480C2E" w:rsidP="00A87A54">
      <w:pPr>
        <w:spacing w:after="0" w:line="240" w:lineRule="auto"/>
      </w:pPr>
      <w:r>
        <w:separator/>
      </w:r>
    </w:p>
  </w:endnote>
  <w:endnote w:type="continuationSeparator" w:id="0">
    <w:p w14:paraId="5F07FFF7" w14:textId="77777777" w:rsidR="00480C2E" w:rsidRDefault="00480C2E" w:rsidP="00A87A54">
      <w:pPr>
        <w:spacing w:after="0" w:line="240" w:lineRule="auto"/>
      </w:pPr>
      <w:r>
        <w:continuationSeparator/>
      </w:r>
    </w:p>
  </w:endnote>
  <w:endnote w:type="continuationNotice" w:id="1">
    <w:p w14:paraId="294D4A91" w14:textId="77777777" w:rsidR="00480C2E" w:rsidRDefault="00480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096A" w14:textId="77777777" w:rsidR="00480C2E" w:rsidRDefault="00480C2E" w:rsidP="00A87A54">
      <w:pPr>
        <w:spacing w:after="0" w:line="240" w:lineRule="auto"/>
      </w:pPr>
      <w:r>
        <w:separator/>
      </w:r>
    </w:p>
  </w:footnote>
  <w:footnote w:type="continuationSeparator" w:id="0">
    <w:p w14:paraId="1A4B9D27" w14:textId="77777777" w:rsidR="00480C2E" w:rsidRDefault="00480C2E" w:rsidP="00A87A54">
      <w:pPr>
        <w:spacing w:after="0" w:line="240" w:lineRule="auto"/>
      </w:pPr>
      <w:r>
        <w:continuationSeparator/>
      </w:r>
    </w:p>
  </w:footnote>
  <w:footnote w:type="continuationNotice" w:id="1">
    <w:p w14:paraId="4FC50D57" w14:textId="77777777" w:rsidR="00480C2E" w:rsidRDefault="00480C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35A49"/>
    <w:multiLevelType w:val="hybridMultilevel"/>
    <w:tmpl w:val="B2EEEFE8"/>
    <w:lvl w:ilvl="0" w:tplc="D38658C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9B0453"/>
    <w:multiLevelType w:val="multilevel"/>
    <w:tmpl w:val="1A20A4CA"/>
    <w:numStyleLink w:val="RKPunktlista"/>
  </w:abstractNum>
  <w:abstractNum w:abstractNumId="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70774A"/>
    <w:multiLevelType w:val="multilevel"/>
    <w:tmpl w:val="1B563932"/>
    <w:numStyleLink w:val="RKNumreradlista"/>
  </w:abstractNum>
  <w:abstractNum w:abstractNumId="7" w15:restartNumberingAfterBreak="0">
    <w:nsid w:val="518A71FD"/>
    <w:multiLevelType w:val="hybridMultilevel"/>
    <w:tmpl w:val="AEB49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5355BE"/>
    <w:multiLevelType w:val="hybridMultilevel"/>
    <w:tmpl w:val="6D76A95A"/>
    <w:lvl w:ilvl="0" w:tplc="AE28E162">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53314C"/>
    <w:multiLevelType w:val="hybridMultilevel"/>
    <w:tmpl w:val="62F495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61AC437A"/>
    <w:multiLevelType w:val="multilevel"/>
    <w:tmpl w:val="E2FEA49E"/>
    <w:numStyleLink w:val="RKNumreraderubriker"/>
  </w:abstractNum>
  <w:abstractNum w:abstractNumId="11" w15:restartNumberingAfterBreak="0">
    <w:nsid w:val="6F2E1616"/>
    <w:multiLevelType w:val="hybridMultilevel"/>
    <w:tmpl w:val="0BA6442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DD3D40"/>
    <w:multiLevelType w:val="hybridMultilevel"/>
    <w:tmpl w:val="E592C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322898"/>
    <w:multiLevelType w:val="multilevel"/>
    <w:tmpl w:val="186C6512"/>
    <w:numStyleLink w:val="Strecklistan"/>
  </w:abstractNum>
  <w:abstractNum w:abstractNumId="14" w15:restartNumberingAfterBreak="0">
    <w:nsid w:val="7D3663CE"/>
    <w:multiLevelType w:val="hybridMultilevel"/>
    <w:tmpl w:val="2C08BA58"/>
    <w:lvl w:ilvl="0" w:tplc="4D0A10E6">
      <w:start w:val="1"/>
      <w:numFmt w:val="bullet"/>
      <w:lvlText w:val=""/>
      <w:lvlJc w:val="left"/>
      <w:pPr>
        <w:ind w:left="1440" w:hanging="360"/>
      </w:pPr>
      <w:rPr>
        <w:rFonts w:ascii="Symbol" w:hAnsi="Symbol"/>
      </w:rPr>
    </w:lvl>
    <w:lvl w:ilvl="1" w:tplc="8F427D22">
      <w:start w:val="1"/>
      <w:numFmt w:val="bullet"/>
      <w:lvlText w:val=""/>
      <w:lvlJc w:val="left"/>
      <w:pPr>
        <w:ind w:left="1440" w:hanging="360"/>
      </w:pPr>
      <w:rPr>
        <w:rFonts w:ascii="Symbol" w:hAnsi="Symbol"/>
      </w:rPr>
    </w:lvl>
    <w:lvl w:ilvl="2" w:tplc="FE628718">
      <w:start w:val="1"/>
      <w:numFmt w:val="bullet"/>
      <w:lvlText w:val=""/>
      <w:lvlJc w:val="left"/>
      <w:pPr>
        <w:ind w:left="1440" w:hanging="360"/>
      </w:pPr>
      <w:rPr>
        <w:rFonts w:ascii="Symbol" w:hAnsi="Symbol"/>
      </w:rPr>
    </w:lvl>
    <w:lvl w:ilvl="3" w:tplc="4C8ADD5C">
      <w:start w:val="1"/>
      <w:numFmt w:val="bullet"/>
      <w:lvlText w:val=""/>
      <w:lvlJc w:val="left"/>
      <w:pPr>
        <w:ind w:left="1440" w:hanging="360"/>
      </w:pPr>
      <w:rPr>
        <w:rFonts w:ascii="Symbol" w:hAnsi="Symbol"/>
      </w:rPr>
    </w:lvl>
    <w:lvl w:ilvl="4" w:tplc="95729DDC">
      <w:start w:val="1"/>
      <w:numFmt w:val="bullet"/>
      <w:lvlText w:val=""/>
      <w:lvlJc w:val="left"/>
      <w:pPr>
        <w:ind w:left="1440" w:hanging="360"/>
      </w:pPr>
      <w:rPr>
        <w:rFonts w:ascii="Symbol" w:hAnsi="Symbol"/>
      </w:rPr>
    </w:lvl>
    <w:lvl w:ilvl="5" w:tplc="8BA80E0E">
      <w:start w:val="1"/>
      <w:numFmt w:val="bullet"/>
      <w:lvlText w:val=""/>
      <w:lvlJc w:val="left"/>
      <w:pPr>
        <w:ind w:left="1440" w:hanging="360"/>
      </w:pPr>
      <w:rPr>
        <w:rFonts w:ascii="Symbol" w:hAnsi="Symbol"/>
      </w:rPr>
    </w:lvl>
    <w:lvl w:ilvl="6" w:tplc="A1FCAC4E">
      <w:start w:val="1"/>
      <w:numFmt w:val="bullet"/>
      <w:lvlText w:val=""/>
      <w:lvlJc w:val="left"/>
      <w:pPr>
        <w:ind w:left="1440" w:hanging="360"/>
      </w:pPr>
      <w:rPr>
        <w:rFonts w:ascii="Symbol" w:hAnsi="Symbol"/>
      </w:rPr>
    </w:lvl>
    <w:lvl w:ilvl="7" w:tplc="C8DE698A">
      <w:start w:val="1"/>
      <w:numFmt w:val="bullet"/>
      <w:lvlText w:val=""/>
      <w:lvlJc w:val="left"/>
      <w:pPr>
        <w:ind w:left="1440" w:hanging="360"/>
      </w:pPr>
      <w:rPr>
        <w:rFonts w:ascii="Symbol" w:hAnsi="Symbol"/>
      </w:rPr>
    </w:lvl>
    <w:lvl w:ilvl="8" w:tplc="4C0A6DD8">
      <w:start w:val="1"/>
      <w:numFmt w:val="bullet"/>
      <w:lvlText w:val=""/>
      <w:lvlJc w:val="left"/>
      <w:pPr>
        <w:ind w:left="1440" w:hanging="360"/>
      </w:pPr>
      <w:rPr>
        <w:rFonts w:ascii="Symbol" w:hAnsi="Symbol"/>
      </w:rPr>
    </w:lvl>
  </w:abstractNum>
  <w:num w:numId="1" w16cid:durableId="531840889">
    <w:abstractNumId w:val="5"/>
  </w:num>
  <w:num w:numId="2" w16cid:durableId="2137721185">
    <w:abstractNumId w:val="10"/>
  </w:num>
  <w:num w:numId="3" w16cid:durableId="1760906256">
    <w:abstractNumId w:val="4"/>
  </w:num>
  <w:num w:numId="4" w16cid:durableId="1394543123">
    <w:abstractNumId w:val="2"/>
  </w:num>
  <w:num w:numId="5" w16cid:durableId="790394384">
    <w:abstractNumId w:val="0"/>
  </w:num>
  <w:num w:numId="6" w16cid:durableId="812523414">
    <w:abstractNumId w:val="3"/>
  </w:num>
  <w:num w:numId="7" w16cid:durableId="1535465924">
    <w:abstractNumId w:val="13"/>
  </w:num>
  <w:num w:numId="8" w16cid:durableId="443886475">
    <w:abstractNumId w:val="6"/>
  </w:num>
  <w:num w:numId="9" w16cid:durableId="947812959">
    <w:abstractNumId w:val="8"/>
  </w:num>
  <w:num w:numId="10" w16cid:durableId="1158114747">
    <w:abstractNumId w:val="11"/>
  </w:num>
  <w:num w:numId="11" w16cid:durableId="718944168">
    <w:abstractNumId w:val="1"/>
  </w:num>
  <w:num w:numId="12" w16cid:durableId="1102722635">
    <w:abstractNumId w:val="14"/>
  </w:num>
  <w:num w:numId="13" w16cid:durableId="1060902107">
    <w:abstractNumId w:val="7"/>
  </w:num>
  <w:num w:numId="14" w16cid:durableId="1112552406">
    <w:abstractNumId w:val="9"/>
  </w:num>
  <w:num w:numId="15" w16cid:durableId="56618326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3D"/>
    <w:rsid w:val="00004D5C"/>
    <w:rsid w:val="00005F68"/>
    <w:rsid w:val="00012B00"/>
    <w:rsid w:val="00017386"/>
    <w:rsid w:val="00022720"/>
    <w:rsid w:val="00026711"/>
    <w:rsid w:val="000330A4"/>
    <w:rsid w:val="00041EDC"/>
    <w:rsid w:val="00057FE0"/>
    <w:rsid w:val="00064CC3"/>
    <w:rsid w:val="00070372"/>
    <w:rsid w:val="000757FC"/>
    <w:rsid w:val="000862E0"/>
    <w:rsid w:val="00090A01"/>
    <w:rsid w:val="00093408"/>
    <w:rsid w:val="0009435C"/>
    <w:rsid w:val="000C61D1"/>
    <w:rsid w:val="000E12D9"/>
    <w:rsid w:val="000F00B8"/>
    <w:rsid w:val="000F3AD2"/>
    <w:rsid w:val="00100933"/>
    <w:rsid w:val="00111809"/>
    <w:rsid w:val="0011230E"/>
    <w:rsid w:val="00121002"/>
    <w:rsid w:val="00137B8F"/>
    <w:rsid w:val="00163222"/>
    <w:rsid w:val="00164BA6"/>
    <w:rsid w:val="00170CE4"/>
    <w:rsid w:val="00173126"/>
    <w:rsid w:val="00174424"/>
    <w:rsid w:val="001774E9"/>
    <w:rsid w:val="00192E34"/>
    <w:rsid w:val="001A53CA"/>
    <w:rsid w:val="001B7493"/>
    <w:rsid w:val="001C5DC9"/>
    <w:rsid w:val="001C71A9"/>
    <w:rsid w:val="001D14BA"/>
    <w:rsid w:val="001D1CC5"/>
    <w:rsid w:val="001F0629"/>
    <w:rsid w:val="001F0736"/>
    <w:rsid w:val="001F4302"/>
    <w:rsid w:val="002023D1"/>
    <w:rsid w:val="00204079"/>
    <w:rsid w:val="00206BC8"/>
    <w:rsid w:val="002070AA"/>
    <w:rsid w:val="00211B4E"/>
    <w:rsid w:val="00213258"/>
    <w:rsid w:val="00222258"/>
    <w:rsid w:val="0022263A"/>
    <w:rsid w:val="00223AD6"/>
    <w:rsid w:val="00233D52"/>
    <w:rsid w:val="00236C54"/>
    <w:rsid w:val="00240224"/>
    <w:rsid w:val="00245D12"/>
    <w:rsid w:val="00260D2D"/>
    <w:rsid w:val="002665E9"/>
    <w:rsid w:val="0027605E"/>
    <w:rsid w:val="00281106"/>
    <w:rsid w:val="00282D27"/>
    <w:rsid w:val="00292420"/>
    <w:rsid w:val="00296656"/>
    <w:rsid w:val="002A1A62"/>
    <w:rsid w:val="002B7091"/>
    <w:rsid w:val="002D0ABD"/>
    <w:rsid w:val="002E4D3F"/>
    <w:rsid w:val="002E560A"/>
    <w:rsid w:val="002E79AB"/>
    <w:rsid w:val="002F66A6"/>
    <w:rsid w:val="003050DB"/>
    <w:rsid w:val="00307E0B"/>
    <w:rsid w:val="00310561"/>
    <w:rsid w:val="003128E2"/>
    <w:rsid w:val="00314336"/>
    <w:rsid w:val="00325F9E"/>
    <w:rsid w:val="00326C03"/>
    <w:rsid w:val="003406FD"/>
    <w:rsid w:val="00340DE0"/>
    <w:rsid w:val="00342327"/>
    <w:rsid w:val="00347E11"/>
    <w:rsid w:val="003505C2"/>
    <w:rsid w:val="00350C92"/>
    <w:rsid w:val="00370311"/>
    <w:rsid w:val="00376A36"/>
    <w:rsid w:val="0038587E"/>
    <w:rsid w:val="00392ED4"/>
    <w:rsid w:val="003A018B"/>
    <w:rsid w:val="003A5969"/>
    <w:rsid w:val="003A5C58"/>
    <w:rsid w:val="003A70A7"/>
    <w:rsid w:val="003C4BFD"/>
    <w:rsid w:val="003C7BE0"/>
    <w:rsid w:val="003D0DD3"/>
    <w:rsid w:val="003D17EF"/>
    <w:rsid w:val="003D3535"/>
    <w:rsid w:val="003D61BB"/>
    <w:rsid w:val="003E6020"/>
    <w:rsid w:val="00405012"/>
    <w:rsid w:val="0041223B"/>
    <w:rsid w:val="0042068E"/>
    <w:rsid w:val="004345F1"/>
    <w:rsid w:val="00450922"/>
    <w:rsid w:val="00452D04"/>
    <w:rsid w:val="004556B8"/>
    <w:rsid w:val="00457192"/>
    <w:rsid w:val="004660C8"/>
    <w:rsid w:val="00472EBA"/>
    <w:rsid w:val="00473FF5"/>
    <w:rsid w:val="00474676"/>
    <w:rsid w:val="0047511B"/>
    <w:rsid w:val="00477688"/>
    <w:rsid w:val="00480C2E"/>
    <w:rsid w:val="00480EC3"/>
    <w:rsid w:val="0048317E"/>
    <w:rsid w:val="00485601"/>
    <w:rsid w:val="004865B8"/>
    <w:rsid w:val="00486C0D"/>
    <w:rsid w:val="00491796"/>
    <w:rsid w:val="004B4ED1"/>
    <w:rsid w:val="004B66DA"/>
    <w:rsid w:val="004C70EE"/>
    <w:rsid w:val="004E25CD"/>
    <w:rsid w:val="004E3A67"/>
    <w:rsid w:val="004F0448"/>
    <w:rsid w:val="004F6525"/>
    <w:rsid w:val="00507437"/>
    <w:rsid w:val="0052127C"/>
    <w:rsid w:val="0053285C"/>
    <w:rsid w:val="00533841"/>
    <w:rsid w:val="005412F3"/>
    <w:rsid w:val="00544738"/>
    <w:rsid w:val="005456E4"/>
    <w:rsid w:val="005460D2"/>
    <w:rsid w:val="00547B89"/>
    <w:rsid w:val="00550390"/>
    <w:rsid w:val="005606BC"/>
    <w:rsid w:val="005639E7"/>
    <w:rsid w:val="00567799"/>
    <w:rsid w:val="00571A0B"/>
    <w:rsid w:val="0057219F"/>
    <w:rsid w:val="0057494D"/>
    <w:rsid w:val="005850D7"/>
    <w:rsid w:val="00592A01"/>
    <w:rsid w:val="005952FF"/>
    <w:rsid w:val="0059549C"/>
    <w:rsid w:val="00596E2B"/>
    <w:rsid w:val="005A19CB"/>
    <w:rsid w:val="005A2BAA"/>
    <w:rsid w:val="005A5193"/>
    <w:rsid w:val="005A7A08"/>
    <w:rsid w:val="005B3BA3"/>
    <w:rsid w:val="005B5116"/>
    <w:rsid w:val="005B5C2F"/>
    <w:rsid w:val="005B610B"/>
    <w:rsid w:val="005D2702"/>
    <w:rsid w:val="005E2F29"/>
    <w:rsid w:val="005E4E79"/>
    <w:rsid w:val="005F0FE3"/>
    <w:rsid w:val="005F4B00"/>
    <w:rsid w:val="006112CB"/>
    <w:rsid w:val="006175D7"/>
    <w:rsid w:val="006208E5"/>
    <w:rsid w:val="00622920"/>
    <w:rsid w:val="00631F82"/>
    <w:rsid w:val="00654B4D"/>
    <w:rsid w:val="00656C33"/>
    <w:rsid w:val="00670A48"/>
    <w:rsid w:val="00672651"/>
    <w:rsid w:val="00672F6F"/>
    <w:rsid w:val="00676745"/>
    <w:rsid w:val="0069523C"/>
    <w:rsid w:val="00695998"/>
    <w:rsid w:val="006B4A30"/>
    <w:rsid w:val="006B7569"/>
    <w:rsid w:val="006D3188"/>
    <w:rsid w:val="006D59F9"/>
    <w:rsid w:val="006E08FC"/>
    <w:rsid w:val="006E4BA1"/>
    <w:rsid w:val="006E4CEB"/>
    <w:rsid w:val="006F2588"/>
    <w:rsid w:val="006F72D3"/>
    <w:rsid w:val="00707810"/>
    <w:rsid w:val="00710A6C"/>
    <w:rsid w:val="00710DC9"/>
    <w:rsid w:val="00712266"/>
    <w:rsid w:val="00732C27"/>
    <w:rsid w:val="00747779"/>
    <w:rsid w:val="00750C93"/>
    <w:rsid w:val="00757B3B"/>
    <w:rsid w:val="00762DBB"/>
    <w:rsid w:val="007717C8"/>
    <w:rsid w:val="00773075"/>
    <w:rsid w:val="007737C1"/>
    <w:rsid w:val="007804D0"/>
    <w:rsid w:val="00782B3F"/>
    <w:rsid w:val="0079641B"/>
    <w:rsid w:val="00796EEC"/>
    <w:rsid w:val="007A629C"/>
    <w:rsid w:val="007B0914"/>
    <w:rsid w:val="007B75C5"/>
    <w:rsid w:val="007C44FF"/>
    <w:rsid w:val="007C70C0"/>
    <w:rsid w:val="007C7BDB"/>
    <w:rsid w:val="007D73AB"/>
    <w:rsid w:val="007E5D2C"/>
    <w:rsid w:val="007F516C"/>
    <w:rsid w:val="00800106"/>
    <w:rsid w:val="00804C1B"/>
    <w:rsid w:val="00816677"/>
    <w:rsid w:val="008178E6"/>
    <w:rsid w:val="0083199B"/>
    <w:rsid w:val="008375D5"/>
    <w:rsid w:val="00837A6A"/>
    <w:rsid w:val="0086601F"/>
    <w:rsid w:val="00875DDD"/>
    <w:rsid w:val="00885A25"/>
    <w:rsid w:val="00891929"/>
    <w:rsid w:val="008A0A0D"/>
    <w:rsid w:val="008B211A"/>
    <w:rsid w:val="008B60FB"/>
    <w:rsid w:val="008B74CB"/>
    <w:rsid w:val="008C562B"/>
    <w:rsid w:val="008D3090"/>
    <w:rsid w:val="008D4306"/>
    <w:rsid w:val="008D4508"/>
    <w:rsid w:val="008E77D6"/>
    <w:rsid w:val="00923541"/>
    <w:rsid w:val="0093335A"/>
    <w:rsid w:val="0094502D"/>
    <w:rsid w:val="00947013"/>
    <w:rsid w:val="00957413"/>
    <w:rsid w:val="009779D1"/>
    <w:rsid w:val="00986CC3"/>
    <w:rsid w:val="009920AA"/>
    <w:rsid w:val="00995F2C"/>
    <w:rsid w:val="009961D3"/>
    <w:rsid w:val="009A4D0A"/>
    <w:rsid w:val="009B583A"/>
    <w:rsid w:val="009C2459"/>
    <w:rsid w:val="009D5D40"/>
    <w:rsid w:val="009D6638"/>
    <w:rsid w:val="009D6B1B"/>
    <w:rsid w:val="009E107B"/>
    <w:rsid w:val="009E18D6"/>
    <w:rsid w:val="009E3CAD"/>
    <w:rsid w:val="009F4022"/>
    <w:rsid w:val="00A00CF8"/>
    <w:rsid w:val="00A01F5C"/>
    <w:rsid w:val="00A04449"/>
    <w:rsid w:val="00A05DD9"/>
    <w:rsid w:val="00A061BD"/>
    <w:rsid w:val="00A24A8F"/>
    <w:rsid w:val="00A3270B"/>
    <w:rsid w:val="00A32FE2"/>
    <w:rsid w:val="00A43B02"/>
    <w:rsid w:val="00A5156E"/>
    <w:rsid w:val="00A56824"/>
    <w:rsid w:val="00A575AA"/>
    <w:rsid w:val="00A65C80"/>
    <w:rsid w:val="00A67276"/>
    <w:rsid w:val="00A67840"/>
    <w:rsid w:val="00A743AC"/>
    <w:rsid w:val="00A75119"/>
    <w:rsid w:val="00A87A54"/>
    <w:rsid w:val="00A94A19"/>
    <w:rsid w:val="00A95C43"/>
    <w:rsid w:val="00AA1809"/>
    <w:rsid w:val="00AB6313"/>
    <w:rsid w:val="00AC5A3F"/>
    <w:rsid w:val="00AF0BB7"/>
    <w:rsid w:val="00AF0C67"/>
    <w:rsid w:val="00AF0EDE"/>
    <w:rsid w:val="00AF0F92"/>
    <w:rsid w:val="00B02F9D"/>
    <w:rsid w:val="00B06751"/>
    <w:rsid w:val="00B12D4A"/>
    <w:rsid w:val="00B16366"/>
    <w:rsid w:val="00B2169D"/>
    <w:rsid w:val="00B21CBB"/>
    <w:rsid w:val="00B256EB"/>
    <w:rsid w:val="00B316CA"/>
    <w:rsid w:val="00B36414"/>
    <w:rsid w:val="00B41F72"/>
    <w:rsid w:val="00B46BE1"/>
    <w:rsid w:val="00B517E1"/>
    <w:rsid w:val="00B55E70"/>
    <w:rsid w:val="00B639D8"/>
    <w:rsid w:val="00B64A30"/>
    <w:rsid w:val="00B76669"/>
    <w:rsid w:val="00B84409"/>
    <w:rsid w:val="00B90328"/>
    <w:rsid w:val="00B963D5"/>
    <w:rsid w:val="00BB164D"/>
    <w:rsid w:val="00BB5683"/>
    <w:rsid w:val="00BC0012"/>
    <w:rsid w:val="00BD0826"/>
    <w:rsid w:val="00BD17E0"/>
    <w:rsid w:val="00BE023D"/>
    <w:rsid w:val="00BE3210"/>
    <w:rsid w:val="00C141C6"/>
    <w:rsid w:val="00C16F36"/>
    <w:rsid w:val="00C2071A"/>
    <w:rsid w:val="00C20ACB"/>
    <w:rsid w:val="00C26068"/>
    <w:rsid w:val="00C271A8"/>
    <w:rsid w:val="00C33D2E"/>
    <w:rsid w:val="00C354AB"/>
    <w:rsid w:val="00C37A77"/>
    <w:rsid w:val="00C4042C"/>
    <w:rsid w:val="00C430D3"/>
    <w:rsid w:val="00C461E6"/>
    <w:rsid w:val="00C525DC"/>
    <w:rsid w:val="00C53579"/>
    <w:rsid w:val="00C575F0"/>
    <w:rsid w:val="00C762A9"/>
    <w:rsid w:val="00C831F7"/>
    <w:rsid w:val="00C93EBA"/>
    <w:rsid w:val="00CA07CC"/>
    <w:rsid w:val="00CA4E2C"/>
    <w:rsid w:val="00CA7FF5"/>
    <w:rsid w:val="00CB1E7C"/>
    <w:rsid w:val="00CB2EA1"/>
    <w:rsid w:val="00CB43F1"/>
    <w:rsid w:val="00CB444A"/>
    <w:rsid w:val="00CB5851"/>
    <w:rsid w:val="00CB6EDE"/>
    <w:rsid w:val="00CC41BA"/>
    <w:rsid w:val="00CD1C6C"/>
    <w:rsid w:val="00CD2F3C"/>
    <w:rsid w:val="00CD6169"/>
    <w:rsid w:val="00CE1F2A"/>
    <w:rsid w:val="00CF3046"/>
    <w:rsid w:val="00CF717A"/>
    <w:rsid w:val="00D021D2"/>
    <w:rsid w:val="00D13D8A"/>
    <w:rsid w:val="00D14A1D"/>
    <w:rsid w:val="00D279D8"/>
    <w:rsid w:val="00D27C8E"/>
    <w:rsid w:val="00D33049"/>
    <w:rsid w:val="00D35C83"/>
    <w:rsid w:val="00D4141B"/>
    <w:rsid w:val="00D4145D"/>
    <w:rsid w:val="00D45543"/>
    <w:rsid w:val="00D5467F"/>
    <w:rsid w:val="00D6730A"/>
    <w:rsid w:val="00D730FE"/>
    <w:rsid w:val="00D76068"/>
    <w:rsid w:val="00D76B01"/>
    <w:rsid w:val="00D84704"/>
    <w:rsid w:val="00D86DD3"/>
    <w:rsid w:val="00D926D9"/>
    <w:rsid w:val="00D95424"/>
    <w:rsid w:val="00DB4D96"/>
    <w:rsid w:val="00DB714B"/>
    <w:rsid w:val="00DB7AC8"/>
    <w:rsid w:val="00DF5BFB"/>
    <w:rsid w:val="00E0578E"/>
    <w:rsid w:val="00E15762"/>
    <w:rsid w:val="00E206E7"/>
    <w:rsid w:val="00E26896"/>
    <w:rsid w:val="00E41A86"/>
    <w:rsid w:val="00E469E4"/>
    <w:rsid w:val="00E475C3"/>
    <w:rsid w:val="00E509B0"/>
    <w:rsid w:val="00E67365"/>
    <w:rsid w:val="00E7634A"/>
    <w:rsid w:val="00E8213D"/>
    <w:rsid w:val="00E82BA3"/>
    <w:rsid w:val="00E93E42"/>
    <w:rsid w:val="00EA1688"/>
    <w:rsid w:val="00EB0A7D"/>
    <w:rsid w:val="00ED592E"/>
    <w:rsid w:val="00ED6ABD"/>
    <w:rsid w:val="00EE3C0F"/>
    <w:rsid w:val="00EF2A7F"/>
    <w:rsid w:val="00F0198F"/>
    <w:rsid w:val="00F03EAC"/>
    <w:rsid w:val="00F14024"/>
    <w:rsid w:val="00F259D7"/>
    <w:rsid w:val="00F32D05"/>
    <w:rsid w:val="00F35263"/>
    <w:rsid w:val="00F417E8"/>
    <w:rsid w:val="00F50900"/>
    <w:rsid w:val="00F53AEA"/>
    <w:rsid w:val="00F562B8"/>
    <w:rsid w:val="00F66093"/>
    <w:rsid w:val="00F67412"/>
    <w:rsid w:val="00F848D6"/>
    <w:rsid w:val="00F8721E"/>
    <w:rsid w:val="00F91FF4"/>
    <w:rsid w:val="00FA1AF8"/>
    <w:rsid w:val="00FA5DDD"/>
    <w:rsid w:val="00FC5F60"/>
    <w:rsid w:val="00FD0B7B"/>
    <w:rsid w:val="00FD4E71"/>
    <w:rsid w:val="00FD7CEC"/>
    <w:rsid w:val="00FE5ED6"/>
    <w:rsid w:val="00FF4326"/>
    <w:rsid w:val="5DAD3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B2BA1"/>
  <w15:chartTrackingRefBased/>
  <w15:docId w15:val="{40144624-D2B4-487D-B49F-C6E34AB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rPr>
      <w:noProof/>
    </w:r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34"/>
    <w:qFormat/>
    <w:rsid w:val="00D14A1D"/>
    <w:pPr>
      <w:ind w:left="720"/>
      <w:contextualSpacing/>
    </w:pPr>
  </w:style>
  <w:style w:type="paragraph" w:customStyle="1" w:styleId="pf0">
    <w:name w:val="pf0"/>
    <w:basedOn w:val="Normal"/>
    <w:rsid w:val="004050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405012"/>
    <w:rPr>
      <w:rFonts w:ascii="Segoe UI" w:hAnsi="Segoe UI" w:cs="Segoe UI" w:hint="default"/>
      <w:sz w:val="18"/>
      <w:szCs w:val="18"/>
    </w:rPr>
  </w:style>
  <w:style w:type="paragraph" w:styleId="Revision">
    <w:name w:val="Revision"/>
    <w:hidden/>
    <w:uiPriority w:val="99"/>
    <w:semiHidden/>
    <w:rsid w:val="00F50900"/>
    <w:pPr>
      <w:spacing w:after="0" w:line="240" w:lineRule="auto"/>
    </w:pPr>
  </w:style>
  <w:style w:type="character" w:styleId="Kommentarsreferens">
    <w:name w:val="annotation reference"/>
    <w:basedOn w:val="Standardstycketeckensnitt"/>
    <w:uiPriority w:val="99"/>
    <w:semiHidden/>
    <w:unhideWhenUsed/>
    <w:rsid w:val="002665E9"/>
    <w:rPr>
      <w:sz w:val="16"/>
      <w:szCs w:val="16"/>
    </w:rPr>
  </w:style>
  <w:style w:type="paragraph" w:styleId="Kommentarer">
    <w:name w:val="annotation text"/>
    <w:basedOn w:val="Normal"/>
    <w:link w:val="KommentarerChar"/>
    <w:uiPriority w:val="99"/>
    <w:unhideWhenUsed/>
    <w:rsid w:val="002665E9"/>
    <w:pPr>
      <w:spacing w:line="240" w:lineRule="auto"/>
    </w:pPr>
    <w:rPr>
      <w:sz w:val="20"/>
      <w:szCs w:val="20"/>
    </w:rPr>
  </w:style>
  <w:style w:type="character" w:customStyle="1" w:styleId="KommentarerChar">
    <w:name w:val="Kommentarer Char"/>
    <w:basedOn w:val="Standardstycketeckensnitt"/>
    <w:link w:val="Kommentarer"/>
    <w:uiPriority w:val="99"/>
    <w:rsid w:val="002665E9"/>
    <w:rPr>
      <w:sz w:val="20"/>
      <w:szCs w:val="20"/>
    </w:rPr>
  </w:style>
  <w:style w:type="paragraph" w:styleId="Kommentarsmne">
    <w:name w:val="annotation subject"/>
    <w:basedOn w:val="Kommentarer"/>
    <w:next w:val="Kommentarer"/>
    <w:link w:val="KommentarsmneChar"/>
    <w:uiPriority w:val="99"/>
    <w:semiHidden/>
    <w:unhideWhenUsed/>
    <w:rsid w:val="002665E9"/>
    <w:rPr>
      <w:b/>
      <w:bCs/>
    </w:rPr>
  </w:style>
  <w:style w:type="character" w:customStyle="1" w:styleId="KommentarsmneChar">
    <w:name w:val="Kommentarsämne Char"/>
    <w:basedOn w:val="KommentarerChar"/>
    <w:link w:val="Kommentarsmne"/>
    <w:uiPriority w:val="99"/>
    <w:semiHidden/>
    <w:rsid w:val="002665E9"/>
    <w:rPr>
      <w:b/>
      <w:bCs/>
      <w:sz w:val="20"/>
      <w:szCs w:val="20"/>
    </w:rPr>
  </w:style>
  <w:style w:type="paragraph" w:styleId="Normalwebb">
    <w:name w:val="Normal (Web)"/>
    <w:basedOn w:val="Normal"/>
    <w:uiPriority w:val="99"/>
    <w:semiHidden/>
    <w:unhideWhenUsed/>
    <w:rsid w:val="005460D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4862">
      <w:bodyDiv w:val="1"/>
      <w:marLeft w:val="0"/>
      <w:marRight w:val="0"/>
      <w:marTop w:val="0"/>
      <w:marBottom w:val="0"/>
      <w:divBdr>
        <w:top w:val="none" w:sz="0" w:space="0" w:color="auto"/>
        <w:left w:val="none" w:sz="0" w:space="0" w:color="auto"/>
        <w:bottom w:val="none" w:sz="0" w:space="0" w:color="auto"/>
        <w:right w:val="none" w:sz="0" w:space="0" w:color="auto"/>
      </w:divBdr>
    </w:div>
    <w:div w:id="357895570">
      <w:bodyDiv w:val="1"/>
      <w:marLeft w:val="0"/>
      <w:marRight w:val="0"/>
      <w:marTop w:val="0"/>
      <w:marBottom w:val="0"/>
      <w:divBdr>
        <w:top w:val="none" w:sz="0" w:space="0" w:color="auto"/>
        <w:left w:val="none" w:sz="0" w:space="0" w:color="auto"/>
        <w:bottom w:val="none" w:sz="0" w:space="0" w:color="auto"/>
        <w:right w:val="none" w:sz="0" w:space="0" w:color="auto"/>
      </w:divBdr>
    </w:div>
    <w:div w:id="652105515">
      <w:bodyDiv w:val="1"/>
      <w:marLeft w:val="0"/>
      <w:marRight w:val="0"/>
      <w:marTop w:val="0"/>
      <w:marBottom w:val="0"/>
      <w:divBdr>
        <w:top w:val="none" w:sz="0" w:space="0" w:color="auto"/>
        <w:left w:val="none" w:sz="0" w:space="0" w:color="auto"/>
        <w:bottom w:val="none" w:sz="0" w:space="0" w:color="auto"/>
        <w:right w:val="none" w:sz="0" w:space="0" w:color="auto"/>
      </w:divBdr>
    </w:div>
    <w:div w:id="703218123">
      <w:bodyDiv w:val="1"/>
      <w:marLeft w:val="0"/>
      <w:marRight w:val="0"/>
      <w:marTop w:val="0"/>
      <w:marBottom w:val="0"/>
      <w:divBdr>
        <w:top w:val="none" w:sz="0" w:space="0" w:color="auto"/>
        <w:left w:val="none" w:sz="0" w:space="0" w:color="auto"/>
        <w:bottom w:val="none" w:sz="0" w:space="0" w:color="auto"/>
        <w:right w:val="none" w:sz="0" w:space="0" w:color="auto"/>
      </w:divBdr>
    </w:div>
    <w:div w:id="926160011">
      <w:bodyDiv w:val="1"/>
      <w:marLeft w:val="0"/>
      <w:marRight w:val="0"/>
      <w:marTop w:val="0"/>
      <w:marBottom w:val="0"/>
      <w:divBdr>
        <w:top w:val="none" w:sz="0" w:space="0" w:color="auto"/>
        <w:left w:val="none" w:sz="0" w:space="0" w:color="auto"/>
        <w:bottom w:val="none" w:sz="0" w:space="0" w:color="auto"/>
        <w:right w:val="none" w:sz="0" w:space="0" w:color="auto"/>
      </w:divBdr>
    </w:div>
    <w:div w:id="961690320">
      <w:bodyDiv w:val="1"/>
      <w:marLeft w:val="0"/>
      <w:marRight w:val="0"/>
      <w:marTop w:val="0"/>
      <w:marBottom w:val="0"/>
      <w:divBdr>
        <w:top w:val="none" w:sz="0" w:space="0" w:color="auto"/>
        <w:left w:val="none" w:sz="0" w:space="0" w:color="auto"/>
        <w:bottom w:val="none" w:sz="0" w:space="0" w:color="auto"/>
        <w:right w:val="none" w:sz="0" w:space="0" w:color="auto"/>
      </w:divBdr>
    </w:div>
    <w:div w:id="1099636966">
      <w:bodyDiv w:val="1"/>
      <w:marLeft w:val="0"/>
      <w:marRight w:val="0"/>
      <w:marTop w:val="0"/>
      <w:marBottom w:val="0"/>
      <w:divBdr>
        <w:top w:val="none" w:sz="0" w:space="0" w:color="auto"/>
        <w:left w:val="none" w:sz="0" w:space="0" w:color="auto"/>
        <w:bottom w:val="none" w:sz="0" w:space="0" w:color="auto"/>
        <w:right w:val="none" w:sz="0" w:space="0" w:color="auto"/>
      </w:divBdr>
    </w:div>
    <w:div w:id="1452279748">
      <w:bodyDiv w:val="1"/>
      <w:marLeft w:val="0"/>
      <w:marRight w:val="0"/>
      <w:marTop w:val="0"/>
      <w:marBottom w:val="0"/>
      <w:divBdr>
        <w:top w:val="none" w:sz="0" w:space="0" w:color="auto"/>
        <w:left w:val="none" w:sz="0" w:space="0" w:color="auto"/>
        <w:bottom w:val="none" w:sz="0" w:space="0" w:color="auto"/>
        <w:right w:val="none" w:sz="0" w:space="0" w:color="auto"/>
      </w:divBdr>
    </w:div>
    <w:div w:id="1504199938">
      <w:bodyDiv w:val="1"/>
      <w:marLeft w:val="0"/>
      <w:marRight w:val="0"/>
      <w:marTop w:val="0"/>
      <w:marBottom w:val="0"/>
      <w:divBdr>
        <w:top w:val="none" w:sz="0" w:space="0" w:color="auto"/>
        <w:left w:val="none" w:sz="0" w:space="0" w:color="auto"/>
        <w:bottom w:val="none" w:sz="0" w:space="0" w:color="auto"/>
        <w:right w:val="none" w:sz="0" w:space="0" w:color="auto"/>
      </w:divBdr>
    </w:div>
    <w:div w:id="1532642915">
      <w:bodyDiv w:val="1"/>
      <w:marLeft w:val="0"/>
      <w:marRight w:val="0"/>
      <w:marTop w:val="0"/>
      <w:marBottom w:val="0"/>
      <w:divBdr>
        <w:top w:val="none" w:sz="0" w:space="0" w:color="auto"/>
        <w:left w:val="none" w:sz="0" w:space="0" w:color="auto"/>
        <w:bottom w:val="none" w:sz="0" w:space="0" w:color="auto"/>
        <w:right w:val="none" w:sz="0" w:space="0" w:color="auto"/>
      </w:divBdr>
    </w:div>
    <w:div w:id="1535264509">
      <w:bodyDiv w:val="1"/>
      <w:marLeft w:val="0"/>
      <w:marRight w:val="0"/>
      <w:marTop w:val="0"/>
      <w:marBottom w:val="0"/>
      <w:divBdr>
        <w:top w:val="none" w:sz="0" w:space="0" w:color="auto"/>
        <w:left w:val="none" w:sz="0" w:space="0" w:color="auto"/>
        <w:bottom w:val="none" w:sz="0" w:space="0" w:color="auto"/>
        <w:right w:val="none" w:sz="0" w:space="0" w:color="auto"/>
      </w:divBdr>
    </w:div>
    <w:div w:id="1645815199">
      <w:bodyDiv w:val="1"/>
      <w:marLeft w:val="0"/>
      <w:marRight w:val="0"/>
      <w:marTop w:val="0"/>
      <w:marBottom w:val="0"/>
      <w:divBdr>
        <w:top w:val="none" w:sz="0" w:space="0" w:color="auto"/>
        <w:left w:val="none" w:sz="0" w:space="0" w:color="auto"/>
        <w:bottom w:val="none" w:sz="0" w:space="0" w:color="auto"/>
        <w:right w:val="none" w:sz="0" w:space="0" w:color="auto"/>
      </w:divBdr>
    </w:div>
    <w:div w:id="1686781275">
      <w:bodyDiv w:val="1"/>
      <w:marLeft w:val="0"/>
      <w:marRight w:val="0"/>
      <w:marTop w:val="0"/>
      <w:marBottom w:val="0"/>
      <w:divBdr>
        <w:top w:val="none" w:sz="0" w:space="0" w:color="auto"/>
        <w:left w:val="none" w:sz="0" w:space="0" w:color="auto"/>
        <w:bottom w:val="none" w:sz="0" w:space="0" w:color="auto"/>
        <w:right w:val="none" w:sz="0" w:space="0" w:color="auto"/>
      </w:divBdr>
    </w:div>
    <w:div w:id="1710107649">
      <w:bodyDiv w:val="1"/>
      <w:marLeft w:val="0"/>
      <w:marRight w:val="0"/>
      <w:marTop w:val="0"/>
      <w:marBottom w:val="0"/>
      <w:divBdr>
        <w:top w:val="none" w:sz="0" w:space="0" w:color="auto"/>
        <w:left w:val="none" w:sz="0" w:space="0" w:color="auto"/>
        <w:bottom w:val="none" w:sz="0" w:space="0" w:color="auto"/>
        <w:right w:val="none" w:sz="0" w:space="0" w:color="auto"/>
      </w:divBdr>
    </w:div>
    <w:div w:id="1786802873">
      <w:bodyDiv w:val="1"/>
      <w:marLeft w:val="0"/>
      <w:marRight w:val="0"/>
      <w:marTop w:val="0"/>
      <w:marBottom w:val="0"/>
      <w:divBdr>
        <w:top w:val="none" w:sz="0" w:space="0" w:color="auto"/>
        <w:left w:val="none" w:sz="0" w:space="0" w:color="auto"/>
        <w:bottom w:val="none" w:sz="0" w:space="0" w:color="auto"/>
        <w:right w:val="none" w:sz="0" w:space="0" w:color="auto"/>
      </w:divBdr>
    </w:div>
    <w:div w:id="1817066827">
      <w:bodyDiv w:val="1"/>
      <w:marLeft w:val="0"/>
      <w:marRight w:val="0"/>
      <w:marTop w:val="0"/>
      <w:marBottom w:val="0"/>
      <w:divBdr>
        <w:top w:val="none" w:sz="0" w:space="0" w:color="auto"/>
        <w:left w:val="none" w:sz="0" w:space="0" w:color="auto"/>
        <w:bottom w:val="none" w:sz="0" w:space="0" w:color="auto"/>
        <w:right w:val="none" w:sz="0" w:space="0" w:color="auto"/>
      </w:divBdr>
    </w:div>
    <w:div w:id="21368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webSettings" Target="webSettings.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12DD0376E665A040B68E094238FD4DA1" ma:contentTypeVersion="64" ma:contentTypeDescription="Skapa nytt dokument med möjlighet att välja RK-mall" ma:contentTypeScope="" ma:versionID="b29d592e6be644a72d105514999af9b4">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bc63507e-57ec-4e0c-ab9e-bff82b5526e2" targetNamespace="http://schemas.microsoft.com/office/2006/metadata/properties" ma:root="true" ma:fieldsID="2fd119b12e92756efce00fc9f197ed24" ns2:_="" ns3:_="" ns4:_="" ns6:_="" ns7:_="">
    <xsd:import namespace="4e9c2f0c-7bf8-49af-8356-cbf363fc78a7"/>
    <xsd:import namespace="cc625d36-bb37-4650-91b9-0c96159295ba"/>
    <xsd:import namespace="18f3d968-6251-40b0-9f11-012b293496c2"/>
    <xsd:import namespace="9c9941df-7074-4a92-bf99-225d24d78d61"/>
    <xsd:import namespace="bc63507e-57ec-4e0c-ab9e-bff82b5526e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693af53e-17aa-452d-84bc-5db1de25f402}" ma:internalName="TaxCatchAllLabel" ma:readOnly="true" ma:showField="CatchAllDataLabel" ma:web="1c70cb6f-7a34-406b-9f58-ebe4d59da83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693af53e-17aa-452d-84bc-5db1de25f402}" ma:internalName="TaxCatchAll" ma:showField="CatchAllData" ma:web="1c70cb6f-7a34-406b-9f58-ebe4d59da83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63507e-57ec-4e0c-ab9e-bff82b5526e2"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07acfae-4dfa-4949-99a8-259efd31a6ae" ContentTypeId="0x010100BBA312BF02777149882D207184EC35C032" PreviousValue="true"/>
</file>

<file path=customXml/item7.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Country xmlns="b49397d3-2376-4764-9b34-2b39112a7e40" xsi:nil="true"/>
    <Feedback xmlns="b49397d3-2376-4764-9b34-2b39112a7e40"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381AE446-0049-41F0-8615-8C5F9802A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bc63507e-57ec-4e0c-ab9e-bff82b55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4B3B9-D8B0-4291-9127-D04B13D723D7}">
  <ds:schemaRefs>
    <ds:schemaRef ds:uri="http://schemas.microsoft.com/office/2006/metadata/customXsn"/>
  </ds:schemaRefs>
</ds:datastoreItem>
</file>

<file path=customXml/itemProps4.xml><?xml version="1.0" encoding="utf-8"?>
<ds:datastoreItem xmlns:ds="http://schemas.openxmlformats.org/officeDocument/2006/customXml" ds:itemID="{FC639010-3731-47F0-97F8-16457BD0645D}">
  <ds:schemaRefs>
    <ds:schemaRef ds:uri="http://schemas.openxmlformats.org/officeDocument/2006/bibliography"/>
  </ds:schemaRefs>
</ds:datastoreItem>
</file>

<file path=customXml/itemProps5.xml><?xml version="1.0" encoding="utf-8"?>
<ds:datastoreItem xmlns:ds="http://schemas.openxmlformats.org/officeDocument/2006/customXml" ds:itemID="{ABBF36BF-6663-421F-9610-884E434D7DB1}">
  <ds:schemaRefs>
    <ds:schemaRef ds:uri="http://schemas.microsoft.com/sharepoint/v3/contenttype/forms"/>
  </ds:schemaRefs>
</ds:datastoreItem>
</file>

<file path=customXml/itemProps6.xml><?xml version="1.0" encoding="utf-8"?>
<ds:datastoreItem xmlns:ds="http://schemas.openxmlformats.org/officeDocument/2006/customXml" ds:itemID="{1C354562-FE83-41A8-948B-DFB061B1D5C4}">
  <ds:schemaRefs>
    <ds:schemaRef ds:uri="Microsoft.SharePoint.Taxonomy.ContentTypeSync"/>
  </ds:schemaRefs>
</ds:datastoreItem>
</file>

<file path=customXml/itemProps7.xml><?xml version="1.0" encoding="utf-8"?>
<ds:datastoreItem xmlns:ds="http://schemas.openxmlformats.org/officeDocument/2006/customXml" ds:itemID="{F9E6D651-88CA-41A5-B3F9-3805DDDED1C8}">
  <ds:schemaRefs>
    <ds:schemaRef ds:uri="http://schemas.microsoft.com/office/infopath/2007/PartnerControls"/>
    <ds:schemaRef ds:uri="9c9941df-7074-4a92-bf99-225d24d78d61"/>
    <ds:schemaRef ds:uri="http://schemas.microsoft.com/office/2006/documentManagement/types"/>
    <ds:schemaRef ds:uri="bc63507e-57ec-4e0c-ab9e-bff82b5526e2"/>
    <ds:schemaRef ds:uri="http://purl.org/dc/elements/1.1/"/>
    <ds:schemaRef ds:uri="http://schemas.microsoft.com/office/2006/metadata/properties"/>
    <ds:schemaRef ds:uri="cc625d36-bb37-4650-91b9-0c96159295ba"/>
    <ds:schemaRef ds:uri="http://schemas.openxmlformats.org/package/2006/metadata/core-properties"/>
    <ds:schemaRef ds:uri="18f3d968-6251-40b0-9f11-012b293496c2"/>
    <ds:schemaRef ds:uri="http://purl.org/dc/terms/"/>
    <ds:schemaRef ds:uri="4e9c2f0c-7bf8-49af-8356-cbf363fc78a7"/>
    <ds:schemaRef ds:uri="http://www.w3.org/XML/1998/namespace"/>
    <ds:schemaRef ds:uri="http://purl.org/dc/dcmitype/"/>
  </ds:schemaRefs>
</ds:datastoreItem>
</file>

<file path=customXml/itemProps8.xml><?xml version="1.0" encoding="utf-8"?>
<ds:datastoreItem xmlns:ds="http://schemas.openxmlformats.org/officeDocument/2006/customXml" ds:itemID="{33C3E02B-3944-4725-983F-C7A3068AF2BC}"/>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8203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 Kärre</dc:creator>
  <cp:keywords/>
  <dc:description/>
  <cp:lastModifiedBy>Josa Kärre</cp:lastModifiedBy>
  <cp:revision>2</cp:revision>
  <cp:lastPrinted>2024-10-23T12:11:00Z</cp:lastPrinted>
  <dcterms:created xsi:type="dcterms:W3CDTF">2024-10-23T16:24:00Z</dcterms:created>
  <dcterms:modified xsi:type="dcterms:W3CDTF">2024-10-23T16:24:00Z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Organisation">
    <vt:lpwstr/>
  </property>
  <property fmtid="{D5CDD505-2E9C-101B-9397-08002B2CF9AE}" pid="4" name="ActivityCategory">
    <vt:lpwstr/>
  </property>
  <property fmtid="{D5CDD505-2E9C-101B-9397-08002B2CF9AE}" pid="5" name="_dlc_DocIdItemGuid">
    <vt:lpwstr>c9bccc4f-2274-4380-a2eb-4e8fa2c46c97</vt:lpwstr>
  </property>
</Properties>
</file>