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80648" w14:textId="77777777" w:rsidR="004C1C03" w:rsidRPr="00CF509E" w:rsidRDefault="00443BC8" w:rsidP="00CF509E">
      <w:pPr>
        <w:spacing w:after="0"/>
        <w:jc w:val="both"/>
        <w:rPr>
          <w:rFonts w:ascii="Times New Roman" w:hAnsi="Times New Roman" w:cs="Times New Roman"/>
          <w:b/>
          <w:bCs/>
        </w:rPr>
      </w:pPr>
      <w:r w:rsidRPr="00CF509E">
        <w:rPr>
          <w:rFonts w:ascii="Times New Roman" w:hAnsi="Times New Roman" w:cs="Times New Roman"/>
          <w:b/>
          <w:bCs/>
        </w:rPr>
        <w:t>Inputs for an Elements Paper on Financing for Development</w:t>
      </w:r>
      <w:r w:rsidR="004C1C03" w:rsidRPr="00CF509E">
        <w:rPr>
          <w:rFonts w:ascii="Times New Roman" w:hAnsi="Times New Roman" w:cs="Times New Roman"/>
          <w:b/>
          <w:bCs/>
        </w:rPr>
        <w:t xml:space="preserve"> </w:t>
      </w:r>
    </w:p>
    <w:p w14:paraId="72C5B46C" w14:textId="4C8F5E65" w:rsidR="0057388D" w:rsidRPr="00CF509E" w:rsidRDefault="00D62605" w:rsidP="00CF509E">
      <w:pPr>
        <w:spacing w:after="0"/>
        <w:jc w:val="both"/>
        <w:rPr>
          <w:rFonts w:ascii="Times New Roman" w:hAnsi="Times New Roman" w:cs="Times New Roman"/>
          <w:b/>
          <w:bCs/>
        </w:rPr>
      </w:pPr>
      <w:r w:rsidRPr="00CF509E">
        <w:rPr>
          <w:rFonts w:ascii="Times New Roman" w:hAnsi="Times New Roman" w:cs="Times New Roman"/>
          <w:b/>
          <w:bCs/>
        </w:rPr>
        <w:t xml:space="preserve">By the </w:t>
      </w:r>
      <w:r w:rsidR="004C1C03" w:rsidRPr="00CF509E">
        <w:rPr>
          <w:rFonts w:ascii="Times New Roman" w:hAnsi="Times New Roman" w:cs="Times New Roman"/>
          <w:b/>
          <w:bCs/>
        </w:rPr>
        <w:t>Statistics Division</w:t>
      </w:r>
      <w:r w:rsidR="00CF509E">
        <w:rPr>
          <w:rFonts w:ascii="Times New Roman" w:hAnsi="Times New Roman" w:cs="Times New Roman"/>
          <w:b/>
          <w:bCs/>
        </w:rPr>
        <w:t xml:space="preserve"> of the Department of Economic and Social Affairs (DESA)</w:t>
      </w:r>
    </w:p>
    <w:p w14:paraId="044AD4AA" w14:textId="77777777" w:rsidR="00D4037C" w:rsidRPr="00CF509E" w:rsidRDefault="00D4037C" w:rsidP="00CF509E">
      <w:pPr>
        <w:spacing w:after="0"/>
        <w:jc w:val="both"/>
        <w:rPr>
          <w:rFonts w:ascii="Times New Roman" w:hAnsi="Times New Roman" w:cs="Times New Roman"/>
          <w:b/>
          <w:bCs/>
          <w:i/>
          <w:iCs/>
        </w:rPr>
      </w:pPr>
    </w:p>
    <w:p w14:paraId="5396301B" w14:textId="6A71C220" w:rsidR="00C05A29" w:rsidRPr="00CF509E" w:rsidRDefault="00C05A29" w:rsidP="00CF509E">
      <w:pPr>
        <w:keepNext/>
        <w:keepLines/>
        <w:spacing w:after="0"/>
        <w:jc w:val="both"/>
        <w:rPr>
          <w:rFonts w:ascii="Times New Roman" w:hAnsi="Times New Roman" w:cs="Times New Roman"/>
          <w:b/>
          <w:bCs/>
          <w:i/>
          <w:iCs/>
        </w:rPr>
      </w:pPr>
      <w:bookmarkStart w:id="0" w:name="_Toc177383565"/>
      <w:r w:rsidRPr="00CF509E">
        <w:rPr>
          <w:rFonts w:ascii="Times New Roman" w:hAnsi="Times New Roman" w:cs="Times New Roman"/>
          <w:b/>
          <w:bCs/>
          <w:i/>
          <w:iCs/>
        </w:rPr>
        <w:t>I.  A global financing framework (including cross-cutting issues</w:t>
      </w:r>
      <w:bookmarkEnd w:id="0"/>
      <w:r w:rsidRPr="00CF509E">
        <w:rPr>
          <w:rFonts w:ascii="Times New Roman" w:hAnsi="Times New Roman" w:cs="Times New Roman"/>
          <w:b/>
          <w:bCs/>
          <w:i/>
          <w:iCs/>
        </w:rPr>
        <w:t>)</w:t>
      </w:r>
    </w:p>
    <w:p w14:paraId="6C9E4C08" w14:textId="77777777" w:rsidR="000E5F6A" w:rsidRPr="00CF509E" w:rsidRDefault="000E5F6A" w:rsidP="00CF509E">
      <w:pPr>
        <w:keepNext/>
        <w:keepLines/>
        <w:spacing w:after="0"/>
        <w:jc w:val="both"/>
        <w:rPr>
          <w:rFonts w:asciiTheme="majorBidi" w:eastAsiaTheme="majorEastAsia" w:hAnsiTheme="majorBidi" w:cstheme="majorBidi"/>
          <w:b/>
          <w:bCs/>
        </w:rPr>
      </w:pPr>
    </w:p>
    <w:p w14:paraId="7A6A617D" w14:textId="0DF071CC" w:rsidR="00C05A29" w:rsidRPr="00CF509E" w:rsidRDefault="00D8150A" w:rsidP="00CF509E">
      <w:pPr>
        <w:spacing w:after="0"/>
        <w:jc w:val="both"/>
        <w:rPr>
          <w:rFonts w:asciiTheme="majorBidi" w:eastAsiaTheme="majorEastAsia" w:hAnsiTheme="majorBidi" w:cstheme="majorBidi"/>
        </w:rPr>
      </w:pPr>
      <w:r w:rsidRPr="00CF509E">
        <w:rPr>
          <w:rFonts w:asciiTheme="majorBidi" w:hAnsiTheme="majorBidi" w:cstheme="majorBidi"/>
          <w:b/>
          <w:bCs/>
          <w:i/>
          <w:iCs/>
        </w:rPr>
        <w:t>Investment in data and in official statistics should be integrated into the core action areas of the F</w:t>
      </w:r>
      <w:r w:rsidR="00F170DC" w:rsidRPr="00CF509E">
        <w:rPr>
          <w:rFonts w:asciiTheme="majorBidi" w:hAnsiTheme="majorBidi" w:cstheme="majorBidi"/>
          <w:b/>
          <w:bCs/>
          <w:i/>
          <w:iCs/>
        </w:rPr>
        <w:t>F</w:t>
      </w:r>
      <w:r w:rsidRPr="00CF509E">
        <w:rPr>
          <w:rFonts w:asciiTheme="majorBidi" w:hAnsiTheme="majorBidi" w:cstheme="majorBidi"/>
          <w:b/>
          <w:bCs/>
          <w:i/>
          <w:iCs/>
        </w:rPr>
        <w:t>D agenda and the outcome document as a cross-cutting issue.</w:t>
      </w:r>
      <w:r w:rsidRPr="00CF509E">
        <w:rPr>
          <w:rFonts w:asciiTheme="majorBidi" w:eastAsiaTheme="majorEastAsia" w:hAnsiTheme="majorBidi" w:cstheme="majorBidi"/>
          <w:b/>
          <w:bCs/>
          <w:i/>
          <w:iCs/>
        </w:rPr>
        <w:t xml:space="preserve"> </w:t>
      </w:r>
      <w:r w:rsidR="00C05A29" w:rsidRPr="00CF509E">
        <w:rPr>
          <w:rFonts w:asciiTheme="majorBidi" w:eastAsiaTheme="majorEastAsia" w:hAnsiTheme="majorBidi" w:cstheme="majorBidi"/>
          <w:b/>
          <w:bCs/>
          <w:i/>
          <w:iCs/>
        </w:rPr>
        <w:t>Strong national data and statistical systems are essential for advancing the financing for development agenda as they are the building blocks that are needed to understand society in its social, economic and environmental dimensions</w:t>
      </w:r>
      <w:r w:rsidR="00C05A29" w:rsidRPr="00CF509E">
        <w:rPr>
          <w:rFonts w:asciiTheme="majorBidi" w:eastAsiaTheme="majorEastAsia" w:hAnsiTheme="majorBidi" w:cstheme="majorBidi"/>
        </w:rPr>
        <w:t>,</w:t>
      </w:r>
      <w:r w:rsidR="00C05A29" w:rsidRPr="00CF509E">
        <w:rPr>
          <w:rFonts w:asciiTheme="majorBidi" w:hAnsiTheme="majorBidi" w:cstheme="majorBidi"/>
        </w:rPr>
        <w:t xml:space="preserve"> </w:t>
      </w:r>
      <w:r w:rsidR="00C05A29" w:rsidRPr="00CF509E">
        <w:rPr>
          <w:rFonts w:asciiTheme="majorBidi" w:eastAsiaTheme="majorEastAsia" w:hAnsiTheme="majorBidi" w:cstheme="majorBidi"/>
        </w:rPr>
        <w:t>including government finance, the banking sector, private sector investments and the ESG factors of financing.</w:t>
      </w:r>
    </w:p>
    <w:p w14:paraId="0C1DFD5F" w14:textId="77777777" w:rsidR="000E5F6A" w:rsidRPr="00CF509E" w:rsidRDefault="000E5F6A" w:rsidP="00CF509E">
      <w:pPr>
        <w:spacing w:after="0"/>
        <w:jc w:val="both"/>
        <w:rPr>
          <w:rFonts w:asciiTheme="majorBidi" w:hAnsiTheme="majorBidi" w:cstheme="majorBidi"/>
          <w:b/>
          <w:bCs/>
        </w:rPr>
      </w:pPr>
    </w:p>
    <w:p w14:paraId="333EF80E" w14:textId="1776B9C2" w:rsidR="00C05A29" w:rsidRPr="00CF509E" w:rsidRDefault="00F170DC" w:rsidP="00CF509E">
      <w:pPr>
        <w:spacing w:after="0"/>
        <w:jc w:val="both"/>
        <w:rPr>
          <w:rFonts w:asciiTheme="majorBidi" w:hAnsiTheme="majorBidi" w:cstheme="majorBidi"/>
          <w:b/>
          <w:bCs/>
          <w:i/>
          <w:iCs/>
        </w:rPr>
      </w:pPr>
      <w:r w:rsidRPr="00CF509E">
        <w:rPr>
          <w:rFonts w:asciiTheme="majorBidi" w:hAnsiTheme="majorBidi" w:cstheme="majorBidi"/>
        </w:rPr>
        <w:t>N</w:t>
      </w:r>
      <w:r w:rsidR="00C463E0" w:rsidRPr="00CF509E">
        <w:rPr>
          <w:rFonts w:asciiTheme="majorBidi" w:hAnsiTheme="majorBidi" w:cstheme="majorBidi"/>
        </w:rPr>
        <w:t xml:space="preserve">ational </w:t>
      </w:r>
      <w:r w:rsidRPr="00CF509E">
        <w:rPr>
          <w:rFonts w:asciiTheme="majorBidi" w:hAnsiTheme="majorBidi" w:cstheme="majorBidi"/>
        </w:rPr>
        <w:t xml:space="preserve">data and statistical </w:t>
      </w:r>
      <w:r w:rsidR="00C463E0" w:rsidRPr="00CF509E">
        <w:rPr>
          <w:rFonts w:asciiTheme="majorBidi" w:hAnsiTheme="majorBidi" w:cstheme="majorBidi"/>
        </w:rPr>
        <w:t xml:space="preserve">systems </w:t>
      </w:r>
      <w:r w:rsidRPr="00CF509E">
        <w:rPr>
          <w:rFonts w:asciiTheme="majorBidi" w:hAnsiTheme="majorBidi" w:cstheme="majorBidi"/>
        </w:rPr>
        <w:t xml:space="preserve">must </w:t>
      </w:r>
      <w:r w:rsidR="00C463E0" w:rsidRPr="00CF509E">
        <w:rPr>
          <w:rFonts w:asciiTheme="majorBidi" w:hAnsiTheme="majorBidi" w:cstheme="majorBidi"/>
        </w:rPr>
        <w:t xml:space="preserve">receive consistent funding, aligning with economic planning and fostering sustainable development. To make these investments effective, </w:t>
      </w:r>
      <w:r w:rsidR="00CF509E">
        <w:rPr>
          <w:rFonts w:asciiTheme="majorBidi" w:hAnsiTheme="majorBidi" w:cstheme="majorBidi"/>
        </w:rPr>
        <w:t>M</w:t>
      </w:r>
      <w:r w:rsidR="00C463E0" w:rsidRPr="00CF509E">
        <w:rPr>
          <w:rFonts w:asciiTheme="majorBidi" w:hAnsiTheme="majorBidi" w:cstheme="majorBidi"/>
        </w:rPr>
        <w:t xml:space="preserve">ember </w:t>
      </w:r>
      <w:r w:rsidR="00CF509E">
        <w:rPr>
          <w:rFonts w:asciiTheme="majorBidi" w:hAnsiTheme="majorBidi" w:cstheme="majorBidi"/>
        </w:rPr>
        <w:t>S</w:t>
      </w:r>
      <w:r w:rsidR="00C463E0" w:rsidRPr="00CF509E">
        <w:rPr>
          <w:rFonts w:asciiTheme="majorBidi" w:hAnsiTheme="majorBidi" w:cstheme="majorBidi"/>
        </w:rPr>
        <w:t>tates should embed them directly into national budgeting processes and establish dedicated financing mechanisms to support statistical and data capacity.</w:t>
      </w:r>
      <w:r w:rsidR="00E96CCB" w:rsidRPr="00CF509E">
        <w:rPr>
          <w:rFonts w:asciiTheme="majorBidi" w:hAnsiTheme="majorBidi" w:cstheme="majorBidi"/>
        </w:rPr>
        <w:t xml:space="preserve"> </w:t>
      </w:r>
      <w:r w:rsidR="00AE196C" w:rsidRPr="00CF509E">
        <w:rPr>
          <w:rFonts w:asciiTheme="majorBidi" w:hAnsiTheme="majorBidi" w:cstheme="majorBidi"/>
        </w:rPr>
        <w:t>In this regard</w:t>
      </w:r>
      <w:r w:rsidRPr="00CF509E">
        <w:rPr>
          <w:rFonts w:asciiTheme="majorBidi" w:hAnsiTheme="majorBidi" w:cstheme="majorBidi"/>
        </w:rPr>
        <w:t>,</w:t>
      </w:r>
      <w:r w:rsidR="00AE196C" w:rsidRPr="00CF509E">
        <w:rPr>
          <w:rFonts w:asciiTheme="majorBidi" w:hAnsiTheme="majorBidi" w:cstheme="majorBidi"/>
        </w:rPr>
        <w:t xml:space="preserve"> enhancing the capacity of National Statistical Offices (NSOs) for data governance and innovation across national data ecosystems is essential for building an inclusive, open, and sustainable digital future</w:t>
      </w:r>
      <w:r w:rsidR="00AE196C" w:rsidRPr="00CF509E">
        <w:rPr>
          <w:rFonts w:asciiTheme="majorBidi" w:hAnsiTheme="majorBidi" w:cstheme="majorBidi"/>
          <w:i/>
          <w:iCs/>
        </w:rPr>
        <w:t>.</w:t>
      </w:r>
    </w:p>
    <w:p w14:paraId="7B41186B" w14:textId="77777777" w:rsidR="00C05A29" w:rsidRPr="00CF509E" w:rsidRDefault="00C05A29" w:rsidP="00CF509E">
      <w:pPr>
        <w:keepNext/>
        <w:keepLines/>
        <w:spacing w:after="0"/>
        <w:jc w:val="both"/>
        <w:rPr>
          <w:rFonts w:ascii="Times New Roman" w:hAnsi="Times New Roman" w:cs="Times New Roman"/>
          <w:b/>
          <w:bCs/>
          <w:i/>
          <w:iCs/>
        </w:rPr>
      </w:pPr>
    </w:p>
    <w:p w14:paraId="381E2D46" w14:textId="66A5A1E7" w:rsidR="00DE1E9D" w:rsidRPr="00CF509E" w:rsidRDefault="00DE1E9D" w:rsidP="00CF509E">
      <w:pPr>
        <w:keepNext/>
        <w:keepLines/>
        <w:spacing w:after="0"/>
        <w:jc w:val="both"/>
        <w:rPr>
          <w:rFonts w:ascii="Times New Roman" w:hAnsi="Times New Roman" w:cs="Times New Roman"/>
          <w:b/>
          <w:bCs/>
          <w:i/>
          <w:iCs/>
        </w:rPr>
      </w:pPr>
      <w:r w:rsidRPr="00CF509E">
        <w:rPr>
          <w:rFonts w:ascii="Times New Roman" w:hAnsi="Times New Roman" w:cs="Times New Roman"/>
          <w:b/>
          <w:bCs/>
          <w:i/>
          <w:iCs/>
        </w:rPr>
        <w:t xml:space="preserve">II. Action areas: </w:t>
      </w:r>
    </w:p>
    <w:p w14:paraId="52CC3C6E" w14:textId="24C19DD8" w:rsidR="6F0DB9FA" w:rsidRPr="00CF509E" w:rsidRDefault="6F0DB9FA" w:rsidP="00CF509E">
      <w:pPr>
        <w:keepNext/>
        <w:keepLines/>
        <w:spacing w:after="0"/>
        <w:jc w:val="both"/>
        <w:rPr>
          <w:rFonts w:ascii="Times New Roman" w:hAnsi="Times New Roman" w:cs="Times New Roman"/>
        </w:rPr>
      </w:pPr>
    </w:p>
    <w:p w14:paraId="483DAD9B" w14:textId="77777777" w:rsidR="00C05A29" w:rsidRPr="00CF509E" w:rsidRDefault="00C05A29" w:rsidP="00CF509E">
      <w:pPr>
        <w:keepNext/>
        <w:keepLines/>
        <w:snapToGrid w:val="0"/>
        <w:spacing w:after="0"/>
        <w:jc w:val="both"/>
        <w:rPr>
          <w:rFonts w:ascii="Times New Roman" w:hAnsi="Times New Roman" w:cs="Times New Roman"/>
          <w:b/>
          <w:bCs/>
          <w:i/>
          <w:iCs/>
        </w:rPr>
      </w:pPr>
      <w:r w:rsidRPr="00CF509E">
        <w:rPr>
          <w:rFonts w:ascii="Times New Roman" w:hAnsi="Times New Roman" w:cs="Times New Roman"/>
          <w:b/>
          <w:bCs/>
          <w:i/>
          <w:iCs/>
        </w:rPr>
        <w:t>a.      Domestic public resources</w:t>
      </w:r>
    </w:p>
    <w:p w14:paraId="1E8F2F2E" w14:textId="77777777" w:rsidR="000E5F6A" w:rsidRPr="00CF509E" w:rsidRDefault="000E5F6A" w:rsidP="00CF509E">
      <w:pPr>
        <w:spacing w:after="0"/>
        <w:jc w:val="both"/>
        <w:rPr>
          <w:rFonts w:ascii="Times New Roman" w:eastAsia="Times New Roman" w:hAnsi="Times New Roman" w:cs="Times New Roman"/>
        </w:rPr>
      </w:pPr>
    </w:p>
    <w:p w14:paraId="75E9810D" w14:textId="7AD5D420" w:rsidR="00851E20" w:rsidRPr="00CF509E" w:rsidRDefault="00851E20" w:rsidP="00CF509E">
      <w:pPr>
        <w:spacing w:after="0"/>
        <w:jc w:val="both"/>
        <w:rPr>
          <w:rFonts w:ascii="Times New Roman" w:eastAsia="Times New Roman" w:hAnsi="Times New Roman" w:cs="Times New Roman"/>
          <w:i/>
          <w:iCs/>
        </w:rPr>
      </w:pPr>
      <w:r w:rsidRPr="00CF509E">
        <w:rPr>
          <w:rFonts w:ascii="Times New Roman" w:eastAsia="Times New Roman" w:hAnsi="Times New Roman" w:cs="Times New Roman"/>
          <w:b/>
          <w:bCs/>
          <w:i/>
          <w:iCs/>
        </w:rPr>
        <w:t>Member states should further commit to make the necessary investments in national data and statistical systems, including on capacity development and technical infrastructure development, and data governance frameworks to facilitate sharing of administrative data and in using these to produce relevant data and statistics to improve public financial management</w:t>
      </w:r>
      <w:r w:rsidRPr="00CF509E">
        <w:rPr>
          <w:rFonts w:ascii="Times New Roman" w:eastAsia="Times New Roman" w:hAnsi="Times New Roman" w:cs="Times New Roman"/>
          <w:i/>
          <w:iCs/>
        </w:rPr>
        <w:t>.</w:t>
      </w:r>
    </w:p>
    <w:p w14:paraId="47E6A234" w14:textId="77777777" w:rsidR="00851E20" w:rsidRPr="00CF509E" w:rsidRDefault="00851E20" w:rsidP="00CF509E">
      <w:pPr>
        <w:spacing w:after="0"/>
        <w:jc w:val="both"/>
        <w:rPr>
          <w:rFonts w:ascii="Times New Roman" w:eastAsia="Times New Roman" w:hAnsi="Times New Roman" w:cs="Times New Roman"/>
        </w:rPr>
      </w:pPr>
    </w:p>
    <w:p w14:paraId="60D4A29B" w14:textId="492B5480" w:rsidR="00C05A29" w:rsidRPr="00CF509E" w:rsidRDefault="00FB6964" w:rsidP="00CF509E">
      <w:pPr>
        <w:spacing w:after="0"/>
        <w:jc w:val="both"/>
        <w:rPr>
          <w:rFonts w:ascii="Times New Roman" w:eastAsia="Times New Roman" w:hAnsi="Times New Roman" w:cs="Times New Roman"/>
        </w:rPr>
      </w:pPr>
      <w:r w:rsidRPr="00CF509E">
        <w:rPr>
          <w:rFonts w:ascii="Times New Roman" w:eastAsia="Times New Roman" w:hAnsi="Times New Roman" w:cs="Times New Roman"/>
        </w:rPr>
        <w:t xml:space="preserve">Reliable access to granular and timely data and statistics is a precondition for understanding domestic revenue generation and for making sound policy decisions and investments. </w:t>
      </w:r>
      <w:r w:rsidRPr="00CF509E">
        <w:rPr>
          <w:rFonts w:ascii="Times New Roman" w:eastAsia="Times New Roman" w:hAnsi="Times New Roman" w:cs="Times New Roman"/>
          <w:b/>
          <w:bCs/>
        </w:rPr>
        <w:t xml:space="preserve">To help ensure that </w:t>
      </w:r>
      <w:r w:rsidR="00F170DC" w:rsidRPr="00CF509E">
        <w:rPr>
          <w:rFonts w:ascii="Times New Roman" w:eastAsia="Times New Roman" w:hAnsi="Times New Roman" w:cs="Times New Roman"/>
          <w:b/>
          <w:bCs/>
        </w:rPr>
        <w:t>high-</w:t>
      </w:r>
      <w:r w:rsidRPr="00CF509E">
        <w:rPr>
          <w:rFonts w:ascii="Times New Roman" w:eastAsia="Times New Roman" w:hAnsi="Times New Roman" w:cs="Times New Roman"/>
          <w:b/>
          <w:bCs/>
        </w:rPr>
        <w:t xml:space="preserve">quality data and statistics are available to decision-makers, the government should facilitate data sharing and reuse between </w:t>
      </w:r>
      <w:r w:rsidR="00F80457" w:rsidRPr="00CF509E">
        <w:rPr>
          <w:rFonts w:ascii="Times New Roman" w:eastAsia="Times New Roman" w:hAnsi="Times New Roman" w:cs="Times New Roman"/>
          <w:b/>
          <w:bCs/>
        </w:rPr>
        <w:t xml:space="preserve">government </w:t>
      </w:r>
      <w:r w:rsidRPr="00CF509E">
        <w:rPr>
          <w:rFonts w:ascii="Times New Roman" w:eastAsia="Times New Roman" w:hAnsi="Times New Roman" w:cs="Times New Roman"/>
          <w:b/>
          <w:bCs/>
        </w:rPr>
        <w:t>agencies</w:t>
      </w:r>
      <w:r w:rsidRPr="00CF509E">
        <w:rPr>
          <w:rFonts w:ascii="Times New Roman" w:eastAsia="Times New Roman" w:hAnsi="Times New Roman" w:cs="Times New Roman"/>
        </w:rPr>
        <w:t xml:space="preserve">. Empowering NSOs </w:t>
      </w:r>
      <w:r w:rsidR="00E96CCB" w:rsidRPr="00CF509E">
        <w:rPr>
          <w:rFonts w:ascii="Times New Roman" w:eastAsia="Times New Roman" w:hAnsi="Times New Roman" w:cs="Times New Roman"/>
        </w:rPr>
        <w:t xml:space="preserve">and other concerned government entities </w:t>
      </w:r>
      <w:r w:rsidRPr="00CF509E">
        <w:rPr>
          <w:rFonts w:ascii="Times New Roman" w:eastAsia="Times New Roman" w:hAnsi="Times New Roman" w:cs="Times New Roman"/>
        </w:rPr>
        <w:t xml:space="preserve">to lead digital innovation and data governance efforts is critical to enhancing these practices, ensuring that data collection is efficient, integrated, and free from duplications. This will also address existing data gaps while enabling the integration of technologies such as big data and AI into policymaking processes. A robust data-sharing infrastructure, ideally coordinated through the </w:t>
      </w:r>
      <w:r w:rsidR="00AE196C" w:rsidRPr="00CF509E">
        <w:rPr>
          <w:rFonts w:ascii="Times New Roman" w:eastAsia="Times New Roman" w:hAnsi="Times New Roman" w:cs="Times New Roman"/>
        </w:rPr>
        <w:t>NSOs</w:t>
      </w:r>
      <w:r w:rsidR="00E96CCB" w:rsidRPr="00CF509E">
        <w:rPr>
          <w:rFonts w:ascii="Times New Roman" w:eastAsia="Times New Roman" w:hAnsi="Times New Roman" w:cs="Times New Roman"/>
        </w:rPr>
        <w:t xml:space="preserve"> and other concerned government entities</w:t>
      </w:r>
      <w:r w:rsidRPr="00CF509E">
        <w:rPr>
          <w:rFonts w:ascii="Times New Roman" w:eastAsia="Times New Roman" w:hAnsi="Times New Roman" w:cs="Times New Roman"/>
        </w:rPr>
        <w:t xml:space="preserve">, supports </w:t>
      </w:r>
      <w:r w:rsidR="00CF509E">
        <w:rPr>
          <w:rFonts w:ascii="Times New Roman" w:eastAsia="Times New Roman" w:hAnsi="Times New Roman" w:cs="Times New Roman"/>
        </w:rPr>
        <w:t xml:space="preserve">a </w:t>
      </w:r>
      <w:r w:rsidRPr="00CF509E">
        <w:rPr>
          <w:rFonts w:ascii="Times New Roman" w:eastAsia="Times New Roman" w:hAnsi="Times New Roman" w:cs="Times New Roman"/>
        </w:rPr>
        <w:t>broader digital transformation across government operations. In this process, confidentiality and privacy must remain paramount, underpinned by appropriate legal frameworks.</w:t>
      </w:r>
    </w:p>
    <w:p w14:paraId="66A24D67" w14:textId="77777777" w:rsidR="000E5F6A" w:rsidRPr="00CF509E" w:rsidRDefault="000E5F6A" w:rsidP="00CF509E">
      <w:pPr>
        <w:spacing w:after="0"/>
        <w:jc w:val="both"/>
        <w:rPr>
          <w:rFonts w:ascii="Times New Roman" w:eastAsia="Times New Roman" w:hAnsi="Times New Roman" w:cs="Times New Roman"/>
          <w:b/>
          <w:bCs/>
        </w:rPr>
      </w:pPr>
    </w:p>
    <w:p w14:paraId="0D491880" w14:textId="25405CED" w:rsidR="00C05A29" w:rsidRPr="00CF509E" w:rsidRDefault="001608C0" w:rsidP="00CF509E">
      <w:pPr>
        <w:keepNext/>
        <w:keepLines/>
        <w:snapToGrid w:val="0"/>
        <w:spacing w:after="0"/>
        <w:jc w:val="both"/>
        <w:rPr>
          <w:rFonts w:ascii="Times New Roman" w:hAnsi="Times New Roman" w:cs="Times New Roman"/>
          <w:b/>
          <w:bCs/>
          <w:i/>
          <w:iCs/>
        </w:rPr>
      </w:pPr>
      <w:r w:rsidRPr="00CF509E">
        <w:rPr>
          <w:rFonts w:ascii="Times New Roman" w:hAnsi="Times New Roman" w:cs="Times New Roman"/>
          <w:b/>
          <w:bCs/>
          <w:i/>
          <w:iCs/>
        </w:rPr>
        <w:lastRenderedPageBreak/>
        <w:t>c. Domestic and international private business and finance</w:t>
      </w:r>
    </w:p>
    <w:p w14:paraId="031028ED" w14:textId="77777777" w:rsidR="000E5F6A" w:rsidRPr="00CF509E" w:rsidRDefault="000E5F6A" w:rsidP="00CF509E">
      <w:pPr>
        <w:keepNext/>
        <w:keepLines/>
        <w:spacing w:after="0"/>
        <w:jc w:val="both"/>
        <w:rPr>
          <w:rFonts w:ascii="Times New Roman" w:hAnsi="Times New Roman" w:cs="Times New Roman"/>
        </w:rPr>
      </w:pPr>
      <w:bookmarkStart w:id="1" w:name="_Hlk179886174"/>
    </w:p>
    <w:p w14:paraId="24E2981C" w14:textId="7B804626" w:rsidR="001608C0" w:rsidRPr="00CF509E" w:rsidRDefault="001608C0" w:rsidP="00CF509E">
      <w:pPr>
        <w:keepNext/>
        <w:keepLines/>
        <w:spacing w:after="0"/>
        <w:jc w:val="both"/>
        <w:rPr>
          <w:rFonts w:ascii="Times New Roman" w:hAnsi="Times New Roman" w:cs="Times New Roman"/>
        </w:rPr>
      </w:pPr>
      <w:r w:rsidRPr="00CF509E">
        <w:rPr>
          <w:rFonts w:ascii="Times New Roman" w:hAnsi="Times New Roman" w:cs="Times New Roman"/>
        </w:rPr>
        <w:t xml:space="preserve">Investments in national data and statistical systems </w:t>
      </w:r>
      <w:bookmarkEnd w:id="1"/>
      <w:r w:rsidRPr="00CF509E">
        <w:rPr>
          <w:rFonts w:ascii="Times New Roman" w:hAnsi="Times New Roman" w:cs="Times New Roman"/>
        </w:rPr>
        <w:t>can help overcome weak information infrastructure, data gaps and inconsistencies, which currently limit the ability of investors to</w:t>
      </w:r>
    </w:p>
    <w:p w14:paraId="66C71ABB" w14:textId="0F49B3E8" w:rsidR="003F495E" w:rsidRPr="00CF509E" w:rsidRDefault="001608C0" w:rsidP="00CF509E">
      <w:pPr>
        <w:keepNext/>
        <w:keepLines/>
        <w:spacing w:after="0"/>
        <w:jc w:val="both"/>
        <w:rPr>
          <w:rFonts w:ascii="Times New Roman" w:hAnsi="Times New Roman" w:cs="Times New Roman"/>
        </w:rPr>
      </w:pPr>
      <w:r w:rsidRPr="00CF509E">
        <w:rPr>
          <w:rFonts w:ascii="Times New Roman" w:hAnsi="Times New Roman" w:cs="Times New Roman"/>
        </w:rPr>
        <w:t>make informed decisions.</w:t>
      </w:r>
      <w:r w:rsidR="003F495E" w:rsidRPr="00CF509E">
        <w:rPr>
          <w:rFonts w:ascii="Times New Roman" w:hAnsi="Times New Roman" w:cs="Times New Roman"/>
        </w:rPr>
        <w:t xml:space="preserve"> If properly supported, the national statistical offices and central banks can work with the Global Reporting Initiative (GRI)</w:t>
      </w:r>
      <w:r w:rsidR="00F67CE9" w:rsidRPr="00CF509E">
        <w:rPr>
          <w:rFonts w:ascii="Times New Roman" w:hAnsi="Times New Roman" w:cs="Times New Roman"/>
        </w:rPr>
        <w:t>,</w:t>
      </w:r>
      <w:r w:rsidR="003F495E" w:rsidRPr="00CF509E">
        <w:rPr>
          <w:rFonts w:ascii="Times New Roman" w:hAnsi="Times New Roman" w:cs="Times New Roman"/>
        </w:rPr>
        <w:t xml:space="preserve"> the International Sustainability Standards Board (ISSB) </w:t>
      </w:r>
      <w:r w:rsidR="00F67CE9" w:rsidRPr="00CF509E">
        <w:rPr>
          <w:rFonts w:ascii="Times New Roman" w:hAnsi="Times New Roman" w:cs="Times New Roman"/>
        </w:rPr>
        <w:t xml:space="preserve">and others </w:t>
      </w:r>
      <w:r w:rsidR="003F495E" w:rsidRPr="00CF509E">
        <w:rPr>
          <w:rFonts w:ascii="Times New Roman" w:hAnsi="Times New Roman" w:cs="Times New Roman"/>
        </w:rPr>
        <w:t>to improve the availability of relevant data</w:t>
      </w:r>
      <w:r w:rsidR="00F67CE9" w:rsidRPr="00CF509E">
        <w:rPr>
          <w:rFonts w:ascii="Times New Roman" w:hAnsi="Times New Roman" w:cs="Times New Roman"/>
        </w:rPr>
        <w:t xml:space="preserve"> at company level</w:t>
      </w:r>
      <w:r w:rsidR="003F495E" w:rsidRPr="00CF509E">
        <w:rPr>
          <w:rFonts w:ascii="Times New Roman" w:hAnsi="Times New Roman" w:cs="Times New Roman"/>
        </w:rPr>
        <w:t>.</w:t>
      </w:r>
    </w:p>
    <w:p w14:paraId="4BD85537" w14:textId="77777777" w:rsidR="001608C0" w:rsidRPr="00CF509E" w:rsidRDefault="001608C0" w:rsidP="00CF509E">
      <w:pPr>
        <w:keepNext/>
        <w:keepLines/>
        <w:spacing w:after="0"/>
        <w:jc w:val="both"/>
        <w:rPr>
          <w:rFonts w:ascii="Times New Roman" w:hAnsi="Times New Roman" w:cs="Times New Roman"/>
        </w:rPr>
      </w:pPr>
    </w:p>
    <w:p w14:paraId="6BF38689" w14:textId="617BF727" w:rsidR="00266FD7" w:rsidRPr="00CF509E" w:rsidRDefault="00DE1E9D" w:rsidP="00CF509E">
      <w:pPr>
        <w:keepNext/>
        <w:keepLines/>
        <w:snapToGrid w:val="0"/>
        <w:spacing w:after="0"/>
        <w:jc w:val="both"/>
        <w:rPr>
          <w:rFonts w:ascii="Times New Roman" w:hAnsi="Times New Roman" w:cs="Times New Roman"/>
          <w:b/>
          <w:bCs/>
          <w:i/>
          <w:iCs/>
        </w:rPr>
      </w:pPr>
      <w:r w:rsidRPr="00CF509E">
        <w:rPr>
          <w:rFonts w:ascii="Times New Roman" w:hAnsi="Times New Roman" w:cs="Times New Roman"/>
          <w:b/>
          <w:bCs/>
          <w:i/>
          <w:iCs/>
        </w:rPr>
        <w:t>f. Addressing systemic issues</w:t>
      </w:r>
    </w:p>
    <w:p w14:paraId="023EE81E" w14:textId="77777777" w:rsidR="00851E20" w:rsidRPr="00CF509E" w:rsidRDefault="00851E20" w:rsidP="00CF509E">
      <w:pPr>
        <w:keepNext/>
        <w:keepLines/>
        <w:snapToGrid w:val="0"/>
        <w:spacing w:after="0"/>
        <w:jc w:val="both"/>
        <w:rPr>
          <w:rFonts w:ascii="Times New Roman" w:hAnsi="Times New Roman" w:cs="Times New Roman"/>
          <w:b/>
          <w:bCs/>
          <w:i/>
          <w:iCs/>
        </w:rPr>
      </w:pPr>
    </w:p>
    <w:p w14:paraId="3A832C7A" w14:textId="4A52D61C" w:rsidR="003F495E" w:rsidRPr="00CF509E" w:rsidRDefault="00DE1E9D" w:rsidP="00CF509E">
      <w:pPr>
        <w:keepNext/>
        <w:keepLines/>
        <w:snapToGrid w:val="0"/>
        <w:spacing w:after="0"/>
        <w:jc w:val="both"/>
        <w:rPr>
          <w:rFonts w:ascii="Times New Roman" w:hAnsi="Times New Roman" w:cs="Times New Roman"/>
          <w:b/>
          <w:bCs/>
        </w:rPr>
      </w:pPr>
      <w:r w:rsidRPr="00CF509E">
        <w:rPr>
          <w:rFonts w:ascii="Times New Roman" w:hAnsi="Times New Roman" w:cs="Times New Roman"/>
          <w:b/>
          <w:bCs/>
          <w:i/>
          <w:iCs/>
        </w:rPr>
        <w:t xml:space="preserve">The availability of reliable </w:t>
      </w:r>
      <w:r w:rsidR="00CA1367" w:rsidRPr="00CF509E">
        <w:rPr>
          <w:rFonts w:ascii="Times New Roman" w:hAnsi="Times New Roman" w:cs="Times New Roman"/>
          <w:b/>
          <w:bCs/>
          <w:i/>
          <w:iCs/>
        </w:rPr>
        <w:t xml:space="preserve">and trusted </w:t>
      </w:r>
      <w:r w:rsidRPr="00CF509E">
        <w:rPr>
          <w:rFonts w:ascii="Times New Roman" w:hAnsi="Times New Roman" w:cs="Times New Roman"/>
          <w:b/>
          <w:bCs/>
          <w:i/>
          <w:iCs/>
        </w:rPr>
        <w:t xml:space="preserve">data and statistics should </w:t>
      </w:r>
      <w:r w:rsidR="00F170DC" w:rsidRPr="00CF509E">
        <w:rPr>
          <w:rFonts w:ascii="Times New Roman" w:hAnsi="Times New Roman" w:cs="Times New Roman"/>
          <w:b/>
          <w:bCs/>
          <w:i/>
          <w:iCs/>
        </w:rPr>
        <w:t xml:space="preserve">be supported by domestic and all other sources of funding and necessary capacity building </w:t>
      </w:r>
      <w:r w:rsidR="001A536A" w:rsidRPr="00CF509E">
        <w:rPr>
          <w:rFonts w:ascii="Times New Roman" w:hAnsi="Times New Roman" w:cs="Times New Roman"/>
          <w:b/>
          <w:bCs/>
          <w:i/>
          <w:iCs/>
        </w:rPr>
        <w:t>efforts and</w:t>
      </w:r>
      <w:r w:rsidR="00F170DC" w:rsidRPr="00CF509E">
        <w:rPr>
          <w:rFonts w:ascii="Times New Roman" w:hAnsi="Times New Roman" w:cs="Times New Roman"/>
          <w:b/>
          <w:bCs/>
          <w:i/>
          <w:iCs/>
        </w:rPr>
        <w:t xml:space="preserve"> </w:t>
      </w:r>
      <w:r w:rsidRPr="00CF509E">
        <w:rPr>
          <w:rFonts w:ascii="Times New Roman" w:hAnsi="Times New Roman" w:cs="Times New Roman"/>
          <w:b/>
          <w:bCs/>
          <w:i/>
          <w:iCs/>
        </w:rPr>
        <w:t>recognized as a key</w:t>
      </w:r>
      <w:r w:rsidR="00F216E2" w:rsidRPr="00CF509E">
        <w:rPr>
          <w:rFonts w:ascii="Times New Roman" w:hAnsi="Times New Roman" w:cs="Times New Roman"/>
          <w:b/>
          <w:bCs/>
          <w:i/>
          <w:iCs/>
        </w:rPr>
        <w:t xml:space="preserve"> success </w:t>
      </w:r>
      <w:r w:rsidRPr="00CF509E">
        <w:rPr>
          <w:rFonts w:ascii="Times New Roman" w:hAnsi="Times New Roman" w:cs="Times New Roman"/>
          <w:b/>
          <w:bCs/>
          <w:i/>
          <w:iCs/>
        </w:rPr>
        <w:t xml:space="preserve">factor for </w:t>
      </w:r>
      <w:r w:rsidR="00F216E2" w:rsidRPr="00CF509E">
        <w:rPr>
          <w:rFonts w:ascii="Times New Roman" w:hAnsi="Times New Roman" w:cs="Times New Roman"/>
          <w:b/>
          <w:bCs/>
          <w:i/>
          <w:iCs/>
        </w:rPr>
        <w:t xml:space="preserve">an </w:t>
      </w:r>
      <w:r w:rsidR="00CA1367" w:rsidRPr="00CF509E">
        <w:rPr>
          <w:rFonts w:ascii="Times New Roman" w:hAnsi="Times New Roman" w:cs="Times New Roman"/>
          <w:b/>
          <w:bCs/>
          <w:i/>
          <w:iCs/>
        </w:rPr>
        <w:t xml:space="preserve">effective </w:t>
      </w:r>
      <w:r w:rsidRPr="00CF509E">
        <w:rPr>
          <w:rFonts w:ascii="Times New Roman" w:hAnsi="Times New Roman" w:cs="Times New Roman"/>
          <w:b/>
          <w:bCs/>
          <w:i/>
          <w:iCs/>
        </w:rPr>
        <w:t>financing for sustainable development agenda</w:t>
      </w:r>
      <w:r w:rsidR="003F495E" w:rsidRPr="00CF509E">
        <w:rPr>
          <w:rFonts w:ascii="Times New Roman" w:hAnsi="Times New Roman" w:cs="Times New Roman"/>
          <w:b/>
          <w:bCs/>
          <w:i/>
          <w:iCs/>
        </w:rPr>
        <w:t>, including climate action,</w:t>
      </w:r>
      <w:r w:rsidRPr="00CF509E">
        <w:rPr>
          <w:rFonts w:ascii="Times New Roman" w:hAnsi="Times New Roman" w:cs="Times New Roman"/>
          <w:b/>
          <w:bCs/>
          <w:i/>
          <w:iCs/>
        </w:rPr>
        <w:t xml:space="preserve"> across all action areas</w:t>
      </w:r>
      <w:r w:rsidRPr="00CF509E">
        <w:rPr>
          <w:rFonts w:ascii="Times New Roman" w:hAnsi="Times New Roman" w:cs="Times New Roman"/>
          <w:b/>
          <w:bCs/>
        </w:rPr>
        <w:t xml:space="preserve">. </w:t>
      </w:r>
    </w:p>
    <w:p w14:paraId="353D14D2" w14:textId="77777777" w:rsidR="003F495E" w:rsidRPr="00CF509E" w:rsidRDefault="003F495E" w:rsidP="00CF509E">
      <w:pPr>
        <w:keepNext/>
        <w:keepLines/>
        <w:spacing w:after="0"/>
        <w:jc w:val="both"/>
        <w:rPr>
          <w:rFonts w:ascii="Times New Roman" w:hAnsi="Times New Roman" w:cs="Times New Roman"/>
        </w:rPr>
      </w:pPr>
    </w:p>
    <w:p w14:paraId="2F1ED121" w14:textId="4A8040A7" w:rsidR="003F495E" w:rsidRPr="00CF509E" w:rsidRDefault="003F495E" w:rsidP="00CF509E">
      <w:pPr>
        <w:keepNext/>
        <w:keepLines/>
        <w:spacing w:after="0"/>
        <w:jc w:val="both"/>
        <w:rPr>
          <w:rFonts w:ascii="Times New Roman" w:hAnsi="Times New Roman" w:cs="Times New Roman"/>
        </w:rPr>
      </w:pPr>
      <w:r w:rsidRPr="00CF509E">
        <w:rPr>
          <w:rFonts w:ascii="Times New Roman" w:hAnsi="Times New Roman" w:cs="Times New Roman"/>
        </w:rPr>
        <w:t>Investments should be made in national data and statistical systems to collect and compile more information on the escalating climate crisis, which has led to growing interest in how financial market regulation and supervision can incorporate questions of environmental sustainability. Efforts are underway through the third data gap initiative developed under the G20 umbrella, but more investments at national level are needed.</w:t>
      </w:r>
    </w:p>
    <w:p w14:paraId="771D2A70" w14:textId="77777777" w:rsidR="003F495E" w:rsidRPr="00CF509E" w:rsidRDefault="003F495E" w:rsidP="00CF509E">
      <w:pPr>
        <w:keepNext/>
        <w:keepLines/>
        <w:spacing w:after="0"/>
        <w:jc w:val="both"/>
        <w:rPr>
          <w:rFonts w:ascii="Times New Roman" w:hAnsi="Times New Roman" w:cs="Times New Roman"/>
          <w:b/>
          <w:bCs/>
        </w:rPr>
      </w:pPr>
    </w:p>
    <w:p w14:paraId="68503630" w14:textId="614FB930" w:rsidR="00DE1E9D" w:rsidRPr="00CF509E" w:rsidRDefault="00CA1367" w:rsidP="00CF509E">
      <w:pPr>
        <w:keepNext/>
        <w:keepLines/>
        <w:spacing w:after="0"/>
        <w:jc w:val="both"/>
        <w:rPr>
          <w:rFonts w:ascii="Times New Roman" w:hAnsi="Times New Roman" w:cs="Times New Roman"/>
        </w:rPr>
      </w:pPr>
      <w:r w:rsidRPr="00CF509E">
        <w:rPr>
          <w:rFonts w:ascii="Times New Roman" w:hAnsi="Times New Roman" w:cs="Times New Roman"/>
        </w:rPr>
        <w:t xml:space="preserve">Countries </w:t>
      </w:r>
      <w:r w:rsidR="00172A65" w:rsidRPr="00CF509E">
        <w:rPr>
          <w:rFonts w:ascii="Times New Roman" w:hAnsi="Times New Roman" w:cs="Times New Roman"/>
        </w:rPr>
        <w:t>should</w:t>
      </w:r>
      <w:r w:rsidRPr="00CF509E">
        <w:rPr>
          <w:rFonts w:ascii="Times New Roman" w:hAnsi="Times New Roman" w:cs="Times New Roman"/>
        </w:rPr>
        <w:t xml:space="preserve"> </w:t>
      </w:r>
      <w:r w:rsidR="003F495E" w:rsidRPr="00CF509E">
        <w:rPr>
          <w:rFonts w:ascii="Times New Roman" w:hAnsi="Times New Roman" w:cs="Times New Roman"/>
        </w:rPr>
        <w:t xml:space="preserve">further </w:t>
      </w:r>
      <w:r w:rsidRPr="00CF509E">
        <w:rPr>
          <w:rFonts w:ascii="Times New Roman" w:hAnsi="Times New Roman" w:cs="Times New Roman"/>
        </w:rPr>
        <w:t>consider the</w:t>
      </w:r>
      <w:r w:rsidR="00CC6A55" w:rsidRPr="00CF509E">
        <w:rPr>
          <w:rFonts w:ascii="Times New Roman" w:hAnsi="Times New Roman" w:cs="Times New Roman"/>
        </w:rPr>
        <w:t xml:space="preserve"> establishment of a global framework for the measurement of development finance, building on </w:t>
      </w:r>
      <w:r w:rsidRPr="00CF509E">
        <w:rPr>
          <w:rFonts w:ascii="Times New Roman" w:hAnsi="Times New Roman" w:cs="Times New Roman"/>
        </w:rPr>
        <w:t xml:space="preserve">the </w:t>
      </w:r>
      <w:r w:rsidR="00CC6A55" w:rsidRPr="00CF509E">
        <w:rPr>
          <w:rFonts w:ascii="Times New Roman" w:hAnsi="Times New Roman" w:cs="Times New Roman"/>
        </w:rPr>
        <w:t xml:space="preserve">existing </w:t>
      </w:r>
      <w:r w:rsidRPr="00CF509E">
        <w:rPr>
          <w:rFonts w:ascii="Times New Roman" w:hAnsi="Times New Roman" w:cs="Times New Roman"/>
        </w:rPr>
        <w:t xml:space="preserve">SDG indicator </w:t>
      </w:r>
      <w:r w:rsidR="00CC6A55" w:rsidRPr="00CF509E">
        <w:rPr>
          <w:rFonts w:ascii="Times New Roman" w:hAnsi="Times New Roman" w:cs="Times New Roman"/>
        </w:rPr>
        <w:t>framework</w:t>
      </w:r>
      <w:r w:rsidRPr="00CF509E">
        <w:rPr>
          <w:rFonts w:ascii="Times New Roman" w:hAnsi="Times New Roman" w:cs="Times New Roman"/>
        </w:rPr>
        <w:t xml:space="preserve"> and related work. In 2022, a new indicator 17.3.1 on additional financial resources mobilized for developing countries from multiple sources was adopted and with it an initial framework for the measurement of South-South Corporation. Countries of the South need to undertake the required efforts and investments to measure South-South cooperation</w:t>
      </w:r>
      <w:r w:rsidR="001B3166" w:rsidRPr="00CF509E">
        <w:rPr>
          <w:rFonts w:ascii="Times New Roman" w:hAnsi="Times New Roman" w:cs="Times New Roman"/>
        </w:rPr>
        <w:t xml:space="preserve"> supported by the required capacity building efforts</w:t>
      </w:r>
      <w:r w:rsidR="00F216E2" w:rsidRPr="00CF509E">
        <w:rPr>
          <w:rFonts w:ascii="Times New Roman" w:hAnsi="Times New Roman" w:cs="Times New Roman"/>
        </w:rPr>
        <w:t xml:space="preserve">. The Statistical Commission may be requested to </w:t>
      </w:r>
      <w:r w:rsidR="0004751D" w:rsidRPr="00CF509E">
        <w:rPr>
          <w:rFonts w:ascii="Times New Roman" w:hAnsi="Times New Roman" w:cs="Times New Roman"/>
        </w:rPr>
        <w:t xml:space="preserve">regularly </w:t>
      </w:r>
      <w:r w:rsidR="00F216E2" w:rsidRPr="00CF509E">
        <w:rPr>
          <w:rFonts w:ascii="Times New Roman" w:hAnsi="Times New Roman" w:cs="Times New Roman"/>
        </w:rPr>
        <w:t>review the financing in support of data and statistics based on information provided by others.</w:t>
      </w:r>
    </w:p>
    <w:p w14:paraId="2248CE05" w14:textId="77777777" w:rsidR="00FE1D97" w:rsidRPr="00CF509E" w:rsidRDefault="00FE1D97" w:rsidP="00CF509E">
      <w:pPr>
        <w:spacing w:after="0"/>
        <w:jc w:val="both"/>
        <w:rPr>
          <w:rFonts w:ascii="Times New Roman" w:hAnsi="Times New Roman" w:cs="Times New Roman"/>
          <w:b/>
          <w:bCs/>
          <w:i/>
          <w:iCs/>
        </w:rPr>
      </w:pPr>
    </w:p>
    <w:p w14:paraId="033DE5A4" w14:textId="09308841" w:rsidR="5D948442" w:rsidRPr="00CF509E" w:rsidRDefault="00266FD7" w:rsidP="00CF509E">
      <w:pPr>
        <w:keepNext/>
        <w:keepLines/>
        <w:spacing w:after="0"/>
        <w:jc w:val="both"/>
        <w:rPr>
          <w:rFonts w:ascii="Times New Roman" w:hAnsi="Times New Roman" w:cs="Times New Roman"/>
          <w:b/>
          <w:bCs/>
          <w:i/>
          <w:iCs/>
        </w:rPr>
      </w:pPr>
      <w:r w:rsidRPr="00CF509E">
        <w:rPr>
          <w:rFonts w:ascii="Times New Roman" w:hAnsi="Times New Roman" w:cs="Times New Roman"/>
          <w:b/>
          <w:bCs/>
          <w:i/>
          <w:iCs/>
        </w:rPr>
        <w:lastRenderedPageBreak/>
        <w:t>h. Science, Technology, Innovation and Capacity-building</w:t>
      </w:r>
    </w:p>
    <w:p w14:paraId="0F15CAC5" w14:textId="33F88CF5" w:rsidR="5D948442" w:rsidRPr="00CF509E" w:rsidRDefault="5D948442" w:rsidP="00CF509E">
      <w:pPr>
        <w:keepNext/>
        <w:keepLines/>
        <w:spacing w:after="0"/>
        <w:jc w:val="both"/>
        <w:rPr>
          <w:rFonts w:ascii="Times New Roman" w:hAnsi="Times New Roman" w:cs="Times New Roman"/>
          <w:b/>
          <w:bCs/>
          <w:i/>
          <w:iCs/>
        </w:rPr>
      </w:pPr>
    </w:p>
    <w:p w14:paraId="49580659" w14:textId="07386A41" w:rsidR="00266FD7" w:rsidRPr="00CF509E" w:rsidRDefault="00266FD7" w:rsidP="00CF509E">
      <w:pPr>
        <w:keepNext/>
        <w:keepLines/>
        <w:spacing w:after="0"/>
        <w:jc w:val="both"/>
        <w:rPr>
          <w:rFonts w:ascii="Times New Roman" w:hAnsi="Times New Roman" w:cs="Times New Roman"/>
        </w:rPr>
      </w:pPr>
      <w:r w:rsidRPr="00CF509E">
        <w:rPr>
          <w:rFonts w:ascii="Times New Roman" w:hAnsi="Times New Roman" w:cs="Times New Roman"/>
          <w:b/>
          <w:bCs/>
          <w:i/>
          <w:iCs/>
        </w:rPr>
        <w:t>Innovation and modernization of national data and statistical systems can deliver more efficient, rapid and reliable resilient information and enable better decision-making during and after shocks</w:t>
      </w:r>
      <w:r w:rsidRPr="00CF509E">
        <w:rPr>
          <w:rFonts w:ascii="Times New Roman" w:hAnsi="Times New Roman" w:cs="Times New Roman"/>
        </w:rPr>
        <w:t xml:space="preserve">. For example, data can enhance the planning, design and maintenance of resilient infrastructure by supporting more accurate projections of population growth, urbanization and climate change impacts. The Internet of Things helps to collect, communicate and process real-time data, generating faster warnings and enabling more rapid emergency and policy responses. Mobile phone-based communication and alert systems help to enhance risk-informed communication, which improves the accuracy and timeliness of disaster risk information and has increased community participation in disaster risk reduction. AI allows machines to learn and accumulate experience. This can help to automate the process of improving data collection and processing. For example, drones for remote automated collection of videos and photographs can use AI algorithms to instantaneously interpret the condition of infrastructure, enabling more accurate real-time assessment of hazardous conditions. </w:t>
      </w:r>
    </w:p>
    <w:p w14:paraId="0924825E" w14:textId="77777777" w:rsidR="00266FD7" w:rsidRPr="00CF509E" w:rsidRDefault="00266FD7" w:rsidP="00CF509E">
      <w:pPr>
        <w:spacing w:after="0"/>
        <w:jc w:val="both"/>
        <w:rPr>
          <w:rFonts w:ascii="Times New Roman" w:hAnsi="Times New Roman" w:cs="Times New Roman"/>
          <w:b/>
          <w:bCs/>
        </w:rPr>
      </w:pPr>
    </w:p>
    <w:p w14:paraId="7C51DE9A" w14:textId="72863915" w:rsidR="00FC5D36" w:rsidRPr="00CF509E" w:rsidRDefault="00D4037C" w:rsidP="00CF509E">
      <w:pPr>
        <w:spacing w:after="0"/>
        <w:jc w:val="both"/>
        <w:rPr>
          <w:rFonts w:ascii="Times New Roman" w:hAnsi="Times New Roman" w:cs="Times New Roman"/>
          <w:b/>
          <w:bCs/>
          <w:i/>
          <w:iCs/>
        </w:rPr>
      </w:pPr>
      <w:r w:rsidRPr="00CF509E">
        <w:rPr>
          <w:rFonts w:ascii="Times New Roman" w:hAnsi="Times New Roman" w:cs="Times New Roman"/>
          <w:b/>
          <w:bCs/>
          <w:i/>
          <w:iCs/>
        </w:rPr>
        <w:t>IV. Data, monitoring and follow-up</w:t>
      </w:r>
    </w:p>
    <w:p w14:paraId="15E005ED" w14:textId="77777777" w:rsidR="00BF6006" w:rsidRPr="00CF509E" w:rsidRDefault="00BF6006" w:rsidP="00CF509E">
      <w:pPr>
        <w:spacing w:after="0"/>
        <w:jc w:val="both"/>
        <w:rPr>
          <w:rFonts w:ascii="Times New Roman" w:hAnsi="Times New Roman" w:cs="Times New Roman"/>
          <w:b/>
          <w:bCs/>
          <w:i/>
          <w:iCs/>
        </w:rPr>
      </w:pPr>
    </w:p>
    <w:p w14:paraId="3EEBAA78" w14:textId="0D58AA61" w:rsidR="00266FD7" w:rsidRPr="00CF509E" w:rsidRDefault="00113F64" w:rsidP="00CF509E">
      <w:pPr>
        <w:spacing w:after="0"/>
        <w:jc w:val="both"/>
        <w:rPr>
          <w:rFonts w:ascii="Times New Roman" w:hAnsi="Times New Roman" w:cs="Times New Roman"/>
        </w:rPr>
      </w:pPr>
      <w:r w:rsidRPr="00CF509E">
        <w:rPr>
          <w:rFonts w:ascii="Times New Roman" w:hAnsi="Times New Roman" w:cs="Times New Roman"/>
          <w:b/>
          <w:bCs/>
          <w:i/>
          <w:iCs/>
        </w:rPr>
        <w:t xml:space="preserve">Financing for sustainable development must include financing for the essential statistical infrastructure required for informed decision-making. </w:t>
      </w:r>
      <w:r w:rsidR="00266FD7" w:rsidRPr="00CF509E">
        <w:rPr>
          <w:rFonts w:ascii="Times New Roman" w:hAnsi="Times New Roman" w:cs="Times New Roman"/>
          <w:b/>
          <w:bCs/>
          <w:i/>
          <w:iCs/>
        </w:rPr>
        <w:t>S</w:t>
      </w:r>
      <w:r w:rsidR="00DF5AFC" w:rsidRPr="00CF509E">
        <w:rPr>
          <w:rFonts w:ascii="Times New Roman" w:hAnsi="Times New Roman" w:cs="Times New Roman"/>
          <w:b/>
          <w:bCs/>
          <w:i/>
          <w:iCs/>
        </w:rPr>
        <w:t xml:space="preserve">tatistics </w:t>
      </w:r>
      <w:r w:rsidR="00266FD7" w:rsidRPr="00CF509E">
        <w:rPr>
          <w:rFonts w:ascii="Times New Roman" w:hAnsi="Times New Roman" w:cs="Times New Roman"/>
          <w:b/>
          <w:bCs/>
          <w:i/>
          <w:iCs/>
        </w:rPr>
        <w:t xml:space="preserve">and </w:t>
      </w:r>
      <w:r w:rsidR="00D8150A" w:rsidRPr="00CF509E">
        <w:rPr>
          <w:rFonts w:ascii="Times New Roman" w:hAnsi="Times New Roman" w:cs="Times New Roman"/>
          <w:b/>
          <w:bCs/>
          <w:i/>
          <w:iCs/>
        </w:rPr>
        <w:t>d</w:t>
      </w:r>
      <w:r w:rsidR="00266FD7" w:rsidRPr="00CF509E">
        <w:rPr>
          <w:rFonts w:ascii="Times New Roman" w:hAnsi="Times New Roman" w:cs="Times New Roman"/>
          <w:b/>
          <w:bCs/>
          <w:i/>
          <w:iCs/>
        </w:rPr>
        <w:t xml:space="preserve">ata </w:t>
      </w:r>
      <w:r w:rsidR="00DF5AFC" w:rsidRPr="00CF509E">
        <w:rPr>
          <w:rFonts w:ascii="Times New Roman" w:hAnsi="Times New Roman" w:cs="Times New Roman"/>
          <w:b/>
          <w:bCs/>
          <w:i/>
          <w:iCs/>
        </w:rPr>
        <w:t xml:space="preserve">should be </w:t>
      </w:r>
      <w:r w:rsidR="00DE1E9D" w:rsidRPr="00CF509E">
        <w:rPr>
          <w:rFonts w:ascii="Times New Roman" w:hAnsi="Times New Roman" w:cs="Times New Roman"/>
          <w:b/>
          <w:bCs/>
          <w:i/>
          <w:iCs/>
        </w:rPr>
        <w:t xml:space="preserve">included as </w:t>
      </w:r>
      <w:r w:rsidR="00DF5AFC" w:rsidRPr="00CF509E">
        <w:rPr>
          <w:rFonts w:ascii="Times New Roman" w:hAnsi="Times New Roman" w:cs="Times New Roman"/>
          <w:b/>
          <w:bCs/>
          <w:i/>
          <w:iCs/>
        </w:rPr>
        <w:t xml:space="preserve">a line-item </w:t>
      </w:r>
      <w:r w:rsidR="001B3166" w:rsidRPr="00CF509E">
        <w:rPr>
          <w:rFonts w:ascii="Times New Roman" w:hAnsi="Times New Roman" w:cs="Times New Roman"/>
          <w:b/>
          <w:bCs/>
          <w:i/>
          <w:iCs/>
        </w:rPr>
        <w:t xml:space="preserve">for financing of sustainable development and </w:t>
      </w:r>
      <w:r w:rsidR="0004751D" w:rsidRPr="00CF509E">
        <w:rPr>
          <w:rFonts w:ascii="Times New Roman" w:hAnsi="Times New Roman" w:cs="Times New Roman"/>
          <w:b/>
          <w:bCs/>
          <w:i/>
          <w:iCs/>
        </w:rPr>
        <w:t>supported by</w:t>
      </w:r>
      <w:r w:rsidR="001B3166" w:rsidRPr="00CF509E">
        <w:rPr>
          <w:rFonts w:ascii="Times New Roman" w:hAnsi="Times New Roman" w:cs="Times New Roman"/>
          <w:b/>
          <w:bCs/>
          <w:i/>
          <w:iCs/>
        </w:rPr>
        <w:t xml:space="preserve"> commitments from governments, development finance institutions, bilateral donors, and international organizations to allocate dedicated funds for building and maintaining</w:t>
      </w:r>
      <w:r w:rsidR="0004751D" w:rsidRPr="00CF509E">
        <w:rPr>
          <w:rFonts w:ascii="Times New Roman" w:hAnsi="Times New Roman" w:cs="Times New Roman"/>
          <w:b/>
          <w:bCs/>
          <w:i/>
          <w:iCs/>
        </w:rPr>
        <w:t xml:space="preserve"> a</w:t>
      </w:r>
      <w:r w:rsidR="001B3166" w:rsidRPr="00CF509E">
        <w:rPr>
          <w:rFonts w:ascii="Times New Roman" w:hAnsi="Times New Roman" w:cs="Times New Roman"/>
          <w:b/>
          <w:bCs/>
          <w:i/>
          <w:iCs/>
        </w:rPr>
        <w:t xml:space="preserve"> robust data and statistical infrastructure</w:t>
      </w:r>
      <w:r w:rsidR="00DF5AFC" w:rsidRPr="00CF509E">
        <w:rPr>
          <w:rFonts w:ascii="Times New Roman" w:hAnsi="Times New Roman" w:cs="Times New Roman"/>
          <w:b/>
          <w:bCs/>
          <w:i/>
          <w:iCs/>
        </w:rPr>
        <w:t>.</w:t>
      </w:r>
      <w:r w:rsidR="002364CA" w:rsidRPr="00CF509E">
        <w:rPr>
          <w:rFonts w:ascii="Times New Roman" w:hAnsi="Times New Roman" w:cs="Times New Roman"/>
        </w:rPr>
        <w:t xml:space="preserve"> </w:t>
      </w:r>
    </w:p>
    <w:p w14:paraId="498CAED3" w14:textId="77777777" w:rsidR="00F170DC" w:rsidRPr="00CF509E" w:rsidRDefault="00F170DC" w:rsidP="00CF509E">
      <w:pPr>
        <w:spacing w:after="0"/>
        <w:jc w:val="both"/>
        <w:rPr>
          <w:rFonts w:ascii="Times New Roman" w:hAnsi="Times New Roman" w:cs="Times New Roman"/>
        </w:rPr>
      </w:pPr>
    </w:p>
    <w:p w14:paraId="7D92244D" w14:textId="1D8CFDBE" w:rsidR="006A06D1" w:rsidRPr="00CF509E" w:rsidRDefault="003D0D9F" w:rsidP="00CF509E">
      <w:pPr>
        <w:spacing w:after="0"/>
        <w:jc w:val="both"/>
        <w:rPr>
          <w:rFonts w:ascii="Times New Roman" w:hAnsi="Times New Roman" w:cs="Times New Roman"/>
        </w:rPr>
      </w:pPr>
      <w:r w:rsidRPr="00CF509E">
        <w:rPr>
          <w:rFonts w:ascii="Times New Roman" w:hAnsi="Times New Roman" w:cs="Times New Roman"/>
        </w:rPr>
        <w:t xml:space="preserve">Population and housing censuses, civil registration-vital statistics systems and other administrative records, household and business surveys, </w:t>
      </w:r>
      <w:r w:rsidR="00B56AA6" w:rsidRPr="00CF509E">
        <w:rPr>
          <w:rFonts w:ascii="Times New Roman" w:hAnsi="Times New Roman" w:cs="Times New Roman"/>
        </w:rPr>
        <w:t>economic statistics</w:t>
      </w:r>
      <w:r w:rsidR="00C649D9" w:rsidRPr="00CF509E">
        <w:rPr>
          <w:rFonts w:ascii="Times New Roman" w:hAnsi="Times New Roman" w:cs="Times New Roman"/>
        </w:rPr>
        <w:t>,</w:t>
      </w:r>
      <w:r w:rsidR="00B56AA6" w:rsidRPr="00CF509E">
        <w:rPr>
          <w:rFonts w:ascii="Times New Roman" w:hAnsi="Times New Roman" w:cs="Times New Roman"/>
        </w:rPr>
        <w:t xml:space="preserve"> including GDP, environmental statistics including </w:t>
      </w:r>
      <w:r w:rsidR="00C649D9" w:rsidRPr="00CF509E">
        <w:rPr>
          <w:rFonts w:ascii="Times New Roman" w:hAnsi="Times New Roman" w:cs="Times New Roman"/>
        </w:rPr>
        <w:t xml:space="preserve">indicators on </w:t>
      </w:r>
      <w:r w:rsidR="00B56AA6" w:rsidRPr="00CF509E">
        <w:rPr>
          <w:rFonts w:ascii="Times New Roman" w:hAnsi="Times New Roman" w:cs="Times New Roman"/>
        </w:rPr>
        <w:t xml:space="preserve">climate change </w:t>
      </w:r>
      <w:r w:rsidR="00C649D9" w:rsidRPr="00CF509E">
        <w:rPr>
          <w:rFonts w:ascii="Times New Roman" w:hAnsi="Times New Roman" w:cs="Times New Roman"/>
        </w:rPr>
        <w:t xml:space="preserve">and biodiversity </w:t>
      </w:r>
      <w:r w:rsidR="00B56AA6" w:rsidRPr="00CF509E">
        <w:rPr>
          <w:rFonts w:ascii="Times New Roman" w:hAnsi="Times New Roman" w:cs="Times New Roman"/>
        </w:rPr>
        <w:t xml:space="preserve">constitute the basic statistical infrastructure that inform policy makers, citizens and businesses </w:t>
      </w:r>
      <w:r w:rsidR="006B56CB" w:rsidRPr="00CF509E">
        <w:rPr>
          <w:rFonts w:ascii="Times New Roman" w:hAnsi="Times New Roman" w:cs="Times New Roman"/>
        </w:rPr>
        <w:t>in their daily decision making</w:t>
      </w:r>
      <w:r w:rsidR="00FE1D97" w:rsidRPr="00CF509E">
        <w:rPr>
          <w:rFonts w:ascii="Times New Roman" w:hAnsi="Times New Roman" w:cs="Times New Roman"/>
        </w:rPr>
        <w:t>:</w:t>
      </w:r>
      <w:r w:rsidR="006B56CB" w:rsidRPr="00CF509E">
        <w:rPr>
          <w:rFonts w:ascii="Times New Roman" w:hAnsi="Times New Roman" w:cs="Times New Roman"/>
        </w:rPr>
        <w:t xml:space="preserve"> Statistical data is required for </w:t>
      </w:r>
      <w:r w:rsidR="006F439E" w:rsidRPr="00CF509E">
        <w:rPr>
          <w:rFonts w:ascii="Times New Roman" w:hAnsi="Times New Roman" w:cs="Times New Roman"/>
        </w:rPr>
        <w:t xml:space="preserve">the </w:t>
      </w:r>
      <w:r w:rsidR="006B56CB" w:rsidRPr="00CF509E">
        <w:rPr>
          <w:rFonts w:ascii="Times New Roman" w:hAnsi="Times New Roman" w:cs="Times New Roman"/>
        </w:rPr>
        <w:t>planning, executi</w:t>
      </w:r>
      <w:r w:rsidR="006A06D1" w:rsidRPr="00CF509E">
        <w:rPr>
          <w:rFonts w:ascii="Times New Roman" w:hAnsi="Times New Roman" w:cs="Times New Roman"/>
        </w:rPr>
        <w:t>on, monitoring and evaluation</w:t>
      </w:r>
      <w:r w:rsidR="004F7985" w:rsidRPr="00CF509E">
        <w:rPr>
          <w:rFonts w:ascii="Times New Roman" w:hAnsi="Times New Roman" w:cs="Times New Roman"/>
        </w:rPr>
        <w:t xml:space="preserve"> </w:t>
      </w:r>
      <w:r w:rsidR="006F439E" w:rsidRPr="00CF509E">
        <w:rPr>
          <w:rFonts w:ascii="Times New Roman" w:hAnsi="Times New Roman" w:cs="Times New Roman"/>
        </w:rPr>
        <w:t xml:space="preserve">of the necessary policy decisions </w:t>
      </w:r>
      <w:r w:rsidR="005A6BE1" w:rsidRPr="00CF509E">
        <w:rPr>
          <w:rFonts w:ascii="Times New Roman" w:hAnsi="Times New Roman" w:cs="Times New Roman"/>
        </w:rPr>
        <w:t>for achieving the SDGs and leaving no one behind</w:t>
      </w:r>
      <w:r w:rsidR="006A06D1" w:rsidRPr="00CF509E">
        <w:rPr>
          <w:rFonts w:ascii="Times New Roman" w:hAnsi="Times New Roman" w:cs="Times New Roman"/>
        </w:rPr>
        <w:t xml:space="preserve">. Statistical data is </w:t>
      </w:r>
      <w:r w:rsidR="00792A64" w:rsidRPr="00CF509E">
        <w:rPr>
          <w:rFonts w:ascii="Times New Roman" w:hAnsi="Times New Roman" w:cs="Times New Roman"/>
        </w:rPr>
        <w:t>also essential</w:t>
      </w:r>
      <w:r w:rsidR="006A06D1" w:rsidRPr="00CF509E">
        <w:rPr>
          <w:rFonts w:ascii="Times New Roman" w:hAnsi="Times New Roman" w:cs="Times New Roman"/>
        </w:rPr>
        <w:t xml:space="preserve"> </w:t>
      </w:r>
      <w:r w:rsidR="000E2487" w:rsidRPr="00CF509E">
        <w:rPr>
          <w:rFonts w:ascii="Times New Roman" w:hAnsi="Times New Roman" w:cs="Times New Roman"/>
        </w:rPr>
        <w:t xml:space="preserve">for </w:t>
      </w:r>
      <w:r w:rsidR="006A06D1" w:rsidRPr="00CF509E">
        <w:rPr>
          <w:rFonts w:ascii="Times New Roman" w:hAnsi="Times New Roman" w:cs="Times New Roman"/>
        </w:rPr>
        <w:t>the economic planning and decisions of households</w:t>
      </w:r>
      <w:r w:rsidR="00B23E21" w:rsidRPr="00CF509E">
        <w:rPr>
          <w:rFonts w:ascii="Times New Roman" w:hAnsi="Times New Roman" w:cs="Times New Roman"/>
        </w:rPr>
        <w:t xml:space="preserve"> and business</w:t>
      </w:r>
      <w:r w:rsidR="00792A64" w:rsidRPr="00CF509E">
        <w:rPr>
          <w:rFonts w:ascii="Times New Roman" w:hAnsi="Times New Roman" w:cs="Times New Roman"/>
        </w:rPr>
        <w:t>es</w:t>
      </w:r>
      <w:r w:rsidR="00B23E21" w:rsidRPr="00CF509E">
        <w:rPr>
          <w:rFonts w:ascii="Times New Roman" w:hAnsi="Times New Roman" w:cs="Times New Roman"/>
        </w:rPr>
        <w:t xml:space="preserve"> </w:t>
      </w:r>
      <w:r w:rsidR="000E2487" w:rsidRPr="00CF509E">
        <w:rPr>
          <w:rFonts w:ascii="Times New Roman" w:hAnsi="Times New Roman" w:cs="Times New Roman"/>
        </w:rPr>
        <w:t xml:space="preserve">hereby driving </w:t>
      </w:r>
      <w:r w:rsidR="00B23B12" w:rsidRPr="00CF509E">
        <w:rPr>
          <w:rFonts w:ascii="Times New Roman" w:hAnsi="Times New Roman" w:cs="Times New Roman"/>
        </w:rPr>
        <w:t xml:space="preserve">well-being and </w:t>
      </w:r>
      <w:r w:rsidR="00E44E71" w:rsidRPr="00CF509E">
        <w:rPr>
          <w:rFonts w:ascii="Times New Roman" w:hAnsi="Times New Roman" w:cs="Times New Roman"/>
        </w:rPr>
        <w:t xml:space="preserve">private sector </w:t>
      </w:r>
      <w:r w:rsidR="00B23B12" w:rsidRPr="00CF509E">
        <w:rPr>
          <w:rFonts w:ascii="Times New Roman" w:hAnsi="Times New Roman" w:cs="Times New Roman"/>
        </w:rPr>
        <w:t>development</w:t>
      </w:r>
      <w:r w:rsidR="006A06D1" w:rsidRPr="00CF509E">
        <w:rPr>
          <w:rFonts w:ascii="Times New Roman" w:hAnsi="Times New Roman" w:cs="Times New Roman"/>
        </w:rPr>
        <w:t xml:space="preserve">. </w:t>
      </w:r>
      <w:r w:rsidR="00364E69" w:rsidRPr="00CF509E">
        <w:rPr>
          <w:rFonts w:ascii="Times New Roman" w:hAnsi="Times New Roman" w:cs="Times New Roman"/>
        </w:rPr>
        <w:t>Trusted s</w:t>
      </w:r>
      <w:r w:rsidR="006A06D1" w:rsidRPr="00CF509E">
        <w:rPr>
          <w:rFonts w:ascii="Times New Roman" w:hAnsi="Times New Roman" w:cs="Times New Roman"/>
        </w:rPr>
        <w:t>tatistical data is a key enabler for sustainable development</w:t>
      </w:r>
      <w:r w:rsidR="00FE1D97" w:rsidRPr="00CF509E">
        <w:rPr>
          <w:rFonts w:ascii="Times New Roman" w:hAnsi="Times New Roman" w:cs="Times New Roman"/>
        </w:rPr>
        <w:t xml:space="preserve"> </w:t>
      </w:r>
      <w:r w:rsidR="00364E69" w:rsidRPr="00CF509E">
        <w:rPr>
          <w:rFonts w:ascii="Times New Roman" w:hAnsi="Times New Roman" w:cs="Times New Roman"/>
        </w:rPr>
        <w:t xml:space="preserve">during these times of </w:t>
      </w:r>
      <w:r w:rsidR="0080769C" w:rsidRPr="00CF509E">
        <w:rPr>
          <w:rFonts w:ascii="Times New Roman" w:hAnsi="Times New Roman" w:cs="Times New Roman"/>
        </w:rPr>
        <w:t xml:space="preserve">crisis and </w:t>
      </w:r>
      <w:r w:rsidR="00364E69" w:rsidRPr="00CF509E">
        <w:rPr>
          <w:rFonts w:ascii="Times New Roman" w:hAnsi="Times New Roman" w:cs="Times New Roman"/>
        </w:rPr>
        <w:t>widespread misinformation</w:t>
      </w:r>
      <w:r w:rsidR="004F2541" w:rsidRPr="00CF509E">
        <w:rPr>
          <w:rFonts w:ascii="Times New Roman" w:hAnsi="Times New Roman" w:cs="Times New Roman"/>
        </w:rPr>
        <w:t xml:space="preserve">. </w:t>
      </w:r>
      <w:r w:rsidR="00B461B6" w:rsidRPr="00CF509E">
        <w:rPr>
          <w:rFonts w:ascii="Times New Roman" w:hAnsi="Times New Roman" w:cs="Times New Roman"/>
        </w:rPr>
        <w:t>N</w:t>
      </w:r>
      <w:r w:rsidR="006A06D1" w:rsidRPr="00CF509E">
        <w:rPr>
          <w:rFonts w:ascii="Times New Roman" w:hAnsi="Times New Roman" w:cs="Times New Roman"/>
        </w:rPr>
        <w:t xml:space="preserve">ational statistical systems </w:t>
      </w:r>
      <w:r w:rsidR="002F3C8B" w:rsidRPr="00CF509E">
        <w:rPr>
          <w:rFonts w:ascii="Times New Roman" w:hAnsi="Times New Roman" w:cs="Times New Roman"/>
        </w:rPr>
        <w:t xml:space="preserve">(NSSs) </w:t>
      </w:r>
      <w:r w:rsidR="0080769C" w:rsidRPr="00CF509E">
        <w:rPr>
          <w:rFonts w:ascii="Times New Roman" w:hAnsi="Times New Roman" w:cs="Times New Roman"/>
        </w:rPr>
        <w:t xml:space="preserve">and national statistical offices </w:t>
      </w:r>
      <w:r w:rsidR="002F3C8B" w:rsidRPr="00CF509E">
        <w:rPr>
          <w:rFonts w:ascii="Times New Roman" w:hAnsi="Times New Roman" w:cs="Times New Roman"/>
        </w:rPr>
        <w:t xml:space="preserve">(NSOs) </w:t>
      </w:r>
      <w:r w:rsidR="0080769C" w:rsidRPr="00CF509E">
        <w:rPr>
          <w:rFonts w:ascii="Times New Roman" w:hAnsi="Times New Roman" w:cs="Times New Roman"/>
        </w:rPr>
        <w:t xml:space="preserve">as its coordinator </w:t>
      </w:r>
      <w:r w:rsidR="00D8150A" w:rsidRPr="00CF509E">
        <w:rPr>
          <w:rFonts w:ascii="Times New Roman" w:hAnsi="Times New Roman" w:cs="Times New Roman"/>
        </w:rPr>
        <w:t xml:space="preserve">must be funded </w:t>
      </w:r>
      <w:r w:rsidR="006A06D1" w:rsidRPr="00CF509E">
        <w:rPr>
          <w:rFonts w:ascii="Times New Roman" w:hAnsi="Times New Roman" w:cs="Times New Roman"/>
        </w:rPr>
        <w:t xml:space="preserve">from domestic </w:t>
      </w:r>
      <w:r w:rsidR="0081393C" w:rsidRPr="00CF509E">
        <w:rPr>
          <w:rFonts w:ascii="Times New Roman" w:hAnsi="Times New Roman" w:cs="Times New Roman"/>
        </w:rPr>
        <w:t xml:space="preserve">and other </w:t>
      </w:r>
      <w:r w:rsidR="006A06D1" w:rsidRPr="00CF509E">
        <w:rPr>
          <w:rFonts w:ascii="Times New Roman" w:hAnsi="Times New Roman" w:cs="Times New Roman"/>
        </w:rPr>
        <w:t xml:space="preserve">sources to provide </w:t>
      </w:r>
      <w:r w:rsidR="00BF6006" w:rsidRPr="00CF509E">
        <w:rPr>
          <w:rFonts w:ascii="Times New Roman" w:hAnsi="Times New Roman" w:cs="Times New Roman"/>
        </w:rPr>
        <w:t>essential</w:t>
      </w:r>
      <w:r w:rsidR="000902AE" w:rsidRPr="00CF509E">
        <w:rPr>
          <w:rFonts w:ascii="Times New Roman" w:hAnsi="Times New Roman" w:cs="Times New Roman"/>
        </w:rPr>
        <w:t xml:space="preserve"> information </w:t>
      </w:r>
      <w:r w:rsidR="00216E82" w:rsidRPr="00CF509E">
        <w:rPr>
          <w:rFonts w:ascii="Times New Roman" w:hAnsi="Times New Roman" w:cs="Times New Roman"/>
        </w:rPr>
        <w:t>about the social, economic and environmental situation in countries</w:t>
      </w:r>
      <w:r w:rsidR="00C649D9" w:rsidRPr="00CF509E">
        <w:rPr>
          <w:rFonts w:ascii="Times New Roman" w:hAnsi="Times New Roman" w:cs="Times New Roman"/>
        </w:rPr>
        <w:t>.</w:t>
      </w:r>
      <w:r w:rsidR="002F3C8B" w:rsidRPr="00CF509E">
        <w:rPr>
          <w:rFonts w:ascii="Times New Roman" w:hAnsi="Times New Roman" w:cs="Times New Roman"/>
        </w:rPr>
        <w:t xml:space="preserve"> NSOs must be empowered to lead the NSSs in leveraging innovative data sources and methods to modernize statistical processes.</w:t>
      </w:r>
    </w:p>
    <w:p w14:paraId="331B1936" w14:textId="77777777" w:rsidR="00E368D3" w:rsidRPr="00CF509E" w:rsidRDefault="00E368D3" w:rsidP="00CF509E">
      <w:pPr>
        <w:spacing w:after="0"/>
        <w:jc w:val="both"/>
        <w:rPr>
          <w:rFonts w:ascii="Times New Roman" w:hAnsi="Times New Roman" w:cs="Times New Roman"/>
        </w:rPr>
      </w:pPr>
    </w:p>
    <w:p w14:paraId="503CFF9C" w14:textId="77777777" w:rsidR="00266FD7" w:rsidRPr="00CF509E" w:rsidRDefault="00172A65" w:rsidP="00CF509E">
      <w:pPr>
        <w:spacing w:after="0"/>
        <w:jc w:val="both"/>
        <w:rPr>
          <w:rFonts w:ascii="Times New Roman" w:hAnsi="Times New Roman" w:cs="Times New Roman"/>
        </w:rPr>
      </w:pPr>
      <w:r w:rsidRPr="00CF509E">
        <w:rPr>
          <w:rFonts w:ascii="Times New Roman" w:hAnsi="Times New Roman" w:cs="Times New Roman"/>
          <w:b/>
          <w:bCs/>
          <w:i/>
          <w:iCs/>
        </w:rPr>
        <w:lastRenderedPageBreak/>
        <w:t xml:space="preserve">There should be major </w:t>
      </w:r>
      <w:r w:rsidR="0004751D" w:rsidRPr="00CF509E">
        <w:rPr>
          <w:rFonts w:ascii="Times New Roman" w:hAnsi="Times New Roman" w:cs="Times New Roman"/>
          <w:b/>
          <w:bCs/>
          <w:i/>
          <w:iCs/>
        </w:rPr>
        <w:t xml:space="preserve">long-term </w:t>
      </w:r>
      <w:r w:rsidR="000E0D21" w:rsidRPr="00CF509E">
        <w:rPr>
          <w:rFonts w:ascii="Times New Roman" w:hAnsi="Times New Roman" w:cs="Times New Roman"/>
          <w:b/>
          <w:bCs/>
          <w:i/>
          <w:iCs/>
        </w:rPr>
        <w:t>i</w:t>
      </w:r>
      <w:r w:rsidR="00FD7B7E" w:rsidRPr="00CF509E">
        <w:rPr>
          <w:rFonts w:ascii="Times New Roman" w:hAnsi="Times New Roman" w:cs="Times New Roman"/>
          <w:b/>
          <w:bCs/>
          <w:i/>
          <w:iCs/>
        </w:rPr>
        <w:t>nvestment</w:t>
      </w:r>
      <w:r w:rsidRPr="00CF509E">
        <w:rPr>
          <w:rFonts w:ascii="Times New Roman" w:hAnsi="Times New Roman" w:cs="Times New Roman"/>
          <w:b/>
          <w:bCs/>
          <w:i/>
          <w:iCs/>
        </w:rPr>
        <w:t>s</w:t>
      </w:r>
      <w:r w:rsidR="00FD7B7E" w:rsidRPr="00CF509E">
        <w:rPr>
          <w:rFonts w:ascii="Times New Roman" w:hAnsi="Times New Roman" w:cs="Times New Roman"/>
          <w:b/>
          <w:bCs/>
          <w:i/>
          <w:iCs/>
        </w:rPr>
        <w:t xml:space="preserve"> </w:t>
      </w:r>
      <w:r w:rsidR="002B24D8" w:rsidRPr="00CF509E">
        <w:rPr>
          <w:rFonts w:ascii="Times New Roman" w:hAnsi="Times New Roman" w:cs="Times New Roman"/>
          <w:b/>
          <w:bCs/>
          <w:i/>
          <w:iCs/>
        </w:rPr>
        <w:t>into</w:t>
      </w:r>
      <w:r w:rsidR="00920324" w:rsidRPr="00CF509E">
        <w:rPr>
          <w:rFonts w:ascii="Times New Roman" w:hAnsi="Times New Roman" w:cs="Times New Roman"/>
          <w:b/>
          <w:bCs/>
          <w:i/>
          <w:iCs/>
        </w:rPr>
        <w:t xml:space="preserve"> the modernization </w:t>
      </w:r>
      <w:r w:rsidR="00C13803" w:rsidRPr="00CF509E">
        <w:rPr>
          <w:rFonts w:ascii="Times New Roman" w:hAnsi="Times New Roman" w:cs="Times New Roman"/>
          <w:b/>
          <w:bCs/>
          <w:i/>
          <w:iCs/>
        </w:rPr>
        <w:t xml:space="preserve">and transformation </w:t>
      </w:r>
      <w:r w:rsidR="00920324" w:rsidRPr="00CF509E">
        <w:rPr>
          <w:rFonts w:ascii="Times New Roman" w:hAnsi="Times New Roman" w:cs="Times New Roman"/>
          <w:b/>
          <w:bCs/>
          <w:i/>
          <w:iCs/>
        </w:rPr>
        <w:t xml:space="preserve">of </w:t>
      </w:r>
      <w:r w:rsidR="007B5704" w:rsidRPr="00CF509E">
        <w:rPr>
          <w:rFonts w:ascii="Times New Roman" w:hAnsi="Times New Roman" w:cs="Times New Roman"/>
          <w:b/>
          <w:bCs/>
          <w:i/>
          <w:iCs/>
        </w:rPr>
        <w:t>statistical and d</w:t>
      </w:r>
      <w:r w:rsidR="00A37F94" w:rsidRPr="00CF509E">
        <w:rPr>
          <w:rFonts w:ascii="Times New Roman" w:hAnsi="Times New Roman" w:cs="Times New Roman"/>
          <w:b/>
          <w:bCs/>
          <w:i/>
          <w:iCs/>
        </w:rPr>
        <w:t>ata</w:t>
      </w:r>
      <w:r w:rsidR="007B5704" w:rsidRPr="00CF509E">
        <w:rPr>
          <w:rFonts w:ascii="Times New Roman" w:hAnsi="Times New Roman" w:cs="Times New Roman"/>
          <w:b/>
          <w:bCs/>
          <w:i/>
          <w:iCs/>
        </w:rPr>
        <w:t xml:space="preserve"> systems</w:t>
      </w:r>
      <w:r w:rsidR="000E0D21" w:rsidRPr="00CF509E">
        <w:rPr>
          <w:rFonts w:ascii="Times New Roman" w:hAnsi="Times New Roman" w:cs="Times New Roman"/>
          <w:b/>
          <w:bCs/>
          <w:i/>
          <w:iCs/>
        </w:rPr>
        <w:t xml:space="preserve"> </w:t>
      </w:r>
      <w:r w:rsidR="0080769C" w:rsidRPr="00CF509E">
        <w:rPr>
          <w:rFonts w:ascii="Times New Roman" w:hAnsi="Times New Roman" w:cs="Times New Roman"/>
          <w:b/>
          <w:bCs/>
          <w:i/>
          <w:iCs/>
        </w:rPr>
        <w:t xml:space="preserve">including its digital infrastructure </w:t>
      </w:r>
      <w:r w:rsidR="000E0D21" w:rsidRPr="00CF509E">
        <w:rPr>
          <w:rFonts w:ascii="Times New Roman" w:hAnsi="Times New Roman" w:cs="Times New Roman"/>
          <w:b/>
          <w:bCs/>
          <w:i/>
          <w:iCs/>
        </w:rPr>
        <w:t>to harness the power of data</w:t>
      </w:r>
      <w:r w:rsidR="00C13803" w:rsidRPr="00CF509E">
        <w:rPr>
          <w:rFonts w:ascii="Times New Roman" w:hAnsi="Times New Roman" w:cs="Times New Roman"/>
          <w:b/>
          <w:bCs/>
          <w:i/>
          <w:iCs/>
        </w:rPr>
        <w:t xml:space="preserve">. </w:t>
      </w:r>
      <w:r w:rsidR="00364E69" w:rsidRPr="00CF509E">
        <w:rPr>
          <w:rFonts w:ascii="Times New Roman" w:hAnsi="Times New Roman" w:cs="Times New Roman"/>
          <w:b/>
          <w:bCs/>
          <w:i/>
          <w:iCs/>
        </w:rPr>
        <w:t>Parallel and uncoordinated efforts and structures must be avoided</w:t>
      </w:r>
      <w:r w:rsidR="007B5704" w:rsidRPr="00CF509E">
        <w:rPr>
          <w:rFonts w:ascii="Times New Roman" w:hAnsi="Times New Roman" w:cs="Times New Roman"/>
        </w:rPr>
        <w:t xml:space="preserve">. </w:t>
      </w:r>
    </w:p>
    <w:p w14:paraId="496CBAB0" w14:textId="77777777" w:rsidR="00851E20" w:rsidRPr="00CF509E" w:rsidRDefault="00851E20" w:rsidP="00CF509E">
      <w:pPr>
        <w:spacing w:after="0"/>
        <w:jc w:val="both"/>
        <w:rPr>
          <w:rFonts w:ascii="Times New Roman" w:hAnsi="Times New Roman" w:cs="Times New Roman"/>
        </w:rPr>
      </w:pPr>
    </w:p>
    <w:p w14:paraId="08C578D4" w14:textId="736C2E07" w:rsidR="00B56AA6" w:rsidRPr="00CF509E" w:rsidRDefault="00172A65" w:rsidP="00CF509E">
      <w:pPr>
        <w:spacing w:after="0"/>
        <w:jc w:val="both"/>
        <w:rPr>
          <w:rFonts w:ascii="Times New Roman" w:hAnsi="Times New Roman" w:cs="Times New Roman"/>
        </w:rPr>
      </w:pPr>
      <w:r w:rsidRPr="00CF509E">
        <w:rPr>
          <w:rFonts w:ascii="Times New Roman" w:hAnsi="Times New Roman" w:cs="Times New Roman"/>
        </w:rPr>
        <w:t xml:space="preserve">Data and statistics </w:t>
      </w:r>
      <w:r w:rsidR="007B50E1" w:rsidRPr="00CF509E">
        <w:rPr>
          <w:rFonts w:ascii="Times New Roman" w:hAnsi="Times New Roman" w:cs="Times New Roman"/>
        </w:rPr>
        <w:t>are</w:t>
      </w:r>
      <w:r w:rsidRPr="00CF509E">
        <w:rPr>
          <w:rFonts w:ascii="Times New Roman" w:hAnsi="Times New Roman" w:cs="Times New Roman"/>
        </w:rPr>
        <w:t xml:space="preserve"> not only for monitoring and follow-up</w:t>
      </w:r>
      <w:r w:rsidR="0004751D" w:rsidRPr="00CF509E">
        <w:rPr>
          <w:rFonts w:ascii="Times New Roman" w:hAnsi="Times New Roman" w:cs="Times New Roman"/>
        </w:rPr>
        <w:t xml:space="preserve">. </w:t>
      </w:r>
      <w:r w:rsidR="007B50E1" w:rsidRPr="00CF509E">
        <w:rPr>
          <w:rFonts w:ascii="Times New Roman" w:hAnsi="Times New Roman" w:cs="Times New Roman"/>
        </w:rPr>
        <w:t>They are</w:t>
      </w:r>
      <w:r w:rsidR="0004751D" w:rsidRPr="00CF509E">
        <w:rPr>
          <w:rFonts w:ascii="Times New Roman" w:hAnsi="Times New Roman" w:cs="Times New Roman"/>
        </w:rPr>
        <w:t xml:space="preserve"> a key factor of sustainable development.</w:t>
      </w:r>
      <w:r w:rsidRPr="00CF509E">
        <w:rPr>
          <w:rFonts w:ascii="Times New Roman" w:hAnsi="Times New Roman" w:cs="Times New Roman"/>
        </w:rPr>
        <w:t xml:space="preserve"> T</w:t>
      </w:r>
      <w:r w:rsidR="0004751D" w:rsidRPr="00CF509E">
        <w:rPr>
          <w:rFonts w:ascii="Times New Roman" w:hAnsi="Times New Roman" w:cs="Times New Roman"/>
        </w:rPr>
        <w:t>herefore, t</w:t>
      </w:r>
      <w:r w:rsidR="006B4D1B" w:rsidRPr="00CF509E">
        <w:rPr>
          <w:rFonts w:ascii="Times New Roman" w:hAnsi="Times New Roman" w:cs="Times New Roman"/>
        </w:rPr>
        <w:t xml:space="preserve">here must </w:t>
      </w:r>
      <w:r w:rsidR="007B50E1" w:rsidRPr="00CF509E">
        <w:rPr>
          <w:rFonts w:ascii="Times New Roman" w:hAnsi="Times New Roman" w:cs="Times New Roman"/>
        </w:rPr>
        <w:t>a major long-term investment for the</w:t>
      </w:r>
      <w:r w:rsidR="006B4D1B" w:rsidRPr="00CF509E">
        <w:rPr>
          <w:rFonts w:ascii="Times New Roman" w:hAnsi="Times New Roman" w:cs="Times New Roman"/>
        </w:rPr>
        <w:t xml:space="preserve"> </w:t>
      </w:r>
      <w:r w:rsidRPr="00CF509E">
        <w:rPr>
          <w:rFonts w:ascii="Times New Roman" w:hAnsi="Times New Roman" w:cs="Times New Roman"/>
        </w:rPr>
        <w:t xml:space="preserve">legal, </w:t>
      </w:r>
      <w:r w:rsidR="006B4D1B" w:rsidRPr="00CF509E">
        <w:rPr>
          <w:rFonts w:ascii="Times New Roman" w:hAnsi="Times New Roman" w:cs="Times New Roman"/>
        </w:rPr>
        <w:t xml:space="preserve">institutional and technical modernization of statistical and data systems </w:t>
      </w:r>
      <w:r w:rsidR="0080769C" w:rsidRPr="00CF509E">
        <w:rPr>
          <w:rFonts w:ascii="Times New Roman" w:hAnsi="Times New Roman" w:cs="Times New Roman"/>
        </w:rPr>
        <w:t xml:space="preserve">and its digital infrastructure </w:t>
      </w:r>
      <w:r w:rsidR="006B4D1B" w:rsidRPr="00CF509E">
        <w:rPr>
          <w:rFonts w:ascii="Times New Roman" w:hAnsi="Times New Roman" w:cs="Times New Roman"/>
        </w:rPr>
        <w:t>in countries</w:t>
      </w:r>
      <w:r w:rsidR="00330E55" w:rsidRPr="00CF509E">
        <w:rPr>
          <w:rFonts w:ascii="Times New Roman" w:hAnsi="Times New Roman" w:cs="Times New Roman"/>
        </w:rPr>
        <w:t xml:space="preserve"> </w:t>
      </w:r>
      <w:r w:rsidR="007B50E1" w:rsidRPr="00CF509E">
        <w:rPr>
          <w:rFonts w:ascii="Times New Roman" w:hAnsi="Times New Roman" w:cs="Times New Roman"/>
        </w:rPr>
        <w:t>to support</w:t>
      </w:r>
      <w:r w:rsidR="00330E55" w:rsidRPr="00CF509E">
        <w:rPr>
          <w:rFonts w:ascii="Times New Roman" w:hAnsi="Times New Roman" w:cs="Times New Roman"/>
        </w:rPr>
        <w:t xml:space="preserve"> evidence-based </w:t>
      </w:r>
      <w:r w:rsidR="00BF6006" w:rsidRPr="00CF509E">
        <w:rPr>
          <w:rFonts w:ascii="Times New Roman" w:hAnsi="Times New Roman" w:cs="Times New Roman"/>
        </w:rPr>
        <w:t>decision-making</w:t>
      </w:r>
      <w:r w:rsidR="00C13803" w:rsidRPr="00CF509E">
        <w:rPr>
          <w:rFonts w:ascii="Times New Roman" w:hAnsi="Times New Roman" w:cs="Times New Roman"/>
        </w:rPr>
        <w:t xml:space="preserve"> during times of crisis</w:t>
      </w:r>
      <w:r w:rsidRPr="00CF509E">
        <w:rPr>
          <w:rFonts w:ascii="Times New Roman" w:hAnsi="Times New Roman" w:cs="Times New Roman"/>
        </w:rPr>
        <w:t xml:space="preserve">, </w:t>
      </w:r>
      <w:r w:rsidR="009A503C" w:rsidRPr="00CF509E">
        <w:rPr>
          <w:rFonts w:ascii="Times New Roman" w:hAnsi="Times New Roman" w:cs="Times New Roman"/>
        </w:rPr>
        <w:t>data driven government action</w:t>
      </w:r>
      <w:r w:rsidRPr="00CF509E">
        <w:rPr>
          <w:rFonts w:ascii="Times New Roman" w:hAnsi="Times New Roman" w:cs="Times New Roman"/>
        </w:rPr>
        <w:t xml:space="preserve"> and service provision</w:t>
      </w:r>
      <w:r w:rsidR="007B50E1" w:rsidRPr="00CF509E">
        <w:rPr>
          <w:rFonts w:ascii="Times New Roman" w:hAnsi="Times New Roman" w:cs="Times New Roman"/>
        </w:rPr>
        <w:t>,</w:t>
      </w:r>
      <w:r w:rsidRPr="00CF509E">
        <w:rPr>
          <w:rFonts w:ascii="Times New Roman" w:hAnsi="Times New Roman" w:cs="Times New Roman"/>
        </w:rPr>
        <w:t xml:space="preserve"> and the transformation to a digital economy which assures equitable</w:t>
      </w:r>
      <w:r w:rsidR="00CA18A5" w:rsidRPr="00CF509E">
        <w:rPr>
          <w:rFonts w:ascii="Times New Roman" w:hAnsi="Times New Roman" w:cs="Times New Roman"/>
        </w:rPr>
        <w:t xml:space="preserve"> access to the benefits of this transformation </w:t>
      </w:r>
      <w:r w:rsidR="00C13803" w:rsidRPr="00CF509E">
        <w:rPr>
          <w:rFonts w:ascii="Times New Roman" w:hAnsi="Times New Roman" w:cs="Times New Roman"/>
        </w:rPr>
        <w:t>to</w:t>
      </w:r>
      <w:r w:rsidR="00CA18A5" w:rsidRPr="00CF509E">
        <w:rPr>
          <w:rFonts w:ascii="Times New Roman" w:hAnsi="Times New Roman" w:cs="Times New Roman"/>
        </w:rPr>
        <w:t xml:space="preserve"> all</w:t>
      </w:r>
      <w:r w:rsidR="00616075" w:rsidRPr="00CF509E">
        <w:rPr>
          <w:rFonts w:ascii="Times New Roman" w:hAnsi="Times New Roman" w:cs="Times New Roman"/>
        </w:rPr>
        <w:t>.</w:t>
      </w:r>
      <w:r w:rsidR="00EE01EC" w:rsidRPr="00CF509E">
        <w:rPr>
          <w:rFonts w:ascii="Times New Roman" w:hAnsi="Times New Roman" w:cs="Times New Roman"/>
        </w:rPr>
        <w:t xml:space="preserve"> Improved </w:t>
      </w:r>
      <w:r w:rsidR="007F4995" w:rsidRPr="00CF509E">
        <w:rPr>
          <w:rFonts w:ascii="Times New Roman" w:hAnsi="Times New Roman" w:cs="Times New Roman"/>
        </w:rPr>
        <w:t>data governance</w:t>
      </w:r>
      <w:r w:rsidR="00CA18A5" w:rsidRPr="00CF509E">
        <w:rPr>
          <w:rFonts w:ascii="Times New Roman" w:hAnsi="Times New Roman" w:cs="Times New Roman"/>
        </w:rPr>
        <w:t xml:space="preserve"> </w:t>
      </w:r>
      <w:r w:rsidR="0080769C" w:rsidRPr="00CF509E">
        <w:rPr>
          <w:rFonts w:ascii="Times New Roman" w:hAnsi="Times New Roman" w:cs="Times New Roman"/>
        </w:rPr>
        <w:t xml:space="preserve">frameworks </w:t>
      </w:r>
      <w:r w:rsidR="00CA18A5" w:rsidRPr="00CF509E">
        <w:rPr>
          <w:rFonts w:ascii="Times New Roman" w:hAnsi="Times New Roman" w:cs="Times New Roman"/>
        </w:rPr>
        <w:t xml:space="preserve">that </w:t>
      </w:r>
      <w:r w:rsidR="00C13803" w:rsidRPr="00CF509E">
        <w:rPr>
          <w:rFonts w:ascii="Times New Roman" w:hAnsi="Times New Roman" w:cs="Times New Roman"/>
        </w:rPr>
        <w:t xml:space="preserve">foster the responsible use of data </w:t>
      </w:r>
      <w:r w:rsidR="00CA18A5" w:rsidRPr="00CF509E">
        <w:rPr>
          <w:rFonts w:ascii="Times New Roman" w:hAnsi="Times New Roman" w:cs="Times New Roman"/>
        </w:rPr>
        <w:t>while protecting the rights of individuals</w:t>
      </w:r>
      <w:r w:rsidR="007F4995" w:rsidRPr="00CF509E">
        <w:rPr>
          <w:rFonts w:ascii="Times New Roman" w:hAnsi="Times New Roman" w:cs="Times New Roman"/>
        </w:rPr>
        <w:t xml:space="preserve">, </w:t>
      </w:r>
      <w:r w:rsidR="00D34389" w:rsidRPr="00CF509E">
        <w:rPr>
          <w:rFonts w:ascii="Times New Roman" w:hAnsi="Times New Roman" w:cs="Times New Roman"/>
        </w:rPr>
        <w:t xml:space="preserve">improved </w:t>
      </w:r>
      <w:r w:rsidR="00EE01EC" w:rsidRPr="00CF509E">
        <w:rPr>
          <w:rFonts w:ascii="Times New Roman" w:hAnsi="Times New Roman" w:cs="Times New Roman"/>
        </w:rPr>
        <w:t xml:space="preserve">coordination within the national statistical and data system, </w:t>
      </w:r>
      <w:r w:rsidR="002314F6" w:rsidRPr="00CF509E">
        <w:rPr>
          <w:rFonts w:ascii="Times New Roman" w:hAnsi="Times New Roman" w:cs="Times New Roman"/>
        </w:rPr>
        <w:t xml:space="preserve">increased </w:t>
      </w:r>
      <w:r w:rsidR="00CA18A5" w:rsidRPr="00CF509E">
        <w:rPr>
          <w:rFonts w:ascii="Times New Roman" w:hAnsi="Times New Roman" w:cs="Times New Roman"/>
        </w:rPr>
        <w:t xml:space="preserve">access and </w:t>
      </w:r>
      <w:r w:rsidR="00EE01EC" w:rsidRPr="00CF509E">
        <w:rPr>
          <w:rFonts w:ascii="Times New Roman" w:hAnsi="Times New Roman" w:cs="Times New Roman"/>
        </w:rPr>
        <w:t xml:space="preserve">use of administrative data and novel </w:t>
      </w:r>
      <w:r w:rsidR="002314F6" w:rsidRPr="00CF509E">
        <w:rPr>
          <w:rFonts w:ascii="Times New Roman" w:hAnsi="Times New Roman" w:cs="Times New Roman"/>
        </w:rPr>
        <w:t xml:space="preserve">and big </w:t>
      </w:r>
      <w:r w:rsidR="00EE01EC" w:rsidRPr="00CF509E">
        <w:rPr>
          <w:rFonts w:ascii="Times New Roman" w:hAnsi="Times New Roman" w:cs="Times New Roman"/>
        </w:rPr>
        <w:t xml:space="preserve">data sources, </w:t>
      </w:r>
      <w:r w:rsidR="00CA18A5" w:rsidRPr="00CF509E">
        <w:rPr>
          <w:rFonts w:ascii="Times New Roman" w:hAnsi="Times New Roman" w:cs="Times New Roman"/>
        </w:rPr>
        <w:t xml:space="preserve">the use </w:t>
      </w:r>
      <w:r w:rsidR="00807E27" w:rsidRPr="00CF509E">
        <w:rPr>
          <w:rFonts w:ascii="Times New Roman" w:hAnsi="Times New Roman" w:cs="Times New Roman"/>
        </w:rPr>
        <w:t xml:space="preserve">of </w:t>
      </w:r>
      <w:r w:rsidR="00EE01EC" w:rsidRPr="00CF509E">
        <w:rPr>
          <w:rFonts w:ascii="Times New Roman" w:hAnsi="Times New Roman" w:cs="Times New Roman"/>
        </w:rPr>
        <w:t>geospatial information systems</w:t>
      </w:r>
      <w:r w:rsidR="00807E27" w:rsidRPr="00CF509E">
        <w:rPr>
          <w:rFonts w:ascii="Times New Roman" w:hAnsi="Times New Roman" w:cs="Times New Roman"/>
        </w:rPr>
        <w:t xml:space="preserve"> and of</w:t>
      </w:r>
      <w:r w:rsidR="00EE01EC" w:rsidRPr="00CF509E">
        <w:rPr>
          <w:rFonts w:ascii="Times New Roman" w:hAnsi="Times New Roman" w:cs="Times New Roman"/>
        </w:rPr>
        <w:t xml:space="preserve"> the System of Environmental and Economic Accounting</w:t>
      </w:r>
      <w:r w:rsidR="00EF7376" w:rsidRPr="00CF509E">
        <w:rPr>
          <w:rFonts w:ascii="Times New Roman" w:hAnsi="Times New Roman" w:cs="Times New Roman"/>
        </w:rPr>
        <w:t>,</w:t>
      </w:r>
      <w:r w:rsidR="005E0CE1" w:rsidRPr="00CF509E">
        <w:rPr>
          <w:rFonts w:ascii="Times New Roman" w:hAnsi="Times New Roman" w:cs="Times New Roman"/>
        </w:rPr>
        <w:t xml:space="preserve"> </w:t>
      </w:r>
      <w:r w:rsidR="00851E20" w:rsidRPr="00CF509E">
        <w:rPr>
          <w:rFonts w:ascii="Times New Roman" w:hAnsi="Times New Roman" w:cs="Times New Roman"/>
        </w:rPr>
        <w:t xml:space="preserve">scaled-up </w:t>
      </w:r>
      <w:r w:rsidR="005E0CE1" w:rsidRPr="00CF509E">
        <w:rPr>
          <w:rFonts w:ascii="Times New Roman" w:hAnsi="Times New Roman" w:cs="Times New Roman"/>
        </w:rPr>
        <w:t xml:space="preserve">data </w:t>
      </w:r>
      <w:r w:rsidR="00263BFC" w:rsidRPr="00CF509E">
        <w:rPr>
          <w:rFonts w:ascii="Times New Roman" w:hAnsi="Times New Roman" w:cs="Times New Roman"/>
        </w:rPr>
        <w:t xml:space="preserve">sharing and </w:t>
      </w:r>
      <w:r w:rsidR="005E0CE1" w:rsidRPr="00CF509E">
        <w:rPr>
          <w:rFonts w:ascii="Times New Roman" w:hAnsi="Times New Roman" w:cs="Times New Roman"/>
        </w:rPr>
        <w:t xml:space="preserve">integration </w:t>
      </w:r>
      <w:r w:rsidR="00EF7376" w:rsidRPr="00CF509E">
        <w:rPr>
          <w:rFonts w:ascii="Times New Roman" w:hAnsi="Times New Roman" w:cs="Times New Roman"/>
        </w:rPr>
        <w:t xml:space="preserve">and increased use of data science and AI </w:t>
      </w:r>
      <w:r w:rsidR="00CA18A5" w:rsidRPr="00CF509E">
        <w:rPr>
          <w:rFonts w:ascii="Times New Roman" w:hAnsi="Times New Roman" w:cs="Times New Roman"/>
        </w:rPr>
        <w:t xml:space="preserve">are </w:t>
      </w:r>
      <w:r w:rsidR="00CF509E">
        <w:rPr>
          <w:rFonts w:ascii="Times New Roman" w:hAnsi="Times New Roman" w:cs="Times New Roman"/>
        </w:rPr>
        <w:t xml:space="preserve">all </w:t>
      </w:r>
      <w:r w:rsidR="00CA18A5" w:rsidRPr="00CF509E">
        <w:rPr>
          <w:rFonts w:ascii="Times New Roman" w:hAnsi="Times New Roman" w:cs="Times New Roman"/>
        </w:rPr>
        <w:t xml:space="preserve">key components </w:t>
      </w:r>
      <w:r w:rsidR="00C13803" w:rsidRPr="00CF509E">
        <w:rPr>
          <w:rFonts w:ascii="Times New Roman" w:hAnsi="Times New Roman" w:cs="Times New Roman"/>
        </w:rPr>
        <w:t xml:space="preserve">for this modernization and transformation in support of sustainable development. </w:t>
      </w:r>
      <w:r w:rsidR="000D111B" w:rsidRPr="00CF509E">
        <w:rPr>
          <w:rFonts w:ascii="Times New Roman" w:hAnsi="Times New Roman" w:cs="Times New Roman"/>
        </w:rPr>
        <w:t xml:space="preserve">The modernization of </w:t>
      </w:r>
      <w:r w:rsidR="00942F63" w:rsidRPr="00CF509E">
        <w:rPr>
          <w:rFonts w:ascii="Times New Roman" w:hAnsi="Times New Roman" w:cs="Times New Roman"/>
        </w:rPr>
        <w:t xml:space="preserve">statistical and data systems </w:t>
      </w:r>
      <w:r w:rsidR="0080769C" w:rsidRPr="00CF509E">
        <w:rPr>
          <w:rFonts w:ascii="Times New Roman" w:hAnsi="Times New Roman" w:cs="Times New Roman"/>
        </w:rPr>
        <w:t>and the upgrade of the necessary digital infrastructure</w:t>
      </w:r>
      <w:r w:rsidR="005611CD" w:rsidRPr="00CF509E">
        <w:rPr>
          <w:rFonts w:ascii="Times New Roman" w:hAnsi="Times New Roman" w:cs="Times New Roman"/>
        </w:rPr>
        <w:t xml:space="preserve"> </w:t>
      </w:r>
      <w:r w:rsidR="00942F63" w:rsidRPr="00CF509E">
        <w:rPr>
          <w:rFonts w:ascii="Times New Roman" w:hAnsi="Times New Roman" w:cs="Times New Roman"/>
        </w:rPr>
        <w:t xml:space="preserve">requires </w:t>
      </w:r>
      <w:r w:rsidR="00EE01EC" w:rsidRPr="00CF509E">
        <w:rPr>
          <w:rFonts w:ascii="Times New Roman" w:hAnsi="Times New Roman" w:cs="Times New Roman"/>
        </w:rPr>
        <w:t xml:space="preserve">major </w:t>
      </w:r>
      <w:r w:rsidR="0004751D" w:rsidRPr="00CF509E">
        <w:rPr>
          <w:rFonts w:ascii="Times New Roman" w:hAnsi="Times New Roman" w:cs="Times New Roman"/>
        </w:rPr>
        <w:t xml:space="preserve">long-term </w:t>
      </w:r>
      <w:r w:rsidR="00EE01EC" w:rsidRPr="00CF509E">
        <w:rPr>
          <w:rFonts w:ascii="Times New Roman" w:hAnsi="Times New Roman" w:cs="Times New Roman"/>
        </w:rPr>
        <w:t>investments</w:t>
      </w:r>
      <w:r w:rsidR="005611CD" w:rsidRPr="00CF509E">
        <w:rPr>
          <w:rFonts w:ascii="Times New Roman" w:hAnsi="Times New Roman" w:cs="Times New Roman"/>
        </w:rPr>
        <w:t xml:space="preserve"> from domestic and </w:t>
      </w:r>
      <w:r w:rsidR="00C13803" w:rsidRPr="00CF509E">
        <w:rPr>
          <w:rFonts w:ascii="Times New Roman" w:hAnsi="Times New Roman" w:cs="Times New Roman"/>
        </w:rPr>
        <w:t xml:space="preserve">all </w:t>
      </w:r>
      <w:r w:rsidR="005611CD" w:rsidRPr="00CF509E">
        <w:rPr>
          <w:rFonts w:ascii="Times New Roman" w:hAnsi="Times New Roman" w:cs="Times New Roman"/>
        </w:rPr>
        <w:t>other sources</w:t>
      </w:r>
      <w:r w:rsidR="00EE01EC" w:rsidRPr="00CF509E">
        <w:rPr>
          <w:rFonts w:ascii="Times New Roman" w:hAnsi="Times New Roman" w:cs="Times New Roman"/>
        </w:rPr>
        <w:t>.</w:t>
      </w:r>
      <w:r w:rsidR="00364E69" w:rsidRPr="00CF509E">
        <w:rPr>
          <w:rFonts w:ascii="Times New Roman" w:hAnsi="Times New Roman" w:cs="Times New Roman"/>
        </w:rPr>
        <w:t xml:space="preserve"> Those investments </w:t>
      </w:r>
      <w:r w:rsidR="00D8150A" w:rsidRPr="00CF509E">
        <w:rPr>
          <w:rFonts w:ascii="Times New Roman" w:hAnsi="Times New Roman" w:cs="Times New Roman"/>
        </w:rPr>
        <w:t>must include funding for national statistical offices</w:t>
      </w:r>
      <w:r w:rsidR="00CF509E">
        <w:rPr>
          <w:rFonts w:ascii="Times New Roman" w:hAnsi="Times New Roman" w:cs="Times New Roman"/>
        </w:rPr>
        <w:t>. They also must</w:t>
      </w:r>
      <w:r w:rsidR="00D8150A" w:rsidRPr="00CF509E">
        <w:rPr>
          <w:rFonts w:ascii="Times New Roman" w:hAnsi="Times New Roman" w:cs="Times New Roman"/>
        </w:rPr>
        <w:t xml:space="preserve"> be coordinated </w:t>
      </w:r>
      <w:r w:rsidR="00364E69" w:rsidRPr="00CF509E">
        <w:rPr>
          <w:rFonts w:ascii="Times New Roman" w:hAnsi="Times New Roman" w:cs="Times New Roman"/>
        </w:rPr>
        <w:t>and not flow into new and parallel structures and efforts</w:t>
      </w:r>
      <w:r w:rsidR="00CF509E">
        <w:rPr>
          <w:rFonts w:ascii="Times New Roman" w:hAnsi="Times New Roman" w:cs="Times New Roman"/>
        </w:rPr>
        <w:t xml:space="preserve">, </w:t>
      </w:r>
      <w:r w:rsidR="002F3C8B" w:rsidRPr="00CF509E">
        <w:rPr>
          <w:rFonts w:ascii="Times New Roman" w:hAnsi="Times New Roman" w:cs="Times New Roman"/>
        </w:rPr>
        <w:t xml:space="preserve">hereby </w:t>
      </w:r>
      <w:r w:rsidR="00590EFB" w:rsidRPr="00CF509E">
        <w:rPr>
          <w:rFonts w:ascii="Times New Roman" w:hAnsi="Times New Roman" w:cs="Times New Roman"/>
        </w:rPr>
        <w:t xml:space="preserve">ensuring </w:t>
      </w:r>
      <w:r w:rsidR="00D8150A" w:rsidRPr="00CF509E">
        <w:rPr>
          <w:rFonts w:ascii="Times New Roman" w:hAnsi="Times New Roman" w:cs="Times New Roman"/>
        </w:rPr>
        <w:t xml:space="preserve">a </w:t>
      </w:r>
      <w:r w:rsidR="00590EFB" w:rsidRPr="00CF509E">
        <w:rPr>
          <w:rFonts w:ascii="Times New Roman" w:hAnsi="Times New Roman" w:cs="Times New Roman"/>
        </w:rPr>
        <w:t>sustainable integration of digital tools</w:t>
      </w:r>
      <w:r w:rsidR="002F3C8B" w:rsidRPr="00CF509E">
        <w:rPr>
          <w:rFonts w:ascii="Times New Roman" w:hAnsi="Times New Roman" w:cs="Times New Roman"/>
        </w:rPr>
        <w:t xml:space="preserve"> such as AI</w:t>
      </w:r>
      <w:r w:rsidR="00590EFB" w:rsidRPr="00CF509E">
        <w:rPr>
          <w:rFonts w:ascii="Times New Roman" w:hAnsi="Times New Roman" w:cs="Times New Roman"/>
        </w:rPr>
        <w:t xml:space="preserve">. </w:t>
      </w:r>
    </w:p>
    <w:p w14:paraId="6EA9BCA7" w14:textId="77777777" w:rsidR="00D4037C" w:rsidRPr="00CF509E" w:rsidRDefault="00D4037C" w:rsidP="00CF509E">
      <w:pPr>
        <w:spacing w:after="0"/>
        <w:jc w:val="both"/>
        <w:rPr>
          <w:rFonts w:ascii="Times New Roman" w:hAnsi="Times New Roman" w:cs="Times New Roman"/>
          <w:b/>
          <w:bCs/>
        </w:rPr>
      </w:pPr>
    </w:p>
    <w:p w14:paraId="6B9A63DA" w14:textId="31A685C5" w:rsidR="00806EB5" w:rsidRPr="00CF509E" w:rsidRDefault="00BB3788" w:rsidP="00CF509E">
      <w:pPr>
        <w:spacing w:after="0"/>
        <w:jc w:val="both"/>
        <w:rPr>
          <w:rFonts w:ascii="Times New Roman" w:hAnsi="Times New Roman" w:cs="Times New Roman"/>
        </w:rPr>
      </w:pPr>
      <w:r w:rsidRPr="00CF509E">
        <w:rPr>
          <w:rFonts w:ascii="Times New Roman" w:hAnsi="Times New Roman" w:cs="Times New Roman"/>
          <w:b/>
          <w:bCs/>
          <w:i/>
          <w:iCs/>
        </w:rPr>
        <w:t>International agreements must be underpinned by statistical capacity building programs that allow their effective monitoring and robust follow-up mechanisms</w:t>
      </w:r>
      <w:r w:rsidRPr="00CF509E">
        <w:rPr>
          <w:rFonts w:ascii="Times New Roman" w:hAnsi="Times New Roman" w:cs="Times New Roman"/>
        </w:rPr>
        <w:t xml:space="preserve">. </w:t>
      </w:r>
      <w:r w:rsidR="00BF6006" w:rsidRPr="00CF509E">
        <w:rPr>
          <w:rFonts w:ascii="Times New Roman" w:hAnsi="Times New Roman" w:cs="Times New Roman"/>
        </w:rPr>
        <w:t>S</w:t>
      </w:r>
      <w:r w:rsidR="00E81A5D" w:rsidRPr="00CF509E">
        <w:rPr>
          <w:rFonts w:ascii="Times New Roman" w:hAnsi="Times New Roman" w:cs="Times New Roman"/>
        </w:rPr>
        <w:t>tatistics</w:t>
      </w:r>
      <w:r w:rsidR="00BF6006" w:rsidRPr="00CF509E">
        <w:rPr>
          <w:rFonts w:ascii="Times New Roman" w:hAnsi="Times New Roman" w:cs="Times New Roman"/>
        </w:rPr>
        <w:t xml:space="preserve"> are important </w:t>
      </w:r>
      <w:r w:rsidR="00E81A5D" w:rsidRPr="00CF509E">
        <w:rPr>
          <w:rFonts w:ascii="Times New Roman" w:hAnsi="Times New Roman" w:cs="Times New Roman"/>
        </w:rPr>
        <w:t>for evidence</w:t>
      </w:r>
      <w:r w:rsidR="00BF6006" w:rsidRPr="00CF509E">
        <w:rPr>
          <w:rFonts w:ascii="Times New Roman" w:hAnsi="Times New Roman" w:cs="Times New Roman"/>
        </w:rPr>
        <w:t>-</w:t>
      </w:r>
      <w:r w:rsidR="00E81A5D" w:rsidRPr="00CF509E">
        <w:rPr>
          <w:rFonts w:ascii="Times New Roman" w:hAnsi="Times New Roman" w:cs="Times New Roman"/>
        </w:rPr>
        <w:t>base</w:t>
      </w:r>
      <w:r w:rsidR="00BF6006" w:rsidRPr="00CF509E">
        <w:rPr>
          <w:rFonts w:ascii="Times New Roman" w:hAnsi="Times New Roman" w:cs="Times New Roman"/>
        </w:rPr>
        <w:t>d</w:t>
      </w:r>
      <w:r w:rsidR="00E81A5D" w:rsidRPr="00CF509E">
        <w:rPr>
          <w:rFonts w:ascii="Times New Roman" w:hAnsi="Times New Roman" w:cs="Times New Roman"/>
        </w:rPr>
        <w:t xml:space="preserve"> decision making and for the effective implementation and monitoring of international multilateral agreements</w:t>
      </w:r>
      <w:r w:rsidR="00BF6006" w:rsidRPr="00CF509E">
        <w:rPr>
          <w:rFonts w:ascii="Times New Roman" w:hAnsi="Times New Roman" w:cs="Times New Roman"/>
        </w:rPr>
        <w:t>. Therefore</w:t>
      </w:r>
      <w:r w:rsidR="00E81A5D" w:rsidRPr="00CF509E">
        <w:rPr>
          <w:rFonts w:ascii="Times New Roman" w:hAnsi="Times New Roman" w:cs="Times New Roman"/>
        </w:rPr>
        <w:t xml:space="preserve">, it is crucial that resource mobilization </w:t>
      </w:r>
      <w:r w:rsidR="00DE1E9D" w:rsidRPr="00CF509E">
        <w:rPr>
          <w:rFonts w:ascii="Times New Roman" w:hAnsi="Times New Roman" w:cs="Times New Roman"/>
        </w:rPr>
        <w:t xml:space="preserve">and capacity building </w:t>
      </w:r>
      <w:r w:rsidR="00E81A5D" w:rsidRPr="00CF509E">
        <w:rPr>
          <w:rFonts w:ascii="Times New Roman" w:hAnsi="Times New Roman" w:cs="Times New Roman"/>
        </w:rPr>
        <w:t>efforts explicitly include financing for data and statistics and the strengthening of the national statistical systems</w:t>
      </w:r>
      <w:r w:rsidR="00BF6006" w:rsidRPr="00CF509E">
        <w:rPr>
          <w:rFonts w:ascii="Times New Roman" w:hAnsi="Times New Roman" w:cs="Times New Roman"/>
        </w:rPr>
        <w:t xml:space="preserve"> that allow the monitoring of those agreements</w:t>
      </w:r>
      <w:r w:rsidR="00E81A5D" w:rsidRPr="00CF509E">
        <w:rPr>
          <w:rFonts w:ascii="Times New Roman" w:hAnsi="Times New Roman" w:cs="Times New Roman"/>
        </w:rPr>
        <w:t>.</w:t>
      </w:r>
    </w:p>
    <w:p w14:paraId="16A05203" w14:textId="77777777" w:rsidR="00806EB5" w:rsidRPr="00CF509E" w:rsidRDefault="00806EB5" w:rsidP="00CF509E">
      <w:pPr>
        <w:spacing w:after="0"/>
        <w:jc w:val="both"/>
        <w:rPr>
          <w:rFonts w:ascii="Times New Roman" w:hAnsi="Times New Roman" w:cs="Times New Roman"/>
        </w:rPr>
      </w:pPr>
    </w:p>
    <w:p w14:paraId="34A0D054" w14:textId="182ECA51" w:rsidR="00806EB5" w:rsidRPr="00CF509E" w:rsidRDefault="00847A85" w:rsidP="00CF509E">
      <w:pPr>
        <w:spacing w:after="0"/>
        <w:jc w:val="both"/>
        <w:rPr>
          <w:rFonts w:ascii="Times New Roman" w:hAnsi="Times New Roman" w:cs="Times New Roman"/>
        </w:rPr>
      </w:pPr>
      <w:r w:rsidRPr="00CF509E">
        <w:rPr>
          <w:rFonts w:ascii="Times New Roman" w:hAnsi="Times New Roman" w:cs="Times New Roman"/>
          <w:b/>
          <w:bCs/>
          <w:i/>
          <w:iCs/>
        </w:rPr>
        <w:t xml:space="preserve">Investments in data </w:t>
      </w:r>
      <w:r w:rsidR="006F7861" w:rsidRPr="00CF509E">
        <w:rPr>
          <w:rFonts w:ascii="Times New Roman" w:hAnsi="Times New Roman" w:cs="Times New Roman"/>
          <w:b/>
          <w:bCs/>
          <w:i/>
          <w:iCs/>
        </w:rPr>
        <w:t>must be prioritized to reap the</w:t>
      </w:r>
      <w:r w:rsidR="00CF509E">
        <w:rPr>
          <w:rFonts w:ascii="Times New Roman" w:hAnsi="Times New Roman" w:cs="Times New Roman"/>
          <w:b/>
          <w:bCs/>
          <w:i/>
          <w:iCs/>
        </w:rPr>
        <w:t xml:space="preserve"> </w:t>
      </w:r>
      <w:r w:rsidR="006F7861" w:rsidRPr="00CF509E">
        <w:rPr>
          <w:rFonts w:ascii="Times New Roman" w:hAnsi="Times New Roman" w:cs="Times New Roman"/>
          <w:b/>
          <w:bCs/>
          <w:i/>
          <w:iCs/>
        </w:rPr>
        <w:t>data</w:t>
      </w:r>
      <w:r w:rsidRPr="00CF509E">
        <w:rPr>
          <w:rFonts w:ascii="Times New Roman" w:hAnsi="Times New Roman" w:cs="Times New Roman"/>
          <w:b/>
          <w:bCs/>
          <w:i/>
          <w:iCs/>
        </w:rPr>
        <w:t xml:space="preserve"> dividend</w:t>
      </w:r>
      <w:r w:rsidRPr="00CF509E">
        <w:rPr>
          <w:rFonts w:ascii="Times New Roman" w:hAnsi="Times New Roman" w:cs="Times New Roman"/>
          <w:b/>
          <w:bCs/>
        </w:rPr>
        <w:t xml:space="preserve">. </w:t>
      </w:r>
      <w:r w:rsidRPr="00CF509E">
        <w:rPr>
          <w:rFonts w:ascii="Times New Roman" w:hAnsi="Times New Roman" w:cs="Times New Roman"/>
        </w:rPr>
        <w:t>Underinvestment in public data systems and statistical activities continues to undermine the pursuit of sustainable development. Despite the potential for substantial economic returns, Member States have not been able to capitalize on the power of</w:t>
      </w:r>
      <w:r w:rsidR="00806EB5" w:rsidRPr="00CF509E">
        <w:rPr>
          <w:rFonts w:ascii="Times New Roman" w:hAnsi="Times New Roman" w:cs="Times New Roman"/>
        </w:rPr>
        <w:t xml:space="preserve"> </w:t>
      </w:r>
      <w:r w:rsidRPr="00CF509E">
        <w:rPr>
          <w:rFonts w:ascii="Times New Roman" w:hAnsi="Times New Roman" w:cs="Times New Roman"/>
        </w:rPr>
        <w:t>data due to a lack of political prioritization, fragmentation, inadequate and siloed investment, and shortfalls in capacity. Fully using data and unlocking the data dividend for the Sustainable Development Goals (SDGs) will require both political leadership and financial commitments.</w:t>
      </w:r>
    </w:p>
    <w:p w14:paraId="745005CC" w14:textId="77777777" w:rsidR="00806EB5" w:rsidRPr="00CF509E" w:rsidRDefault="00806EB5" w:rsidP="00CF509E">
      <w:pPr>
        <w:spacing w:after="0"/>
        <w:jc w:val="both"/>
        <w:rPr>
          <w:rFonts w:ascii="Times New Roman" w:hAnsi="Times New Roman" w:cs="Times New Roman"/>
        </w:rPr>
      </w:pPr>
    </w:p>
    <w:p w14:paraId="456D2FDC" w14:textId="66ECC36A" w:rsidR="00847A85" w:rsidRPr="00CF509E" w:rsidRDefault="006F7861" w:rsidP="00CF509E">
      <w:pPr>
        <w:spacing w:after="0"/>
        <w:jc w:val="both"/>
        <w:rPr>
          <w:rFonts w:ascii="Times New Roman" w:hAnsi="Times New Roman" w:cs="Times New Roman"/>
        </w:rPr>
      </w:pPr>
      <w:r w:rsidRPr="00CF509E">
        <w:rPr>
          <w:rFonts w:ascii="Times New Roman" w:hAnsi="Times New Roman" w:cs="Times New Roman"/>
          <w:b/>
          <w:bCs/>
          <w:i/>
          <w:iCs/>
        </w:rPr>
        <w:t>Countries must facilitate access and use of i</w:t>
      </w:r>
      <w:r w:rsidR="00847A85" w:rsidRPr="00CF509E">
        <w:rPr>
          <w:rFonts w:ascii="Times New Roman" w:hAnsi="Times New Roman" w:cs="Times New Roman"/>
          <w:b/>
          <w:bCs/>
          <w:i/>
          <w:iCs/>
        </w:rPr>
        <w:t xml:space="preserve">nnovative sources of data </w:t>
      </w:r>
      <w:r w:rsidRPr="00CF509E">
        <w:rPr>
          <w:rFonts w:ascii="Times New Roman" w:hAnsi="Times New Roman" w:cs="Times New Roman"/>
          <w:b/>
          <w:bCs/>
          <w:i/>
          <w:iCs/>
        </w:rPr>
        <w:t>for statistical and other purposes through responsible and equitable data governance arrangements</w:t>
      </w:r>
      <w:r w:rsidR="00847A85" w:rsidRPr="00CF509E">
        <w:rPr>
          <w:rFonts w:ascii="Times New Roman" w:hAnsi="Times New Roman" w:cs="Times New Roman"/>
          <w:b/>
          <w:bCs/>
          <w:i/>
          <w:iCs/>
        </w:rPr>
        <w:t>.</w:t>
      </w:r>
      <w:r w:rsidR="00847A85" w:rsidRPr="00CF509E">
        <w:rPr>
          <w:rFonts w:ascii="Times New Roman" w:hAnsi="Times New Roman" w:cs="Times New Roman"/>
          <w:b/>
          <w:bCs/>
        </w:rPr>
        <w:t xml:space="preserve"> </w:t>
      </w:r>
      <w:r w:rsidR="00847A85" w:rsidRPr="00CF509E">
        <w:rPr>
          <w:rFonts w:ascii="Times New Roman" w:hAnsi="Times New Roman" w:cs="Times New Roman"/>
        </w:rPr>
        <w:t xml:space="preserve">Technological progress and the use of electronic devices have led to the creation of an ever-increasing amount of digital data, including from social media, mobile phone records, point-of-sale terminals, global </w:t>
      </w:r>
      <w:r w:rsidR="00847A85" w:rsidRPr="00CF509E">
        <w:rPr>
          <w:rFonts w:ascii="Times New Roman" w:hAnsi="Times New Roman" w:cs="Times New Roman"/>
        </w:rPr>
        <w:lastRenderedPageBreak/>
        <w:t>positioning system devices and satellite imagery. There is an increasing use of administrative data sources and a growing trend in the collection and use of citizen-generated data for developing policy-relevant information. These and other innovative data sources, if harnessed and utilized effectively, represent an opportunity to generate information in real time, complementing official statistics that bring depth of detail and representation through validated surveys and censuses. While these innovative sources can provide rich evidence for economic and financial policymaking, they also have potential applications in humanitarian work, peacekeeping and human rights.</w:t>
      </w:r>
    </w:p>
    <w:sectPr w:rsidR="00847A85" w:rsidRPr="00CF509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D2EE0" w14:textId="77777777" w:rsidR="00985979" w:rsidRDefault="00985979" w:rsidP="00905EAB">
      <w:pPr>
        <w:spacing w:after="0" w:line="240" w:lineRule="auto"/>
      </w:pPr>
      <w:r>
        <w:separator/>
      </w:r>
    </w:p>
  </w:endnote>
  <w:endnote w:type="continuationSeparator" w:id="0">
    <w:p w14:paraId="208F99C6" w14:textId="77777777" w:rsidR="00985979" w:rsidRDefault="00985979" w:rsidP="00905EAB">
      <w:pPr>
        <w:spacing w:after="0" w:line="240" w:lineRule="auto"/>
      </w:pPr>
      <w:r>
        <w:continuationSeparator/>
      </w:r>
    </w:p>
  </w:endnote>
  <w:endnote w:type="continuationNotice" w:id="1">
    <w:p w14:paraId="042E9354" w14:textId="77777777" w:rsidR="00985979" w:rsidRDefault="009859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727652"/>
      <w:docPartObj>
        <w:docPartGallery w:val="Page Numbers (Bottom of Page)"/>
        <w:docPartUnique/>
      </w:docPartObj>
    </w:sdtPr>
    <w:sdtEndPr>
      <w:rPr>
        <w:noProof/>
      </w:rPr>
    </w:sdtEndPr>
    <w:sdtContent>
      <w:p w14:paraId="060C3854" w14:textId="3C1A43B8" w:rsidR="00CF509E" w:rsidRDefault="00CF50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AC0109" w14:textId="77777777" w:rsidR="00CF509E" w:rsidRDefault="00CF5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609C3" w14:textId="77777777" w:rsidR="00985979" w:rsidRDefault="00985979" w:rsidP="00905EAB">
      <w:pPr>
        <w:spacing w:after="0" w:line="240" w:lineRule="auto"/>
      </w:pPr>
      <w:r>
        <w:separator/>
      </w:r>
    </w:p>
  </w:footnote>
  <w:footnote w:type="continuationSeparator" w:id="0">
    <w:p w14:paraId="6AB64B01" w14:textId="77777777" w:rsidR="00985979" w:rsidRDefault="00985979" w:rsidP="00905EAB">
      <w:pPr>
        <w:spacing w:after="0" w:line="240" w:lineRule="auto"/>
      </w:pPr>
      <w:r>
        <w:continuationSeparator/>
      </w:r>
    </w:p>
  </w:footnote>
  <w:footnote w:type="continuationNotice" w:id="1">
    <w:p w14:paraId="319AF090" w14:textId="77777777" w:rsidR="00985979" w:rsidRDefault="009859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C2A9C"/>
    <w:multiLevelType w:val="hybridMultilevel"/>
    <w:tmpl w:val="659EE6C2"/>
    <w:lvl w:ilvl="0" w:tplc="EC529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871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AA6"/>
    <w:rsid w:val="0000652C"/>
    <w:rsid w:val="00013088"/>
    <w:rsid w:val="0002515D"/>
    <w:rsid w:val="00032851"/>
    <w:rsid w:val="00033F84"/>
    <w:rsid w:val="0004751D"/>
    <w:rsid w:val="00054663"/>
    <w:rsid w:val="000715E4"/>
    <w:rsid w:val="00077A31"/>
    <w:rsid w:val="000902AE"/>
    <w:rsid w:val="000B490C"/>
    <w:rsid w:val="000C3CC1"/>
    <w:rsid w:val="000D111B"/>
    <w:rsid w:val="000D20A7"/>
    <w:rsid w:val="000E02DE"/>
    <w:rsid w:val="000E0D21"/>
    <w:rsid w:val="000E2487"/>
    <w:rsid w:val="000E5F6A"/>
    <w:rsid w:val="000F506A"/>
    <w:rsid w:val="001008AA"/>
    <w:rsid w:val="00113F64"/>
    <w:rsid w:val="0013155D"/>
    <w:rsid w:val="001608C0"/>
    <w:rsid w:val="001634B9"/>
    <w:rsid w:val="00170165"/>
    <w:rsid w:val="0017117E"/>
    <w:rsid w:val="00172A65"/>
    <w:rsid w:val="00174508"/>
    <w:rsid w:val="00181BF4"/>
    <w:rsid w:val="001A0F71"/>
    <w:rsid w:val="001A536A"/>
    <w:rsid w:val="001B1D3B"/>
    <w:rsid w:val="001B3166"/>
    <w:rsid w:val="001B3F17"/>
    <w:rsid w:val="001E1CFC"/>
    <w:rsid w:val="001E5928"/>
    <w:rsid w:val="00212715"/>
    <w:rsid w:val="00216E82"/>
    <w:rsid w:val="002314F6"/>
    <w:rsid w:val="002364CA"/>
    <w:rsid w:val="00263BFC"/>
    <w:rsid w:val="00265A0C"/>
    <w:rsid w:val="00266FD7"/>
    <w:rsid w:val="002708ED"/>
    <w:rsid w:val="0027453B"/>
    <w:rsid w:val="00275B1C"/>
    <w:rsid w:val="00290088"/>
    <w:rsid w:val="002B24D8"/>
    <w:rsid w:val="002C574F"/>
    <w:rsid w:val="002C6777"/>
    <w:rsid w:val="002F3C8B"/>
    <w:rsid w:val="002F7771"/>
    <w:rsid w:val="00304AA0"/>
    <w:rsid w:val="003153B4"/>
    <w:rsid w:val="00330E55"/>
    <w:rsid w:val="003438F1"/>
    <w:rsid w:val="00364E69"/>
    <w:rsid w:val="00371670"/>
    <w:rsid w:val="0039009D"/>
    <w:rsid w:val="00396D17"/>
    <w:rsid w:val="003C775B"/>
    <w:rsid w:val="003D0D9F"/>
    <w:rsid w:val="003E6111"/>
    <w:rsid w:val="003F495E"/>
    <w:rsid w:val="00400FC2"/>
    <w:rsid w:val="0040104D"/>
    <w:rsid w:val="00414905"/>
    <w:rsid w:val="004404D8"/>
    <w:rsid w:val="00443BC8"/>
    <w:rsid w:val="00483256"/>
    <w:rsid w:val="004C0D64"/>
    <w:rsid w:val="004C1C03"/>
    <w:rsid w:val="004C5D3D"/>
    <w:rsid w:val="004D0541"/>
    <w:rsid w:val="004D0945"/>
    <w:rsid w:val="004F2541"/>
    <w:rsid w:val="004F46EE"/>
    <w:rsid w:val="004F7985"/>
    <w:rsid w:val="00552E0F"/>
    <w:rsid w:val="005606F4"/>
    <w:rsid w:val="005611CD"/>
    <w:rsid w:val="0057388D"/>
    <w:rsid w:val="005762D6"/>
    <w:rsid w:val="005771EA"/>
    <w:rsid w:val="00590EFB"/>
    <w:rsid w:val="00591FF7"/>
    <w:rsid w:val="005A6BE1"/>
    <w:rsid w:val="005B3757"/>
    <w:rsid w:val="005E0CE1"/>
    <w:rsid w:val="005E727B"/>
    <w:rsid w:val="005F0BE5"/>
    <w:rsid w:val="005F56A7"/>
    <w:rsid w:val="00616075"/>
    <w:rsid w:val="00637339"/>
    <w:rsid w:val="006449FC"/>
    <w:rsid w:val="006560DD"/>
    <w:rsid w:val="00660E12"/>
    <w:rsid w:val="006627B9"/>
    <w:rsid w:val="00670536"/>
    <w:rsid w:val="00676BF7"/>
    <w:rsid w:val="006A06D1"/>
    <w:rsid w:val="006B0182"/>
    <w:rsid w:val="006B048D"/>
    <w:rsid w:val="006B4D1B"/>
    <w:rsid w:val="006B56CB"/>
    <w:rsid w:val="006C3691"/>
    <w:rsid w:val="006D0F45"/>
    <w:rsid w:val="006E686A"/>
    <w:rsid w:val="006F439E"/>
    <w:rsid w:val="006F7861"/>
    <w:rsid w:val="00711DA0"/>
    <w:rsid w:val="00714ED4"/>
    <w:rsid w:val="007171A4"/>
    <w:rsid w:val="00735F67"/>
    <w:rsid w:val="00745E82"/>
    <w:rsid w:val="00760404"/>
    <w:rsid w:val="0076245C"/>
    <w:rsid w:val="007652F3"/>
    <w:rsid w:val="0078197C"/>
    <w:rsid w:val="00792A64"/>
    <w:rsid w:val="007B50E1"/>
    <w:rsid w:val="007B5704"/>
    <w:rsid w:val="007B75D2"/>
    <w:rsid w:val="007C35A9"/>
    <w:rsid w:val="007C55DF"/>
    <w:rsid w:val="007C6C8C"/>
    <w:rsid w:val="007D0165"/>
    <w:rsid w:val="007D0E71"/>
    <w:rsid w:val="007D6E47"/>
    <w:rsid w:val="007F257C"/>
    <w:rsid w:val="007F4995"/>
    <w:rsid w:val="007F5EF9"/>
    <w:rsid w:val="00804254"/>
    <w:rsid w:val="00806EB5"/>
    <w:rsid w:val="0080769C"/>
    <w:rsid w:val="00807E27"/>
    <w:rsid w:val="0081393C"/>
    <w:rsid w:val="00833E88"/>
    <w:rsid w:val="00845824"/>
    <w:rsid w:val="00847A85"/>
    <w:rsid w:val="00851E20"/>
    <w:rsid w:val="00892E73"/>
    <w:rsid w:val="00896485"/>
    <w:rsid w:val="008A01C7"/>
    <w:rsid w:val="008B3025"/>
    <w:rsid w:val="008B6F7E"/>
    <w:rsid w:val="008B7C46"/>
    <w:rsid w:val="008C63FD"/>
    <w:rsid w:val="008D1504"/>
    <w:rsid w:val="008D693D"/>
    <w:rsid w:val="008F74F1"/>
    <w:rsid w:val="00905278"/>
    <w:rsid w:val="00905EAB"/>
    <w:rsid w:val="00920324"/>
    <w:rsid w:val="00942F63"/>
    <w:rsid w:val="00946258"/>
    <w:rsid w:val="00966FCB"/>
    <w:rsid w:val="0098481A"/>
    <w:rsid w:val="00985979"/>
    <w:rsid w:val="00986EA5"/>
    <w:rsid w:val="00991301"/>
    <w:rsid w:val="009926D8"/>
    <w:rsid w:val="00992BC1"/>
    <w:rsid w:val="0099371E"/>
    <w:rsid w:val="009A503C"/>
    <w:rsid w:val="009E0315"/>
    <w:rsid w:val="00A068B4"/>
    <w:rsid w:val="00A25327"/>
    <w:rsid w:val="00A37F94"/>
    <w:rsid w:val="00A44106"/>
    <w:rsid w:val="00A47CC6"/>
    <w:rsid w:val="00A514F8"/>
    <w:rsid w:val="00A814EE"/>
    <w:rsid w:val="00A9022C"/>
    <w:rsid w:val="00A964E9"/>
    <w:rsid w:val="00AC5A86"/>
    <w:rsid w:val="00AE196C"/>
    <w:rsid w:val="00AF71E3"/>
    <w:rsid w:val="00B00B10"/>
    <w:rsid w:val="00B026C4"/>
    <w:rsid w:val="00B17C1B"/>
    <w:rsid w:val="00B23B12"/>
    <w:rsid w:val="00B23E21"/>
    <w:rsid w:val="00B461B6"/>
    <w:rsid w:val="00B56AA6"/>
    <w:rsid w:val="00B704DF"/>
    <w:rsid w:val="00B91436"/>
    <w:rsid w:val="00B976CD"/>
    <w:rsid w:val="00BA010D"/>
    <w:rsid w:val="00BB3788"/>
    <w:rsid w:val="00BD55C1"/>
    <w:rsid w:val="00BF6006"/>
    <w:rsid w:val="00C05A29"/>
    <w:rsid w:val="00C06EBD"/>
    <w:rsid w:val="00C13803"/>
    <w:rsid w:val="00C14774"/>
    <w:rsid w:val="00C21064"/>
    <w:rsid w:val="00C234F0"/>
    <w:rsid w:val="00C463E0"/>
    <w:rsid w:val="00C5140C"/>
    <w:rsid w:val="00C649D9"/>
    <w:rsid w:val="00C818FC"/>
    <w:rsid w:val="00C862DE"/>
    <w:rsid w:val="00C9012D"/>
    <w:rsid w:val="00CA04F2"/>
    <w:rsid w:val="00CA1367"/>
    <w:rsid w:val="00CA18A5"/>
    <w:rsid w:val="00CB6B8B"/>
    <w:rsid w:val="00CC351D"/>
    <w:rsid w:val="00CC6A55"/>
    <w:rsid w:val="00CE7375"/>
    <w:rsid w:val="00CF509E"/>
    <w:rsid w:val="00D03D91"/>
    <w:rsid w:val="00D14281"/>
    <w:rsid w:val="00D1767E"/>
    <w:rsid w:val="00D34389"/>
    <w:rsid w:val="00D4037C"/>
    <w:rsid w:val="00D62605"/>
    <w:rsid w:val="00D674F0"/>
    <w:rsid w:val="00D77554"/>
    <w:rsid w:val="00D8150A"/>
    <w:rsid w:val="00D96C38"/>
    <w:rsid w:val="00DA6BA5"/>
    <w:rsid w:val="00DC69A0"/>
    <w:rsid w:val="00DE1B6B"/>
    <w:rsid w:val="00DE1E9D"/>
    <w:rsid w:val="00DF5AFC"/>
    <w:rsid w:val="00DF7EB2"/>
    <w:rsid w:val="00E03B0B"/>
    <w:rsid w:val="00E11623"/>
    <w:rsid w:val="00E349C6"/>
    <w:rsid w:val="00E368D3"/>
    <w:rsid w:val="00E44E71"/>
    <w:rsid w:val="00E61AFC"/>
    <w:rsid w:val="00E61AFE"/>
    <w:rsid w:val="00E65BFB"/>
    <w:rsid w:val="00E80208"/>
    <w:rsid w:val="00E81A5D"/>
    <w:rsid w:val="00E91B62"/>
    <w:rsid w:val="00E96CCB"/>
    <w:rsid w:val="00E96F91"/>
    <w:rsid w:val="00EA46E5"/>
    <w:rsid w:val="00EA7CB5"/>
    <w:rsid w:val="00ED48DE"/>
    <w:rsid w:val="00ED5DFD"/>
    <w:rsid w:val="00EE01EC"/>
    <w:rsid w:val="00EE7CAB"/>
    <w:rsid w:val="00EF7376"/>
    <w:rsid w:val="00F10AB2"/>
    <w:rsid w:val="00F15084"/>
    <w:rsid w:val="00F155F5"/>
    <w:rsid w:val="00F170DC"/>
    <w:rsid w:val="00F216E2"/>
    <w:rsid w:val="00F410BB"/>
    <w:rsid w:val="00F423B9"/>
    <w:rsid w:val="00F427A4"/>
    <w:rsid w:val="00F43C54"/>
    <w:rsid w:val="00F469C5"/>
    <w:rsid w:val="00F67CE9"/>
    <w:rsid w:val="00F72ED6"/>
    <w:rsid w:val="00F80457"/>
    <w:rsid w:val="00F81134"/>
    <w:rsid w:val="00F96EAC"/>
    <w:rsid w:val="00FB0248"/>
    <w:rsid w:val="00FB4937"/>
    <w:rsid w:val="00FB6486"/>
    <w:rsid w:val="00FB6964"/>
    <w:rsid w:val="00FC5D36"/>
    <w:rsid w:val="00FD6C58"/>
    <w:rsid w:val="00FD7B7E"/>
    <w:rsid w:val="00FE1D97"/>
    <w:rsid w:val="48BE6376"/>
    <w:rsid w:val="5D948442"/>
    <w:rsid w:val="6F0DB9FA"/>
    <w:rsid w:val="783FEAAD"/>
    <w:rsid w:val="7C1DC6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E6A8"/>
  <w15:chartTrackingRefBased/>
  <w15:docId w15:val="{F073A792-8629-47E5-904A-787BB153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A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6A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6A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6A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6A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6A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6A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6A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6A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A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6A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6A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6A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6A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6A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6A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6A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6AA6"/>
    <w:rPr>
      <w:rFonts w:eastAsiaTheme="majorEastAsia" w:cstheme="majorBidi"/>
      <w:color w:val="272727" w:themeColor="text1" w:themeTint="D8"/>
    </w:rPr>
  </w:style>
  <w:style w:type="paragraph" w:styleId="Title">
    <w:name w:val="Title"/>
    <w:basedOn w:val="Normal"/>
    <w:next w:val="Normal"/>
    <w:link w:val="TitleChar"/>
    <w:uiPriority w:val="10"/>
    <w:qFormat/>
    <w:rsid w:val="00B56A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6A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6A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6A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6AA6"/>
    <w:pPr>
      <w:spacing w:before="160"/>
      <w:jc w:val="center"/>
    </w:pPr>
    <w:rPr>
      <w:i/>
      <w:iCs/>
      <w:color w:val="404040" w:themeColor="text1" w:themeTint="BF"/>
    </w:rPr>
  </w:style>
  <w:style w:type="character" w:customStyle="1" w:styleId="QuoteChar">
    <w:name w:val="Quote Char"/>
    <w:basedOn w:val="DefaultParagraphFont"/>
    <w:link w:val="Quote"/>
    <w:uiPriority w:val="29"/>
    <w:rsid w:val="00B56AA6"/>
    <w:rPr>
      <w:i/>
      <w:iCs/>
      <w:color w:val="404040" w:themeColor="text1" w:themeTint="BF"/>
    </w:rPr>
  </w:style>
  <w:style w:type="paragraph" w:styleId="ListParagraph">
    <w:name w:val="List Paragraph"/>
    <w:basedOn w:val="Normal"/>
    <w:uiPriority w:val="34"/>
    <w:qFormat/>
    <w:rsid w:val="00B56AA6"/>
    <w:pPr>
      <w:ind w:left="720"/>
      <w:contextualSpacing/>
    </w:pPr>
  </w:style>
  <w:style w:type="character" w:styleId="IntenseEmphasis">
    <w:name w:val="Intense Emphasis"/>
    <w:basedOn w:val="DefaultParagraphFont"/>
    <w:uiPriority w:val="21"/>
    <w:qFormat/>
    <w:rsid w:val="00B56AA6"/>
    <w:rPr>
      <w:i/>
      <w:iCs/>
      <w:color w:val="0F4761" w:themeColor="accent1" w:themeShade="BF"/>
    </w:rPr>
  </w:style>
  <w:style w:type="paragraph" w:styleId="IntenseQuote">
    <w:name w:val="Intense Quote"/>
    <w:basedOn w:val="Normal"/>
    <w:next w:val="Normal"/>
    <w:link w:val="IntenseQuoteChar"/>
    <w:uiPriority w:val="30"/>
    <w:qFormat/>
    <w:rsid w:val="00B56A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6AA6"/>
    <w:rPr>
      <w:i/>
      <w:iCs/>
      <w:color w:val="0F4761" w:themeColor="accent1" w:themeShade="BF"/>
    </w:rPr>
  </w:style>
  <w:style w:type="character" w:styleId="IntenseReference">
    <w:name w:val="Intense Reference"/>
    <w:basedOn w:val="DefaultParagraphFont"/>
    <w:uiPriority w:val="32"/>
    <w:qFormat/>
    <w:rsid w:val="00B56AA6"/>
    <w:rPr>
      <w:b/>
      <w:bCs/>
      <w:smallCaps/>
      <w:color w:val="0F4761" w:themeColor="accent1" w:themeShade="BF"/>
      <w:spacing w:val="5"/>
    </w:rPr>
  </w:style>
  <w:style w:type="paragraph" w:styleId="Header">
    <w:name w:val="header"/>
    <w:basedOn w:val="Normal"/>
    <w:link w:val="HeaderChar"/>
    <w:uiPriority w:val="99"/>
    <w:unhideWhenUsed/>
    <w:rsid w:val="00905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EAB"/>
  </w:style>
  <w:style w:type="paragraph" w:styleId="Footer">
    <w:name w:val="footer"/>
    <w:basedOn w:val="Normal"/>
    <w:link w:val="FooterChar"/>
    <w:uiPriority w:val="99"/>
    <w:unhideWhenUsed/>
    <w:rsid w:val="00905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EAB"/>
  </w:style>
  <w:style w:type="paragraph" w:styleId="CommentText">
    <w:name w:val="annotation text"/>
    <w:basedOn w:val="Normal"/>
    <w:link w:val="CommentTextChar"/>
    <w:uiPriority w:val="99"/>
    <w:unhideWhenUsed/>
    <w:rsid w:val="00905EAB"/>
    <w:pPr>
      <w:spacing w:line="240" w:lineRule="auto"/>
    </w:pPr>
    <w:rPr>
      <w:sz w:val="20"/>
      <w:szCs w:val="20"/>
    </w:rPr>
  </w:style>
  <w:style w:type="character" w:customStyle="1" w:styleId="CommentTextChar">
    <w:name w:val="Comment Text Char"/>
    <w:basedOn w:val="DefaultParagraphFont"/>
    <w:link w:val="CommentText"/>
    <w:uiPriority w:val="99"/>
    <w:rsid w:val="00905EAB"/>
    <w:rPr>
      <w:sz w:val="20"/>
      <w:szCs w:val="20"/>
    </w:rPr>
  </w:style>
  <w:style w:type="character" w:styleId="CommentReference">
    <w:name w:val="annotation reference"/>
    <w:basedOn w:val="DefaultParagraphFont"/>
    <w:uiPriority w:val="99"/>
    <w:semiHidden/>
    <w:unhideWhenUsed/>
    <w:rsid w:val="00905EAB"/>
    <w:rPr>
      <w:sz w:val="16"/>
      <w:szCs w:val="16"/>
    </w:rPr>
  </w:style>
  <w:style w:type="paragraph" w:styleId="CommentSubject">
    <w:name w:val="annotation subject"/>
    <w:basedOn w:val="CommentText"/>
    <w:next w:val="CommentText"/>
    <w:link w:val="CommentSubjectChar"/>
    <w:uiPriority w:val="99"/>
    <w:semiHidden/>
    <w:unhideWhenUsed/>
    <w:rsid w:val="00C862DE"/>
    <w:rPr>
      <w:b/>
      <w:bCs/>
    </w:rPr>
  </w:style>
  <w:style w:type="character" w:customStyle="1" w:styleId="CommentSubjectChar">
    <w:name w:val="Comment Subject Char"/>
    <w:basedOn w:val="CommentTextChar"/>
    <w:link w:val="CommentSubject"/>
    <w:uiPriority w:val="99"/>
    <w:semiHidden/>
    <w:rsid w:val="00C862DE"/>
    <w:rPr>
      <w:b/>
      <w:bCs/>
      <w:sz w:val="20"/>
      <w:szCs w:val="20"/>
    </w:rPr>
  </w:style>
  <w:style w:type="paragraph" w:styleId="Revision">
    <w:name w:val="Revision"/>
    <w:hidden/>
    <w:uiPriority w:val="99"/>
    <w:semiHidden/>
    <w:rsid w:val="00E81A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E97B5-0574-4C90-B5CE-3287AB9F92DC}">
  <ds:schemaRefs>
    <ds:schemaRef ds:uri="http://schemas.openxmlformats.org/officeDocument/2006/bibliography"/>
  </ds:schemaRefs>
</ds:datastoreItem>
</file>

<file path=customXml/itemProps2.xml><?xml version="1.0" encoding="utf-8"?>
<ds:datastoreItem xmlns:ds="http://schemas.openxmlformats.org/officeDocument/2006/customXml" ds:itemID="{64FEBAAF-37C8-4CA7-ABD5-4D9D33D46DB0}">
  <ds:schemaRefs>
    <ds:schemaRef ds:uri="http://schemas.microsoft.com/sharepoint/v3/contenttype/forms"/>
  </ds:schemaRefs>
</ds:datastoreItem>
</file>

<file path=customXml/itemProps3.xml><?xml version="1.0" encoding="utf-8"?>
<ds:datastoreItem xmlns:ds="http://schemas.openxmlformats.org/officeDocument/2006/customXml" ds:itemID="{C1973D92-E13B-4702-A09B-9465E9D71DC6}">
  <ds:schemaRefs>
    <ds:schemaRef ds:uri="http://schemas.microsoft.com/office/2006/metadata/properties"/>
    <ds:schemaRef ds:uri="http://schemas.microsoft.com/office/infopath/2007/PartnerControls"/>
    <ds:schemaRef ds:uri="ab3074b2-a2f2-40d4-95db-4d8bfc6beab8"/>
    <ds:schemaRef ds:uri="985ec44e-1bab-4c0b-9df0-6ba128686fc9"/>
  </ds:schemaRefs>
</ds:datastoreItem>
</file>

<file path=customXml/itemProps4.xml><?xml version="1.0" encoding="utf-8"?>
<ds:datastoreItem xmlns:ds="http://schemas.openxmlformats.org/officeDocument/2006/customXml" ds:itemID="{7D52FECA-BFCD-4AEA-B7A8-128DC0B83400}"/>
</file>

<file path=docProps/app.xml><?xml version="1.0" encoding="utf-8"?>
<Properties xmlns="http://schemas.openxmlformats.org/officeDocument/2006/extended-properties" xmlns:vt="http://schemas.openxmlformats.org/officeDocument/2006/docPropsVTypes">
  <Template>Normal</Template>
  <TotalTime>5</TotalTime>
  <Pages>1</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Reister</dc:creator>
  <cp:keywords/>
  <dc:description/>
  <cp:lastModifiedBy>Matthias Reister</cp:lastModifiedBy>
  <cp:revision>5</cp:revision>
  <cp:lastPrinted>2024-10-15T21:07:00Z</cp:lastPrinted>
  <dcterms:created xsi:type="dcterms:W3CDTF">2024-10-15T21:05:00Z</dcterms:created>
  <dcterms:modified xsi:type="dcterms:W3CDTF">2024-10-15T21:29:00Z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0x0101004A1011FD5C6FA94692668CCBB0B001B7</vt:lpwstr>
  </property>
  <property fmtid="{D5CDD505-2E9C-101B-9397-08002B2CF9AE}" pid="3" name="MediaServiceImageTags">
    <vt:lpwstr/>
  </property>
</Properties>
</file>