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5B545" w14:textId="77777777" w:rsidR="008B2498" w:rsidRPr="00770396" w:rsidRDefault="008B2498" w:rsidP="00AE7950">
      <w:pPr>
        <w:pStyle w:val="Heading1"/>
        <w:spacing w:line="240" w:lineRule="auto"/>
        <w:jc w:val="center"/>
        <w:rPr>
          <w:rFonts w:asciiTheme="minorHAnsi" w:hAnsiTheme="minorHAnsi" w:cstheme="minorHAnsi"/>
          <w:sz w:val="28"/>
          <w:szCs w:val="28"/>
        </w:rPr>
      </w:pPr>
      <w:bookmarkStart w:id="0" w:name="_Hlk178690042"/>
      <w:r w:rsidRPr="00770396">
        <w:rPr>
          <w:rFonts w:asciiTheme="minorHAnsi" w:hAnsiTheme="minorHAnsi" w:cstheme="minorHAnsi"/>
          <w:sz w:val="28"/>
          <w:szCs w:val="28"/>
        </w:rPr>
        <w:t>Financing Policy Brief Series – Recommendations for FfD4</w:t>
      </w:r>
    </w:p>
    <w:p w14:paraId="29633187" w14:textId="3917B3E6" w:rsidR="00190B4C" w:rsidRPr="00770396" w:rsidRDefault="008B2498" w:rsidP="009543B7">
      <w:pPr>
        <w:pStyle w:val="Heading1"/>
        <w:spacing w:line="240" w:lineRule="auto"/>
        <w:jc w:val="center"/>
        <w:rPr>
          <w:rFonts w:asciiTheme="minorHAnsi" w:hAnsiTheme="minorHAnsi" w:cstheme="minorHAnsi"/>
          <w:sz w:val="28"/>
          <w:szCs w:val="28"/>
        </w:rPr>
      </w:pPr>
      <w:r w:rsidRPr="00770396">
        <w:rPr>
          <w:rFonts w:asciiTheme="minorHAnsi" w:hAnsiTheme="minorHAnsi" w:cstheme="minorHAnsi"/>
          <w:sz w:val="28"/>
          <w:szCs w:val="28"/>
        </w:rPr>
        <w:t>Financing for Gender Equality</w:t>
      </w:r>
    </w:p>
    <w:p w14:paraId="38DCE650" w14:textId="646247A3" w:rsidR="009543B7" w:rsidRPr="00770396" w:rsidRDefault="00190B4C" w:rsidP="009543B7">
      <w:pPr>
        <w:pStyle w:val="Heading1"/>
        <w:spacing w:line="240" w:lineRule="auto"/>
        <w:jc w:val="center"/>
        <w:rPr>
          <w:rFonts w:asciiTheme="minorHAnsi" w:hAnsiTheme="minorHAnsi" w:cstheme="minorHAnsi"/>
          <w:sz w:val="28"/>
          <w:szCs w:val="28"/>
        </w:rPr>
      </w:pPr>
      <w:r w:rsidRPr="00770396">
        <w:rPr>
          <w:rFonts w:asciiTheme="minorHAnsi" w:hAnsiTheme="minorHAnsi" w:cstheme="minorHAnsi"/>
          <w:sz w:val="28"/>
          <w:szCs w:val="28"/>
        </w:rPr>
        <w:t>Submitted by UN-Women on behalf of the IATF Gender Cluster</w:t>
      </w:r>
    </w:p>
    <w:p w14:paraId="63DEC7EF" w14:textId="77777777" w:rsidR="00190B4C" w:rsidRPr="00770396" w:rsidRDefault="00190B4C" w:rsidP="00190B4C"/>
    <w:p w14:paraId="5EA2DF97" w14:textId="77777777" w:rsidR="008B2498" w:rsidRPr="00770396" w:rsidRDefault="008B2498" w:rsidP="00AE7950">
      <w:pPr>
        <w:spacing w:line="240" w:lineRule="auto"/>
        <w:jc w:val="center"/>
        <w:rPr>
          <w:rFonts w:cstheme="minorHAnsi"/>
        </w:rPr>
      </w:pPr>
    </w:p>
    <w:p w14:paraId="29688530" w14:textId="3CF3D0E3"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Key messages </w:t>
      </w:r>
    </w:p>
    <w:p w14:paraId="29CA5A68" w14:textId="77777777" w:rsidR="008B2498" w:rsidRPr="00770396" w:rsidRDefault="008B2498" w:rsidP="00FC21F6">
      <w:pPr>
        <w:spacing w:line="240" w:lineRule="auto"/>
        <w:rPr>
          <w:rFonts w:cstheme="minorHAnsi"/>
        </w:rPr>
      </w:pPr>
    </w:p>
    <w:p w14:paraId="574FA2E0" w14:textId="06E540E0" w:rsidR="00DA6FCA" w:rsidRPr="00770396" w:rsidRDefault="00DA6FCA"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Global crises and economic shocks have </w:t>
      </w:r>
      <w:r w:rsidR="0075279B" w:rsidRPr="00770396">
        <w:rPr>
          <w:rFonts w:cstheme="minorHAnsi"/>
          <w:color w:val="000000"/>
        </w:rPr>
        <w:t>widened existing</w:t>
      </w:r>
      <w:r w:rsidRPr="00770396">
        <w:rPr>
          <w:rFonts w:cstheme="minorHAnsi"/>
          <w:color w:val="000000"/>
        </w:rPr>
        <w:t xml:space="preserve"> gender gaps, threatening the achievement of sustainable development, inclusive economic growth, and lasting peace. </w:t>
      </w:r>
    </w:p>
    <w:p w14:paraId="0FFD4125" w14:textId="435B1E7C" w:rsidR="00215961" w:rsidRPr="00770396" w:rsidRDefault="001D0F6D"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Despite the clear economic and social dividends </w:t>
      </w:r>
      <w:r w:rsidR="00497023" w:rsidRPr="00770396">
        <w:rPr>
          <w:rFonts w:cstheme="minorHAnsi"/>
          <w:color w:val="000000"/>
        </w:rPr>
        <w:t>of closing gender gaps</w:t>
      </w:r>
      <w:r w:rsidRPr="00770396">
        <w:rPr>
          <w:rFonts w:cstheme="minorHAnsi"/>
          <w:color w:val="000000"/>
        </w:rPr>
        <w:t>, sustainable and adequate financing for gender equality remains profoundly lacking</w:t>
      </w:r>
      <w:r w:rsidR="00243E7F" w:rsidRPr="00770396">
        <w:rPr>
          <w:rFonts w:cstheme="minorHAnsi"/>
          <w:color w:val="000000"/>
        </w:rPr>
        <w:t xml:space="preserve">. </w:t>
      </w:r>
    </w:p>
    <w:p w14:paraId="0C2BB65B" w14:textId="32DD7755" w:rsidR="007A6FA0" w:rsidRPr="00770396" w:rsidRDefault="007A2567" w:rsidP="00886CE3">
      <w:pPr>
        <w:numPr>
          <w:ilvl w:val="0"/>
          <w:numId w:val="12"/>
        </w:numPr>
        <w:pBdr>
          <w:top w:val="nil"/>
          <w:left w:val="nil"/>
          <w:bottom w:val="nil"/>
          <w:right w:val="nil"/>
          <w:between w:val="nil"/>
        </w:pBdr>
        <w:spacing w:after="0" w:line="240" w:lineRule="auto"/>
        <w:jc w:val="both"/>
        <w:rPr>
          <w:rFonts w:cstheme="minorHAnsi"/>
          <w:b/>
          <w:i/>
          <w:strike/>
          <w:color w:val="000000"/>
        </w:rPr>
      </w:pPr>
      <w:r w:rsidRPr="00770396">
        <w:rPr>
          <w:rFonts w:cstheme="minorHAnsi"/>
          <w:color w:val="000000"/>
        </w:rPr>
        <w:t xml:space="preserve">Even when resources are available, their prioritization, effective and efficient allocation are often misaligned with national gender priorities. </w:t>
      </w:r>
    </w:p>
    <w:p w14:paraId="0B2DBC87" w14:textId="77777777" w:rsidR="00196203" w:rsidRPr="00770396" w:rsidRDefault="00196203"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Reforms to the international financial system can advance gender equality by addressing systemic barriers and creating inclusive economies. </w:t>
      </w:r>
    </w:p>
    <w:p w14:paraId="2FA8DA6A" w14:textId="77777777" w:rsidR="00196203" w:rsidRPr="00770396" w:rsidRDefault="00196203"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Timely, effective and fair debt relief mechanisms are crucial to free up public finances in support of increased financing for women and girls. </w:t>
      </w:r>
    </w:p>
    <w:p w14:paraId="58552D70" w14:textId="1A53F2B6" w:rsidR="008B2498" w:rsidRPr="00770396" w:rsidRDefault="00E94377"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Progressive taxation</w:t>
      </w:r>
      <w:r w:rsidR="0027517B" w:rsidRPr="00770396">
        <w:rPr>
          <w:rFonts w:cstheme="minorHAnsi"/>
          <w:color w:val="000000"/>
        </w:rPr>
        <w:t xml:space="preserve"> and</w:t>
      </w:r>
      <w:r w:rsidRPr="00770396">
        <w:rPr>
          <w:rFonts w:cstheme="minorHAnsi"/>
          <w:color w:val="000000"/>
        </w:rPr>
        <w:t xml:space="preserve"> gender-responsive budgeting</w:t>
      </w:r>
      <w:r w:rsidR="0027517B" w:rsidRPr="00770396">
        <w:rPr>
          <w:rFonts w:cstheme="minorHAnsi"/>
          <w:color w:val="000000"/>
        </w:rPr>
        <w:t xml:space="preserve"> can increase fiscal space for investments to close gender gaps.</w:t>
      </w:r>
    </w:p>
    <w:p w14:paraId="2EDE6F9E" w14:textId="2E0C7281" w:rsidR="008B2498" w:rsidRPr="00770396" w:rsidRDefault="008B2498"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A significant increase in </w:t>
      </w:r>
      <w:r w:rsidR="003966F3" w:rsidRPr="00770396">
        <w:rPr>
          <w:rFonts w:cstheme="minorHAnsi"/>
          <w:color w:val="000000"/>
        </w:rPr>
        <w:t xml:space="preserve">the gender focus of </w:t>
      </w:r>
      <w:r w:rsidRPr="00770396">
        <w:rPr>
          <w:rFonts w:cstheme="minorHAnsi"/>
          <w:color w:val="000000"/>
        </w:rPr>
        <w:t xml:space="preserve">official development assistance (ODA) </w:t>
      </w:r>
      <w:r w:rsidR="003966F3" w:rsidRPr="00770396">
        <w:rPr>
          <w:rFonts w:cstheme="minorHAnsi"/>
          <w:color w:val="000000"/>
        </w:rPr>
        <w:t>is</w:t>
      </w:r>
      <w:r w:rsidRPr="00770396">
        <w:rPr>
          <w:rFonts w:cstheme="minorHAnsi"/>
          <w:color w:val="000000"/>
        </w:rPr>
        <w:t xml:space="preserve"> required, </w:t>
      </w:r>
      <w:r w:rsidR="003966F3" w:rsidRPr="00770396">
        <w:rPr>
          <w:rFonts w:cstheme="minorHAnsi"/>
          <w:color w:val="000000"/>
        </w:rPr>
        <w:t xml:space="preserve">particularly </w:t>
      </w:r>
      <w:r w:rsidRPr="00770396">
        <w:rPr>
          <w:rFonts w:cstheme="minorHAnsi"/>
          <w:color w:val="000000"/>
        </w:rPr>
        <w:t>in crisis contexts.</w:t>
      </w:r>
    </w:p>
    <w:p w14:paraId="4262D8B4" w14:textId="1D335840" w:rsidR="0056149A" w:rsidRPr="00770396" w:rsidRDefault="0056149A" w:rsidP="00886CE3">
      <w:pPr>
        <w:numPr>
          <w:ilvl w:val="0"/>
          <w:numId w:val="12"/>
        </w:numPr>
        <w:pBdr>
          <w:top w:val="nil"/>
          <w:left w:val="nil"/>
          <w:bottom w:val="nil"/>
          <w:right w:val="nil"/>
          <w:between w:val="nil"/>
        </w:pBdr>
        <w:spacing w:after="0" w:line="240" w:lineRule="auto"/>
        <w:jc w:val="both"/>
        <w:rPr>
          <w:rFonts w:cstheme="minorHAnsi"/>
          <w:color w:val="000000"/>
        </w:rPr>
      </w:pPr>
      <w:bookmarkStart w:id="1" w:name="_Hlk178690715"/>
      <w:r w:rsidRPr="00770396">
        <w:rPr>
          <w:rFonts w:cstheme="minorHAnsi"/>
          <w:color w:val="111111"/>
        </w:rPr>
        <w:t>Financing social protection and ensuring women’s access to finance, credit and financial services</w:t>
      </w:r>
      <w:r w:rsidR="00886CE3">
        <w:rPr>
          <w:rFonts w:cstheme="minorHAnsi"/>
          <w:color w:val="111111"/>
        </w:rPr>
        <w:t xml:space="preserve"> is essential</w:t>
      </w:r>
      <w:r w:rsidRPr="00770396">
        <w:rPr>
          <w:rFonts w:cstheme="minorHAnsi"/>
          <w:color w:val="111111"/>
        </w:rPr>
        <w:t>.</w:t>
      </w:r>
    </w:p>
    <w:p w14:paraId="28F5F0FC" w14:textId="65F956B0" w:rsidR="005338E9" w:rsidRPr="00770396" w:rsidRDefault="009D0E0A"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Integrating gender equality into</w:t>
      </w:r>
      <w:r w:rsidR="00F56951" w:rsidRPr="00770396">
        <w:rPr>
          <w:rFonts w:cstheme="minorHAnsi"/>
          <w:color w:val="000000"/>
        </w:rPr>
        <w:t xml:space="preserve"> all development finance </w:t>
      </w:r>
      <w:r w:rsidR="005338E9" w:rsidRPr="00770396">
        <w:rPr>
          <w:rFonts w:cstheme="minorHAnsi"/>
          <w:color w:val="000000"/>
        </w:rPr>
        <w:t xml:space="preserve">including </w:t>
      </w:r>
      <w:r w:rsidRPr="00770396">
        <w:rPr>
          <w:rFonts w:cstheme="minorHAnsi"/>
          <w:color w:val="000000"/>
        </w:rPr>
        <w:t>private finance instruments, standards and taxonomies is crucial to scale private f</w:t>
      </w:r>
      <w:r w:rsidR="00E275B2" w:rsidRPr="00770396">
        <w:rPr>
          <w:rFonts w:cstheme="minorHAnsi"/>
          <w:color w:val="000000"/>
        </w:rPr>
        <w:t>inancing with a gender lens</w:t>
      </w:r>
      <w:r w:rsidRPr="00770396">
        <w:rPr>
          <w:rFonts w:cstheme="minorHAnsi"/>
          <w:color w:val="000000"/>
        </w:rPr>
        <w:t>.</w:t>
      </w:r>
      <w:bookmarkEnd w:id="1"/>
      <w:r w:rsidR="005338E9" w:rsidRPr="00770396">
        <w:rPr>
          <w:rFonts w:cstheme="minorHAnsi"/>
          <w:color w:val="111111"/>
        </w:rPr>
        <w:t xml:space="preserve"> </w:t>
      </w:r>
    </w:p>
    <w:p w14:paraId="266CC197" w14:textId="166A143B" w:rsidR="008B2498" w:rsidRPr="00770396" w:rsidRDefault="005338E9" w:rsidP="00886CE3">
      <w:pPr>
        <w:numPr>
          <w:ilvl w:val="0"/>
          <w:numId w:val="12"/>
        </w:numPr>
        <w:pBdr>
          <w:top w:val="nil"/>
          <w:left w:val="nil"/>
          <w:bottom w:val="nil"/>
          <w:right w:val="nil"/>
          <w:between w:val="nil"/>
        </w:pBdr>
        <w:spacing w:after="0" w:line="240" w:lineRule="auto"/>
        <w:jc w:val="both"/>
        <w:rPr>
          <w:rFonts w:cstheme="minorHAnsi"/>
          <w:color w:val="000000"/>
        </w:rPr>
      </w:pPr>
      <w:r w:rsidRPr="00770396">
        <w:rPr>
          <w:rFonts w:cstheme="minorHAnsi"/>
          <w:color w:val="111111"/>
        </w:rPr>
        <w:t>Supporting gender lens investing with a focus on women led or focused companies through the social and solidarity economy and inclusive international trade is vital.</w:t>
      </w:r>
    </w:p>
    <w:p w14:paraId="19C3ADB8" w14:textId="57C80830" w:rsidR="00532D91" w:rsidRPr="00770396" w:rsidRDefault="0056149A" w:rsidP="00886CE3">
      <w:pPr>
        <w:numPr>
          <w:ilvl w:val="0"/>
          <w:numId w:val="12"/>
        </w:numPr>
        <w:pBdr>
          <w:top w:val="nil"/>
          <w:left w:val="nil"/>
          <w:bottom w:val="nil"/>
          <w:right w:val="nil"/>
          <w:between w:val="nil"/>
        </w:pBdr>
        <w:spacing w:line="240" w:lineRule="auto"/>
        <w:jc w:val="both"/>
        <w:rPr>
          <w:rFonts w:cstheme="minorHAnsi"/>
        </w:rPr>
      </w:pPr>
      <w:r w:rsidRPr="00770396">
        <w:rPr>
          <w:rFonts w:cstheme="minorHAnsi"/>
          <w:color w:val="111111"/>
        </w:rPr>
        <w:t>Investing in sex disaggregated data and statistics</w:t>
      </w:r>
      <w:r w:rsidR="00C67BF0" w:rsidRPr="00770396">
        <w:rPr>
          <w:rFonts w:cstheme="minorHAnsi"/>
          <w:color w:val="111111"/>
        </w:rPr>
        <w:t xml:space="preserve"> and</w:t>
      </w:r>
      <w:r w:rsidR="0027517B" w:rsidRPr="00770396">
        <w:rPr>
          <w:rFonts w:cstheme="minorHAnsi"/>
          <w:color w:val="000000"/>
        </w:rPr>
        <w:t xml:space="preserve"> enhanced women's leadership and decision making </w:t>
      </w:r>
      <w:r w:rsidR="00C67BF0" w:rsidRPr="00770396">
        <w:rPr>
          <w:rFonts w:cstheme="minorHAnsi"/>
          <w:color w:val="000000"/>
        </w:rPr>
        <w:t>is imper</w:t>
      </w:r>
      <w:r w:rsidR="00C823DB" w:rsidRPr="00770396">
        <w:rPr>
          <w:rFonts w:cstheme="minorHAnsi"/>
          <w:color w:val="000000"/>
        </w:rPr>
        <w:t>ative</w:t>
      </w:r>
      <w:r w:rsidR="0027517B" w:rsidRPr="00770396">
        <w:rPr>
          <w:rFonts w:cstheme="minorHAnsi"/>
          <w:color w:val="000000"/>
        </w:rPr>
        <w:t>.</w:t>
      </w:r>
    </w:p>
    <w:p w14:paraId="5487D0BF" w14:textId="77777777" w:rsidR="00BD5B1F" w:rsidRPr="00770396" w:rsidRDefault="00BD5B1F" w:rsidP="00FC21F6">
      <w:pPr>
        <w:spacing w:line="240" w:lineRule="auto"/>
        <w:rPr>
          <w:rFonts w:cstheme="minorHAnsi"/>
        </w:rPr>
      </w:pPr>
    </w:p>
    <w:p w14:paraId="75BBD751" w14:textId="77777777" w:rsidR="00BD5B1F" w:rsidRPr="00770396" w:rsidRDefault="00BD5B1F" w:rsidP="00FC21F6">
      <w:pPr>
        <w:spacing w:line="240" w:lineRule="auto"/>
        <w:rPr>
          <w:rFonts w:cstheme="minorHAnsi"/>
        </w:rPr>
      </w:pPr>
    </w:p>
    <w:p w14:paraId="31EF636E" w14:textId="77777777" w:rsidR="00BD5B1F" w:rsidRPr="00770396" w:rsidRDefault="00BD5B1F" w:rsidP="00FC21F6">
      <w:pPr>
        <w:spacing w:line="240" w:lineRule="auto"/>
        <w:rPr>
          <w:rFonts w:cstheme="minorHAnsi"/>
        </w:rPr>
      </w:pPr>
    </w:p>
    <w:p w14:paraId="7C6B4638" w14:textId="77777777" w:rsidR="00D14D07" w:rsidRPr="00770396" w:rsidRDefault="00D14D07" w:rsidP="00FC21F6">
      <w:pPr>
        <w:spacing w:line="240" w:lineRule="auto"/>
        <w:rPr>
          <w:rFonts w:cstheme="minorHAnsi"/>
        </w:rPr>
      </w:pPr>
    </w:p>
    <w:p w14:paraId="4535E383" w14:textId="77777777" w:rsidR="006B69E5" w:rsidRPr="00770396" w:rsidRDefault="006B69E5" w:rsidP="00AE7950">
      <w:pPr>
        <w:pBdr>
          <w:top w:val="nil"/>
          <w:left w:val="nil"/>
          <w:bottom w:val="nil"/>
          <w:right w:val="nil"/>
          <w:between w:val="nil"/>
        </w:pBdr>
        <w:spacing w:after="0" w:line="240" w:lineRule="auto"/>
        <w:ind w:left="1080"/>
        <w:rPr>
          <w:rFonts w:cstheme="minorHAnsi"/>
          <w:color w:val="000000"/>
        </w:rPr>
      </w:pPr>
    </w:p>
    <w:p w14:paraId="2E247256" w14:textId="77777777" w:rsidR="0069405C" w:rsidRPr="00770396" w:rsidRDefault="0069405C" w:rsidP="00AE7950">
      <w:pPr>
        <w:pBdr>
          <w:top w:val="nil"/>
          <w:left w:val="nil"/>
          <w:bottom w:val="nil"/>
          <w:right w:val="nil"/>
          <w:between w:val="nil"/>
        </w:pBdr>
        <w:spacing w:after="0" w:line="240" w:lineRule="auto"/>
        <w:ind w:left="1080"/>
        <w:rPr>
          <w:rFonts w:cstheme="minorHAnsi"/>
          <w:color w:val="000000"/>
        </w:rPr>
      </w:pPr>
    </w:p>
    <w:p w14:paraId="76BD9C9B" w14:textId="77777777" w:rsidR="0069405C" w:rsidRPr="00770396" w:rsidRDefault="0069405C" w:rsidP="00AE7950">
      <w:pPr>
        <w:pBdr>
          <w:top w:val="nil"/>
          <w:left w:val="nil"/>
          <w:bottom w:val="nil"/>
          <w:right w:val="nil"/>
          <w:between w:val="nil"/>
        </w:pBdr>
        <w:spacing w:after="0" w:line="240" w:lineRule="auto"/>
        <w:ind w:left="1080"/>
        <w:rPr>
          <w:rFonts w:cstheme="minorHAnsi"/>
          <w:color w:val="000000"/>
        </w:rPr>
      </w:pPr>
    </w:p>
    <w:p w14:paraId="54130EF9" w14:textId="77777777" w:rsidR="005E42E6" w:rsidRPr="00770396" w:rsidRDefault="005E42E6" w:rsidP="00AE7950">
      <w:pPr>
        <w:pBdr>
          <w:top w:val="nil"/>
          <w:left w:val="nil"/>
          <w:bottom w:val="nil"/>
          <w:right w:val="nil"/>
          <w:between w:val="nil"/>
        </w:pBdr>
        <w:spacing w:after="0" w:line="240" w:lineRule="auto"/>
        <w:ind w:left="1080"/>
        <w:rPr>
          <w:rFonts w:cstheme="minorHAnsi"/>
          <w:color w:val="000000"/>
        </w:rPr>
      </w:pPr>
    </w:p>
    <w:p w14:paraId="76DBFE21" w14:textId="77777777" w:rsidR="005E42E6" w:rsidRPr="00770396" w:rsidRDefault="005E42E6" w:rsidP="00AE7950">
      <w:pPr>
        <w:pBdr>
          <w:top w:val="nil"/>
          <w:left w:val="nil"/>
          <w:bottom w:val="nil"/>
          <w:right w:val="nil"/>
          <w:between w:val="nil"/>
        </w:pBdr>
        <w:spacing w:after="0" w:line="240" w:lineRule="auto"/>
        <w:ind w:left="1080"/>
        <w:rPr>
          <w:rFonts w:cstheme="minorHAnsi"/>
          <w:color w:val="000000"/>
        </w:rPr>
      </w:pPr>
    </w:p>
    <w:p w14:paraId="7BB35081" w14:textId="77777777" w:rsidR="00553242" w:rsidRPr="00770396" w:rsidRDefault="00553242" w:rsidP="00AE7950">
      <w:pPr>
        <w:pBdr>
          <w:top w:val="nil"/>
          <w:left w:val="nil"/>
          <w:bottom w:val="nil"/>
          <w:right w:val="nil"/>
          <w:between w:val="nil"/>
        </w:pBdr>
        <w:spacing w:after="0" w:line="240" w:lineRule="auto"/>
        <w:ind w:left="1080"/>
        <w:rPr>
          <w:rFonts w:cstheme="minorHAnsi"/>
          <w:color w:val="000000"/>
        </w:rPr>
      </w:pPr>
    </w:p>
    <w:p w14:paraId="090F6A05" w14:textId="77777777" w:rsidR="00553242" w:rsidRPr="00770396" w:rsidRDefault="00553242" w:rsidP="00AE7950">
      <w:pPr>
        <w:pBdr>
          <w:top w:val="nil"/>
          <w:left w:val="nil"/>
          <w:bottom w:val="nil"/>
          <w:right w:val="nil"/>
          <w:between w:val="nil"/>
        </w:pBdr>
        <w:spacing w:line="240" w:lineRule="auto"/>
        <w:ind w:left="1080"/>
        <w:rPr>
          <w:rFonts w:cstheme="minorHAnsi"/>
          <w:color w:val="000000"/>
        </w:rPr>
      </w:pPr>
    </w:p>
    <w:p w14:paraId="54EE2614" w14:textId="70A171F9"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Problem statement </w:t>
      </w:r>
    </w:p>
    <w:p w14:paraId="0675A674" w14:textId="1C9AA016" w:rsidR="008B2498" w:rsidRPr="00770396" w:rsidRDefault="00E61032" w:rsidP="00886CE3">
      <w:pPr>
        <w:spacing w:before="280" w:after="280" w:line="240" w:lineRule="auto"/>
        <w:jc w:val="both"/>
        <w:rPr>
          <w:rFonts w:cstheme="minorHAnsi"/>
          <w:b/>
          <w:i/>
        </w:rPr>
      </w:pPr>
      <w:r w:rsidRPr="00770396">
        <w:rPr>
          <w:rFonts w:cstheme="minorHAnsi"/>
          <w:b/>
          <w:i/>
        </w:rPr>
        <w:t xml:space="preserve">Global crises and economic shocks have </w:t>
      </w:r>
      <w:r w:rsidR="00716498" w:rsidRPr="00770396">
        <w:rPr>
          <w:rFonts w:cstheme="minorHAnsi"/>
          <w:b/>
          <w:i/>
        </w:rPr>
        <w:t>widened</w:t>
      </w:r>
      <w:r w:rsidR="0075279B" w:rsidRPr="00770396">
        <w:rPr>
          <w:rFonts w:cstheme="minorHAnsi"/>
          <w:b/>
          <w:i/>
        </w:rPr>
        <w:t xml:space="preserve"> existing</w:t>
      </w:r>
      <w:r w:rsidRPr="00770396">
        <w:rPr>
          <w:rFonts w:cstheme="minorHAnsi"/>
          <w:b/>
          <w:i/>
        </w:rPr>
        <w:t xml:space="preserve"> gender gaps, threatening the achievement of sustainable development, inclusive economic growth, and lasting peace</w:t>
      </w:r>
      <w:r w:rsidR="008B2498" w:rsidRPr="00770396">
        <w:rPr>
          <w:rFonts w:cstheme="minorHAnsi"/>
          <w:b/>
          <w:i/>
        </w:rPr>
        <w:t>.</w:t>
      </w:r>
    </w:p>
    <w:p w14:paraId="6B6B0B9A" w14:textId="1C5BC0F1" w:rsidR="00A10AFF" w:rsidRPr="00770396" w:rsidRDefault="00610D9F"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Women and girls bear the brunt of these disruptions with crises pushing them into extreme poverty, deepening food insecurity, and heighten</w:t>
      </w:r>
      <w:r w:rsidR="00950DF0" w:rsidRPr="00770396">
        <w:rPr>
          <w:rFonts w:cstheme="minorHAnsi"/>
          <w:color w:val="000000"/>
        </w:rPr>
        <w:t>ed</w:t>
      </w:r>
      <w:r w:rsidRPr="00770396">
        <w:rPr>
          <w:rFonts w:cstheme="minorHAnsi"/>
          <w:color w:val="000000"/>
        </w:rPr>
        <w:t xml:space="preserve"> vulnerability to violence. Under the most severe climate scenarios, up to 158 million women and girls could be driven into extreme poverty by 2050, while 236 million will face acute food insecurity.</w:t>
      </w:r>
      <w:r w:rsidR="000815EB" w:rsidRPr="00770396">
        <w:rPr>
          <w:rFonts w:cstheme="minorHAnsi"/>
          <w:color w:val="000000"/>
          <w:vertAlign w:val="superscript"/>
        </w:rPr>
        <w:footnoteReference w:id="2"/>
      </w:r>
      <w:r w:rsidR="000815EB" w:rsidRPr="00770396">
        <w:rPr>
          <w:rFonts w:cstheme="minorHAnsi"/>
          <w:color w:val="000000"/>
        </w:rPr>
        <w:t xml:space="preserve"> </w:t>
      </w:r>
      <w:r w:rsidR="002920D3" w:rsidRPr="00770396">
        <w:rPr>
          <w:rFonts w:cstheme="minorHAnsi"/>
          <w:color w:val="333333"/>
        </w:rPr>
        <w:t>G</w:t>
      </w:r>
      <w:r w:rsidR="0018769D" w:rsidRPr="00770396">
        <w:rPr>
          <w:rFonts w:cstheme="minorHAnsi"/>
          <w:color w:val="333333"/>
        </w:rPr>
        <w:t>lobally, 119.3 million girls remain out of school, and 39 per cent of young women fail to complete upper-secondary education</w:t>
      </w:r>
      <w:r w:rsidR="00AE503F">
        <w:rPr>
          <w:rFonts w:cstheme="minorHAnsi"/>
          <w:color w:val="333333"/>
        </w:rPr>
        <w:t>.</w:t>
      </w:r>
      <w:r w:rsidR="00F572AA" w:rsidRPr="00770396">
        <w:rPr>
          <w:rFonts w:cstheme="minorHAnsi"/>
          <w:color w:val="333333"/>
          <w:vertAlign w:val="superscript"/>
        </w:rPr>
        <w:footnoteReference w:id="3"/>
      </w:r>
      <w:r w:rsidR="00D20057" w:rsidRPr="00770396">
        <w:rPr>
          <w:rFonts w:cstheme="minorHAnsi"/>
          <w:color w:val="333333"/>
        </w:rPr>
        <w:t xml:space="preserve"> The</w:t>
      </w:r>
      <w:r w:rsidR="0018769D" w:rsidRPr="00770396">
        <w:rPr>
          <w:rFonts w:cstheme="minorHAnsi"/>
          <w:color w:val="333333"/>
        </w:rPr>
        <w:t xml:space="preserve"> global cost of t</w:t>
      </w:r>
      <w:r w:rsidR="002920D3" w:rsidRPr="00770396">
        <w:rPr>
          <w:rFonts w:cstheme="minorHAnsi"/>
          <w:color w:val="333333"/>
        </w:rPr>
        <w:t xml:space="preserve">he basic skills deficit could surpass </w:t>
      </w:r>
      <w:r w:rsidR="0018769D" w:rsidRPr="00770396">
        <w:rPr>
          <w:rFonts w:cstheme="minorHAnsi"/>
          <w:color w:val="333333"/>
        </w:rPr>
        <w:t>$10 trillion by 2030</w:t>
      </w:r>
      <w:r w:rsidR="002920D3" w:rsidRPr="00770396">
        <w:rPr>
          <w:rFonts w:cstheme="minorHAnsi"/>
          <w:color w:val="333333"/>
        </w:rPr>
        <w:t>, more than the combined GDPs of France and Japan</w:t>
      </w:r>
      <w:r w:rsidR="0018769D" w:rsidRPr="00770396">
        <w:rPr>
          <w:rFonts w:cstheme="minorHAnsi"/>
          <w:color w:val="333333"/>
        </w:rPr>
        <w:t>.</w:t>
      </w:r>
      <w:r w:rsidR="002920D3" w:rsidRPr="00770396">
        <w:rPr>
          <w:rFonts w:cstheme="minorHAnsi"/>
          <w:color w:val="000000"/>
          <w:vertAlign w:val="superscript"/>
        </w:rPr>
        <w:footnoteReference w:id="4"/>
      </w:r>
      <w:r w:rsidR="000B79CC" w:rsidRPr="00770396">
        <w:rPr>
          <w:rFonts w:cstheme="minorHAnsi"/>
          <w:color w:val="000000"/>
        </w:rPr>
        <w:t xml:space="preserve"> </w:t>
      </w:r>
      <w:r w:rsidRPr="00770396">
        <w:rPr>
          <w:rFonts w:cstheme="minorHAnsi"/>
          <w:color w:val="000000"/>
        </w:rPr>
        <w:t xml:space="preserve">These stark figures underscore the high </w:t>
      </w:r>
      <w:r w:rsidR="000815EB" w:rsidRPr="00770396">
        <w:rPr>
          <w:rFonts w:cstheme="minorHAnsi"/>
          <w:color w:val="000000"/>
        </w:rPr>
        <w:t xml:space="preserve">economic and social </w:t>
      </w:r>
      <w:r w:rsidRPr="00770396">
        <w:rPr>
          <w:rFonts w:cstheme="minorHAnsi"/>
          <w:color w:val="000000"/>
        </w:rPr>
        <w:t>cost</w:t>
      </w:r>
      <w:r w:rsidR="00131CFE" w:rsidRPr="00770396">
        <w:rPr>
          <w:rFonts w:cstheme="minorHAnsi"/>
          <w:color w:val="000000"/>
        </w:rPr>
        <w:t>s</w:t>
      </w:r>
      <w:r w:rsidRPr="00770396">
        <w:rPr>
          <w:rFonts w:cstheme="minorHAnsi"/>
          <w:color w:val="000000"/>
        </w:rPr>
        <w:t xml:space="preserve"> of gender inequality</w:t>
      </w:r>
      <w:r w:rsidR="000815EB" w:rsidRPr="00770396">
        <w:rPr>
          <w:rFonts w:cstheme="minorHAnsi"/>
          <w:color w:val="000000"/>
        </w:rPr>
        <w:t xml:space="preserve">. </w:t>
      </w:r>
      <w:r w:rsidRPr="00770396">
        <w:rPr>
          <w:rFonts w:cstheme="minorHAnsi"/>
          <w:color w:val="000000"/>
        </w:rPr>
        <w:t xml:space="preserve">In contrast, investing in gender equality </w:t>
      </w:r>
      <w:r w:rsidR="009367A5" w:rsidRPr="00770396">
        <w:rPr>
          <w:rFonts w:cstheme="minorHAnsi"/>
          <w:color w:val="000000"/>
        </w:rPr>
        <w:t>can lead to more sustainable, inclusive and resilient societies</w:t>
      </w:r>
      <w:r w:rsidR="000815EB" w:rsidRPr="00770396">
        <w:rPr>
          <w:rFonts w:cstheme="minorHAnsi"/>
          <w:color w:val="000000"/>
        </w:rPr>
        <w:t xml:space="preserve">. </w:t>
      </w:r>
      <w:r w:rsidR="00AD379D" w:rsidRPr="00770396">
        <w:rPr>
          <w:rFonts w:cstheme="minorHAnsi"/>
          <w:color w:val="000000"/>
        </w:rPr>
        <w:t>On average long run GDP per capita, across countries would be almost 20</w:t>
      </w:r>
      <w:r w:rsidR="00BF0655" w:rsidRPr="00770396">
        <w:rPr>
          <w:rFonts w:cstheme="minorHAnsi"/>
          <w:color w:val="000000"/>
        </w:rPr>
        <w:t xml:space="preserve"> per cent </w:t>
      </w:r>
      <w:r w:rsidR="00AD379D" w:rsidRPr="00770396">
        <w:rPr>
          <w:rFonts w:cstheme="minorHAnsi"/>
          <w:color w:val="000000"/>
        </w:rPr>
        <w:t>higher if all gender employment gaps were to be closed</w:t>
      </w:r>
      <w:r w:rsidR="00AE503F">
        <w:rPr>
          <w:rFonts w:cstheme="minorHAnsi"/>
          <w:color w:val="000000"/>
        </w:rPr>
        <w:t>,</w:t>
      </w:r>
      <w:r w:rsidR="00AD379D" w:rsidRPr="00770396">
        <w:rPr>
          <w:rFonts w:cstheme="minorHAnsi"/>
          <w:color w:val="000000"/>
          <w:vertAlign w:val="superscript"/>
        </w:rPr>
        <w:footnoteReference w:id="5"/>
      </w:r>
      <w:r w:rsidR="00FD2F8E" w:rsidRPr="00770396">
        <w:rPr>
          <w:rFonts w:cstheme="minorHAnsi"/>
          <w:color w:val="000000"/>
        </w:rPr>
        <w:t xml:space="preserve"> while </w:t>
      </w:r>
      <w:r w:rsidR="00B8184E" w:rsidRPr="00770396">
        <w:rPr>
          <w:rFonts w:cstheme="minorHAnsi"/>
          <w:color w:val="000000"/>
        </w:rPr>
        <w:t xml:space="preserve">addressing </w:t>
      </w:r>
      <w:r w:rsidR="00FD2F8E" w:rsidRPr="00770396">
        <w:rPr>
          <w:rFonts w:cstheme="minorHAnsi"/>
          <w:color w:val="000000"/>
        </w:rPr>
        <w:t xml:space="preserve">gaps in education and health can </w:t>
      </w:r>
      <w:r w:rsidR="007232B5" w:rsidRPr="00770396">
        <w:rPr>
          <w:rFonts w:cstheme="minorHAnsi"/>
          <w:color w:val="000000"/>
        </w:rPr>
        <w:t xml:space="preserve">boost </w:t>
      </w:r>
      <w:r w:rsidR="00FD2F8E" w:rsidRPr="00770396">
        <w:rPr>
          <w:rFonts w:cstheme="minorHAnsi"/>
          <w:color w:val="000000"/>
        </w:rPr>
        <w:t>human capital growth in low-income and developing countries</w:t>
      </w:r>
      <w:r w:rsidR="003738BB" w:rsidRPr="00770396">
        <w:rPr>
          <w:rFonts w:cstheme="minorHAnsi"/>
          <w:color w:val="000000"/>
        </w:rPr>
        <w:t>.</w:t>
      </w:r>
      <w:r w:rsidR="00FD2F8E" w:rsidRPr="00770396">
        <w:rPr>
          <w:rFonts w:cstheme="minorHAnsi"/>
          <w:color w:val="000000"/>
          <w:vertAlign w:val="superscript"/>
        </w:rPr>
        <w:footnoteReference w:id="6"/>
      </w:r>
      <w:r w:rsidR="00FD2F8E" w:rsidRPr="00770396">
        <w:rPr>
          <w:rFonts w:cstheme="minorHAnsi"/>
          <w:color w:val="000000"/>
        </w:rPr>
        <w:t xml:space="preserve"> </w:t>
      </w:r>
    </w:p>
    <w:p w14:paraId="78E38744" w14:textId="6A83E3DF" w:rsidR="004D4FC9" w:rsidRPr="00770396" w:rsidRDefault="00B8184E" w:rsidP="00886CE3">
      <w:pPr>
        <w:spacing w:before="280" w:after="280" w:line="240" w:lineRule="auto"/>
        <w:jc w:val="both"/>
        <w:rPr>
          <w:rFonts w:cstheme="minorHAnsi"/>
          <w:b/>
          <w:i/>
        </w:rPr>
      </w:pPr>
      <w:r w:rsidRPr="00770396">
        <w:rPr>
          <w:rFonts w:cstheme="minorHAnsi"/>
          <w:b/>
          <w:bCs/>
          <w:i/>
          <w:iCs/>
        </w:rPr>
        <w:t>D</w:t>
      </w:r>
      <w:r w:rsidR="000815EB" w:rsidRPr="00770396">
        <w:rPr>
          <w:rFonts w:cstheme="minorHAnsi"/>
          <w:b/>
          <w:bCs/>
          <w:i/>
          <w:iCs/>
        </w:rPr>
        <w:t>espite the clear economic and social dividends, sustainable and adequate financing for gender equality remains profoundly lacking.</w:t>
      </w:r>
    </w:p>
    <w:p w14:paraId="22E3CF04" w14:textId="32C28A11" w:rsidR="000815EB" w:rsidRPr="00770396" w:rsidRDefault="00121481" w:rsidP="00886CE3">
      <w:pPr>
        <w:spacing w:after="0" w:line="240" w:lineRule="auto"/>
        <w:jc w:val="both"/>
        <w:rPr>
          <w:rFonts w:cstheme="minorHAnsi"/>
          <w:vertAlign w:val="superscript"/>
        </w:rPr>
      </w:pPr>
      <w:r w:rsidRPr="00770396">
        <w:rPr>
          <w:rFonts w:cstheme="minorHAnsi"/>
        </w:rPr>
        <w:t xml:space="preserve">An estimated $6.4 trillion per year is needed across 48 developing countries to end </w:t>
      </w:r>
      <w:r w:rsidR="00017660" w:rsidRPr="00770396">
        <w:rPr>
          <w:rFonts w:cstheme="minorHAnsi"/>
        </w:rPr>
        <w:t xml:space="preserve">women’s </w:t>
      </w:r>
      <w:r w:rsidRPr="00770396">
        <w:rPr>
          <w:rFonts w:cstheme="minorHAnsi"/>
        </w:rPr>
        <w:t>poverty and hunger</w:t>
      </w:r>
      <w:r w:rsidR="00017660" w:rsidRPr="00770396">
        <w:rPr>
          <w:rFonts w:cstheme="minorHAnsi"/>
        </w:rPr>
        <w:t xml:space="preserve"> </w:t>
      </w:r>
      <w:r w:rsidRPr="00770396">
        <w:rPr>
          <w:rFonts w:cstheme="minorHAnsi"/>
        </w:rPr>
        <w:t xml:space="preserve">and to support more equal participation of women in </w:t>
      </w:r>
      <w:r w:rsidR="000B10AB" w:rsidRPr="00770396">
        <w:rPr>
          <w:rFonts w:eastAsia="Times New Roman" w:cstheme="minorHAnsi"/>
          <w:kern w:val="0"/>
          <w:lang w:eastAsia="en-US"/>
          <w14:ligatures w14:val="none"/>
        </w:rPr>
        <w:t xml:space="preserve">the economy and </w:t>
      </w:r>
      <w:r w:rsidRPr="00770396">
        <w:rPr>
          <w:rFonts w:cstheme="minorHAnsi"/>
        </w:rPr>
        <w:t>society by 2030</w:t>
      </w:r>
      <w:r w:rsidR="00151E74" w:rsidRPr="00770396">
        <w:rPr>
          <w:rFonts w:cstheme="minorHAnsi"/>
        </w:rPr>
        <w:t xml:space="preserve">. </w:t>
      </w:r>
      <w:r w:rsidRPr="00770396">
        <w:rPr>
          <w:rFonts w:cstheme="minorHAnsi"/>
        </w:rPr>
        <w:t>If government expenditure maintains its current trajectory, there will be a shortfall of $360 billion per year.</w:t>
      </w:r>
      <w:r w:rsidR="006D06EA" w:rsidRPr="00770396">
        <w:rPr>
          <w:rFonts w:cstheme="minorHAnsi"/>
          <w:vertAlign w:val="superscript"/>
        </w:rPr>
        <w:footnoteReference w:id="7"/>
      </w:r>
      <w:r w:rsidR="00057B92" w:rsidRPr="00770396">
        <w:rPr>
          <w:rFonts w:cstheme="minorHAnsi"/>
        </w:rPr>
        <w:t xml:space="preserve"> </w:t>
      </w:r>
      <w:r w:rsidR="00BE4409" w:rsidRPr="00770396">
        <w:rPr>
          <w:rFonts w:cstheme="minorHAnsi"/>
        </w:rPr>
        <w:t>Declining revenue, regressive tax structures, and fiscal leakage from illicit financial flows further diminish the capacity of</w:t>
      </w:r>
      <w:r w:rsidR="00257F89" w:rsidRPr="00770396">
        <w:rPr>
          <w:rFonts w:cstheme="minorHAnsi"/>
        </w:rPr>
        <w:t xml:space="preserve"> governments</w:t>
      </w:r>
      <w:r w:rsidR="00BE4409" w:rsidRPr="00770396">
        <w:rPr>
          <w:rFonts w:cstheme="minorHAnsi"/>
        </w:rPr>
        <w:t xml:space="preserve"> to invest in gender-responsive policies.</w:t>
      </w:r>
      <w:r w:rsidR="00D754AA" w:rsidRPr="00770396">
        <w:rPr>
          <w:rFonts w:cstheme="minorHAnsi"/>
        </w:rPr>
        <w:t xml:space="preserve"> </w:t>
      </w:r>
      <w:r w:rsidR="003C12C1" w:rsidRPr="00770396">
        <w:rPr>
          <w:rFonts w:cstheme="minorHAnsi"/>
        </w:rPr>
        <w:t>Rising debt burdens crowd out fiscal space for investments in gender equality. Fifty countries, home to 3.3 billion people, face significant underinvestment in critical sectors such as health and education, due to increasing debt service payments.</w:t>
      </w:r>
      <w:r w:rsidR="003C12C1" w:rsidRPr="00770396">
        <w:rPr>
          <w:rFonts w:cstheme="minorHAnsi"/>
          <w:vertAlign w:val="superscript"/>
        </w:rPr>
        <w:footnoteReference w:id="8"/>
      </w:r>
      <w:r w:rsidR="003C12C1" w:rsidRPr="00770396">
        <w:rPr>
          <w:rFonts w:cstheme="minorHAnsi"/>
        </w:rPr>
        <w:t xml:space="preserve"> </w:t>
      </w:r>
      <w:r w:rsidR="00257F89" w:rsidRPr="00770396">
        <w:rPr>
          <w:rFonts w:cstheme="minorHAnsi"/>
        </w:rPr>
        <w:t>For the first time in a decade, the</w:t>
      </w:r>
      <w:r w:rsidR="00D754AA" w:rsidRPr="00770396">
        <w:rPr>
          <w:rFonts w:cstheme="minorHAnsi"/>
        </w:rPr>
        <w:t xml:space="preserve"> share of official development assistance (ODA) with gender equality objectives has declined, dropping from 45% in 2019-20 to 42% in 2021-22</w:t>
      </w:r>
      <w:r w:rsidR="00505006" w:rsidRPr="00770396">
        <w:rPr>
          <w:rFonts w:cstheme="minorHAnsi"/>
        </w:rPr>
        <w:t>, while d</w:t>
      </w:r>
      <w:r w:rsidR="00D754AA" w:rsidRPr="00770396">
        <w:rPr>
          <w:rFonts w:cstheme="minorHAnsi"/>
        </w:rPr>
        <w:t>evelopment finance</w:t>
      </w:r>
      <w:r w:rsidR="00A95C45" w:rsidRPr="00770396">
        <w:rPr>
          <w:rFonts w:cstheme="minorHAnsi"/>
        </w:rPr>
        <w:t xml:space="preserve"> often</w:t>
      </w:r>
      <w:r w:rsidR="00C62C7F" w:rsidRPr="00770396">
        <w:rPr>
          <w:rFonts w:cstheme="minorHAnsi"/>
        </w:rPr>
        <w:t xml:space="preserve"> </w:t>
      </w:r>
      <w:r w:rsidR="00A95C45" w:rsidRPr="00770396">
        <w:rPr>
          <w:rFonts w:cstheme="minorHAnsi"/>
        </w:rPr>
        <w:t>lacks</w:t>
      </w:r>
      <w:r w:rsidR="00C62C7F" w:rsidRPr="00770396">
        <w:rPr>
          <w:rFonts w:cstheme="minorHAnsi"/>
        </w:rPr>
        <w:t xml:space="preserve"> a gender perspective limiting </w:t>
      </w:r>
      <w:r w:rsidR="00A95C45" w:rsidRPr="00770396">
        <w:rPr>
          <w:rFonts w:cstheme="minorHAnsi"/>
        </w:rPr>
        <w:t>its effectiveness.</w:t>
      </w:r>
      <w:r w:rsidR="00D754AA" w:rsidRPr="00770396">
        <w:rPr>
          <w:rFonts w:cstheme="minorHAnsi"/>
          <w:vertAlign w:val="superscript"/>
        </w:rPr>
        <w:footnoteReference w:id="9"/>
      </w:r>
      <w:r w:rsidR="00D754AA" w:rsidRPr="00770396">
        <w:rPr>
          <w:rFonts w:cstheme="minorHAnsi"/>
        </w:rPr>
        <w:t xml:space="preserve">  </w:t>
      </w:r>
    </w:p>
    <w:p w14:paraId="57AA858B" w14:textId="77777777" w:rsidR="00142977" w:rsidRPr="00770396" w:rsidRDefault="00142977" w:rsidP="00AE7950">
      <w:pPr>
        <w:pBdr>
          <w:top w:val="nil"/>
          <w:left w:val="nil"/>
          <w:bottom w:val="nil"/>
          <w:right w:val="nil"/>
          <w:between w:val="nil"/>
        </w:pBdr>
        <w:spacing w:after="0" w:line="240" w:lineRule="auto"/>
        <w:rPr>
          <w:rFonts w:cstheme="minorHAnsi"/>
          <w:color w:val="000000"/>
        </w:rPr>
      </w:pPr>
    </w:p>
    <w:p w14:paraId="2D071DA2" w14:textId="1EB461B8" w:rsidR="008B2498" w:rsidRPr="00770396" w:rsidRDefault="008B2498" w:rsidP="00886CE3">
      <w:pPr>
        <w:pBdr>
          <w:top w:val="nil"/>
          <w:left w:val="nil"/>
          <w:bottom w:val="nil"/>
          <w:right w:val="nil"/>
          <w:between w:val="nil"/>
        </w:pBdr>
        <w:spacing w:line="240" w:lineRule="auto"/>
        <w:jc w:val="both"/>
        <w:rPr>
          <w:rFonts w:cstheme="minorHAnsi"/>
          <w:b/>
          <w:i/>
          <w:color w:val="000000"/>
        </w:rPr>
      </w:pPr>
      <w:bookmarkStart w:id="2" w:name="_Hlk178797759"/>
      <w:r w:rsidRPr="00770396">
        <w:rPr>
          <w:rFonts w:cstheme="minorHAnsi"/>
          <w:b/>
          <w:i/>
          <w:color w:val="000000"/>
        </w:rPr>
        <w:t>Even when resources are available, their prioritization</w:t>
      </w:r>
      <w:r w:rsidR="002D60B6" w:rsidRPr="00770396">
        <w:rPr>
          <w:rFonts w:cstheme="minorHAnsi"/>
          <w:b/>
          <w:i/>
          <w:color w:val="000000"/>
        </w:rPr>
        <w:t>,</w:t>
      </w:r>
      <w:r w:rsidRPr="00770396">
        <w:rPr>
          <w:rFonts w:cstheme="minorHAnsi"/>
          <w:b/>
          <w:i/>
          <w:color w:val="000000"/>
        </w:rPr>
        <w:t xml:space="preserve"> effective</w:t>
      </w:r>
      <w:r w:rsidR="002148DC" w:rsidRPr="00770396">
        <w:rPr>
          <w:rFonts w:cstheme="minorHAnsi"/>
          <w:b/>
          <w:i/>
          <w:color w:val="000000"/>
        </w:rPr>
        <w:t xml:space="preserve"> and efficient</w:t>
      </w:r>
      <w:r w:rsidRPr="00770396">
        <w:rPr>
          <w:rFonts w:cstheme="minorHAnsi"/>
          <w:b/>
          <w:i/>
          <w:color w:val="000000"/>
        </w:rPr>
        <w:t xml:space="preserve"> allocation are often </w:t>
      </w:r>
      <w:r w:rsidR="00724E00" w:rsidRPr="00770396">
        <w:rPr>
          <w:rFonts w:cstheme="minorHAnsi"/>
          <w:b/>
          <w:i/>
          <w:color w:val="000000"/>
        </w:rPr>
        <w:t xml:space="preserve">misaligned with </w:t>
      </w:r>
      <w:r w:rsidR="00F403B8" w:rsidRPr="00770396">
        <w:rPr>
          <w:rFonts w:cstheme="minorHAnsi"/>
          <w:b/>
          <w:i/>
          <w:color w:val="000000"/>
        </w:rPr>
        <w:t>national gender priorities.</w:t>
      </w:r>
    </w:p>
    <w:bookmarkEnd w:id="2"/>
    <w:p w14:paraId="050891A4" w14:textId="2A07EC04" w:rsidR="008B2498" w:rsidRPr="00770396" w:rsidRDefault="00986D0C" w:rsidP="00886CE3">
      <w:pPr>
        <w:pBdr>
          <w:top w:val="nil"/>
          <w:left w:val="nil"/>
          <w:bottom w:val="nil"/>
          <w:right w:val="nil"/>
          <w:between w:val="nil"/>
        </w:pBdr>
        <w:spacing w:after="0" w:line="240" w:lineRule="auto"/>
        <w:jc w:val="both"/>
        <w:rPr>
          <w:rFonts w:cstheme="minorHAnsi"/>
          <w:b/>
          <w:color w:val="000000"/>
        </w:rPr>
      </w:pPr>
      <w:r w:rsidRPr="00770396">
        <w:rPr>
          <w:rFonts w:cstheme="minorHAnsi"/>
          <w:color w:val="000000"/>
        </w:rPr>
        <w:t xml:space="preserve">Between 2017 and 2022, governments spent $7 trillion annually subsidizing agriculture, fishing, and fossil fuels, yet gender policies remain consistently underfunded. </w:t>
      </w:r>
      <w:r w:rsidRPr="00770396">
        <w:rPr>
          <w:rFonts w:cstheme="minorHAnsi"/>
          <w:color w:val="000000"/>
          <w:vertAlign w:val="superscript"/>
        </w:rPr>
        <w:footnoteReference w:id="10"/>
      </w:r>
      <w:r w:rsidRPr="00770396">
        <w:rPr>
          <w:rFonts w:cstheme="minorHAnsi"/>
          <w:color w:val="000000"/>
        </w:rPr>
        <w:t xml:space="preserve"> </w:t>
      </w:r>
      <w:r w:rsidR="00B077C3" w:rsidRPr="00770396">
        <w:rPr>
          <w:rFonts w:cstheme="minorHAnsi"/>
          <w:color w:val="000000"/>
        </w:rPr>
        <w:t>The</w:t>
      </w:r>
      <w:r w:rsidRPr="00770396">
        <w:rPr>
          <w:rFonts w:cstheme="minorHAnsi"/>
          <w:color w:val="000000"/>
        </w:rPr>
        <w:t xml:space="preserve"> misalignment of resource allocation with national gender priorities widens gender gaps. </w:t>
      </w:r>
      <w:r w:rsidR="008B2498" w:rsidRPr="00770396">
        <w:rPr>
          <w:rFonts w:cstheme="minorHAnsi"/>
          <w:color w:val="000000"/>
        </w:rPr>
        <w:t xml:space="preserve">Despite </w:t>
      </w:r>
      <w:r w:rsidRPr="00770396">
        <w:rPr>
          <w:rFonts w:cstheme="minorHAnsi"/>
          <w:color w:val="000000"/>
        </w:rPr>
        <w:t>the</w:t>
      </w:r>
      <w:r w:rsidR="008B2498" w:rsidRPr="00770396">
        <w:rPr>
          <w:rFonts w:cstheme="minorHAnsi"/>
          <w:color w:val="000000"/>
        </w:rPr>
        <w:t xml:space="preserve"> global</w:t>
      </w:r>
      <w:r w:rsidR="00F403B8" w:rsidRPr="00770396">
        <w:rPr>
          <w:rFonts w:cstheme="minorHAnsi"/>
          <w:color w:val="000000"/>
        </w:rPr>
        <w:t xml:space="preserve"> uptake of </w:t>
      </w:r>
      <w:r w:rsidR="008B2498" w:rsidRPr="00770396">
        <w:rPr>
          <w:rFonts w:cstheme="minorHAnsi"/>
          <w:color w:val="000000"/>
        </w:rPr>
        <w:t xml:space="preserve">gender-responsive budgeting (GRB), only one in four countries currently has comprehensive systems to track </w:t>
      </w:r>
      <w:r w:rsidRPr="00770396">
        <w:rPr>
          <w:rFonts w:cstheme="minorHAnsi"/>
          <w:color w:val="000000"/>
        </w:rPr>
        <w:t>public spending on</w:t>
      </w:r>
      <w:r w:rsidR="008B2498" w:rsidRPr="00770396">
        <w:rPr>
          <w:rFonts w:cstheme="minorHAnsi"/>
          <w:color w:val="000000"/>
        </w:rPr>
        <w:t xml:space="preserve"> gender </w:t>
      </w:r>
      <w:r w:rsidR="008B2498" w:rsidRPr="00770396">
        <w:rPr>
          <w:rFonts w:cstheme="minorHAnsi"/>
          <w:color w:val="000000"/>
        </w:rPr>
        <w:lastRenderedPageBreak/>
        <w:t>equality</w:t>
      </w:r>
      <w:r w:rsidR="00007A4D">
        <w:rPr>
          <w:rFonts w:cstheme="minorHAnsi"/>
          <w:b/>
          <w:color w:val="000000"/>
        </w:rPr>
        <w:t>.</w:t>
      </w:r>
      <w:r w:rsidR="008B2498" w:rsidRPr="00770396">
        <w:rPr>
          <w:rFonts w:cstheme="minorHAnsi"/>
          <w:color w:val="000000"/>
          <w:vertAlign w:val="superscript"/>
        </w:rPr>
        <w:footnoteReference w:id="11"/>
      </w:r>
      <w:r w:rsidRPr="00770396">
        <w:rPr>
          <w:rFonts w:cstheme="minorHAnsi"/>
          <w:color w:val="000000"/>
        </w:rPr>
        <w:t xml:space="preserve"> Without financial systems that are explicitly designed to track and prioritize gender equality, public funds are not being effectively directed toward closing gender gaps.</w:t>
      </w:r>
    </w:p>
    <w:p w14:paraId="76FA0E5F" w14:textId="77777777" w:rsidR="00610D9F" w:rsidRPr="00770396" w:rsidRDefault="00610D9F" w:rsidP="00AE7950">
      <w:pPr>
        <w:pBdr>
          <w:top w:val="nil"/>
          <w:left w:val="nil"/>
          <w:bottom w:val="nil"/>
          <w:right w:val="nil"/>
          <w:between w:val="nil"/>
        </w:pBdr>
        <w:spacing w:after="0" w:line="240" w:lineRule="auto"/>
        <w:rPr>
          <w:rFonts w:cstheme="minorHAnsi"/>
          <w:color w:val="000000"/>
        </w:rPr>
      </w:pPr>
    </w:p>
    <w:p w14:paraId="0E0009BD" w14:textId="7C9E51AB" w:rsidR="008B2498" w:rsidRPr="00770396" w:rsidRDefault="00986D0C"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P</w:t>
      </w:r>
      <w:r w:rsidR="008B2498" w:rsidRPr="00770396">
        <w:rPr>
          <w:rFonts w:asciiTheme="minorHAnsi" w:hAnsiTheme="minorHAnsi" w:cstheme="minorHAnsi"/>
          <w:sz w:val="28"/>
          <w:szCs w:val="28"/>
        </w:rPr>
        <w:t>olicy solutions</w:t>
      </w:r>
      <w:r w:rsidR="00D530AA" w:rsidRPr="00770396">
        <w:rPr>
          <w:rFonts w:asciiTheme="minorHAnsi" w:hAnsiTheme="minorHAnsi" w:cstheme="minorHAnsi"/>
          <w:sz w:val="28"/>
          <w:szCs w:val="28"/>
        </w:rPr>
        <w:t xml:space="preserve"> to mobilize financing for gender equality</w:t>
      </w:r>
      <w:r w:rsidR="008B2498" w:rsidRPr="00770396">
        <w:rPr>
          <w:rFonts w:asciiTheme="minorHAnsi" w:hAnsiTheme="minorHAnsi" w:cstheme="minorHAnsi"/>
          <w:sz w:val="28"/>
          <w:szCs w:val="28"/>
        </w:rPr>
        <w:t xml:space="preserve"> </w:t>
      </w:r>
    </w:p>
    <w:p w14:paraId="0C74597B" w14:textId="77777777" w:rsidR="008B2498" w:rsidRPr="00770396" w:rsidRDefault="008B2498" w:rsidP="00AE7950">
      <w:pPr>
        <w:pBdr>
          <w:top w:val="nil"/>
          <w:left w:val="nil"/>
          <w:bottom w:val="nil"/>
          <w:right w:val="nil"/>
          <w:between w:val="nil"/>
        </w:pBdr>
        <w:spacing w:after="0" w:line="240" w:lineRule="auto"/>
        <w:rPr>
          <w:rFonts w:cstheme="minorHAnsi"/>
          <w:color w:val="000000"/>
        </w:rPr>
      </w:pPr>
    </w:p>
    <w:p w14:paraId="50792D73" w14:textId="2485789F" w:rsidR="007152A0" w:rsidRPr="00770396" w:rsidRDefault="00F910D6" w:rsidP="00886CE3">
      <w:pPr>
        <w:spacing w:line="240" w:lineRule="auto"/>
        <w:jc w:val="both"/>
        <w:rPr>
          <w:rFonts w:cstheme="minorHAnsi"/>
          <w:b/>
          <w:bCs/>
          <w:i/>
          <w:iCs/>
        </w:rPr>
      </w:pPr>
      <w:r w:rsidRPr="00770396">
        <w:rPr>
          <w:rFonts w:cstheme="minorHAnsi"/>
          <w:b/>
          <w:bCs/>
          <w:i/>
          <w:iCs/>
        </w:rPr>
        <w:t xml:space="preserve">The </w:t>
      </w:r>
      <w:r w:rsidR="007152A0" w:rsidRPr="00770396">
        <w:rPr>
          <w:rFonts w:cstheme="minorHAnsi"/>
          <w:b/>
          <w:bCs/>
          <w:i/>
          <w:iCs/>
        </w:rPr>
        <w:t xml:space="preserve">international financial system </w:t>
      </w:r>
      <w:r w:rsidR="003E5BDF" w:rsidRPr="00770396">
        <w:rPr>
          <w:rFonts w:cstheme="minorHAnsi"/>
          <w:b/>
          <w:bCs/>
          <w:i/>
          <w:iCs/>
        </w:rPr>
        <w:t>must address</w:t>
      </w:r>
      <w:r w:rsidR="007152A0" w:rsidRPr="00770396">
        <w:rPr>
          <w:rFonts w:cstheme="minorHAnsi"/>
          <w:b/>
          <w:bCs/>
          <w:i/>
          <w:iCs/>
        </w:rPr>
        <w:t xml:space="preserve"> systemic barriers t</w:t>
      </w:r>
      <w:r w:rsidR="00246545" w:rsidRPr="00770396">
        <w:rPr>
          <w:rFonts w:cstheme="minorHAnsi"/>
          <w:b/>
          <w:bCs/>
          <w:i/>
          <w:iCs/>
        </w:rPr>
        <w:t xml:space="preserve">hat prevent </w:t>
      </w:r>
      <w:r w:rsidR="007152A0" w:rsidRPr="00770396">
        <w:rPr>
          <w:rFonts w:cstheme="minorHAnsi"/>
          <w:b/>
          <w:bCs/>
          <w:i/>
          <w:iCs/>
        </w:rPr>
        <w:t xml:space="preserve">resource mobilization and creating inclusive economies. </w:t>
      </w:r>
    </w:p>
    <w:p w14:paraId="18E4B353" w14:textId="73E8B067" w:rsidR="007152A0" w:rsidRPr="00770396" w:rsidRDefault="0002589E"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Reforms to the global financial safety net and strengthened international tax cooperation, with a focus on combatting illicit financial flows, tax evasion and avoidance, are urgently needed to expand fiscal space fo</w:t>
      </w:r>
      <w:r w:rsidR="00D266D7" w:rsidRPr="00770396">
        <w:rPr>
          <w:rFonts w:cstheme="minorHAnsi"/>
          <w:color w:val="000000"/>
        </w:rPr>
        <w:t>r</w:t>
      </w:r>
      <w:r w:rsidRPr="00770396">
        <w:rPr>
          <w:rFonts w:cstheme="minorHAnsi"/>
          <w:color w:val="000000"/>
        </w:rPr>
        <w:t xml:space="preserve"> gender equality.</w:t>
      </w:r>
      <w:r w:rsidR="00437A5E" w:rsidRPr="00770396">
        <w:rPr>
          <w:rFonts w:cstheme="minorHAnsi"/>
          <w:color w:val="000000"/>
        </w:rPr>
        <w:t xml:space="preserve"> </w:t>
      </w:r>
      <w:r w:rsidR="00D266D7" w:rsidRPr="00770396">
        <w:rPr>
          <w:rFonts w:cstheme="minorHAnsi"/>
          <w:color w:val="111111"/>
        </w:rPr>
        <w:t>I</w:t>
      </w:r>
      <w:r w:rsidR="007152A0" w:rsidRPr="00770396">
        <w:rPr>
          <w:rFonts w:cstheme="minorHAnsi"/>
          <w:color w:val="111111"/>
        </w:rPr>
        <w:t xml:space="preserve">nternational financial institutions could mandate the integration of gender impact assessments in their economic programs, loans, and grants. By ensuring that macroeconomic policies consider gender disparities, these reforms can promote more equitable outcomes in employment, wages, and social protection for women. Fiscal policies should also prioritize investments </w:t>
      </w:r>
      <w:r w:rsidR="00E50D29" w:rsidRPr="00770396">
        <w:rPr>
          <w:rFonts w:cstheme="minorHAnsi"/>
          <w:color w:val="111111"/>
        </w:rPr>
        <w:t>that ensure equal opportunities for women across all fields</w:t>
      </w:r>
      <w:r w:rsidR="007152A0" w:rsidRPr="00770396">
        <w:rPr>
          <w:rFonts w:cstheme="minorHAnsi"/>
          <w:color w:val="111111"/>
        </w:rPr>
        <w:t xml:space="preserve"> </w:t>
      </w:r>
      <w:r w:rsidR="003C3BEC" w:rsidRPr="00770396">
        <w:rPr>
          <w:rFonts w:cstheme="minorHAnsi"/>
          <w:color w:val="111111"/>
        </w:rPr>
        <w:t xml:space="preserve">while safeguarding against </w:t>
      </w:r>
      <w:r w:rsidR="007152A0" w:rsidRPr="00770396">
        <w:rPr>
          <w:rFonts w:cstheme="minorHAnsi"/>
          <w:color w:val="111111"/>
        </w:rPr>
        <w:t xml:space="preserve">austerity measures </w:t>
      </w:r>
      <w:r w:rsidR="003C3BEC" w:rsidRPr="00770396">
        <w:rPr>
          <w:rFonts w:cstheme="minorHAnsi"/>
          <w:color w:val="111111"/>
        </w:rPr>
        <w:t xml:space="preserve">that </w:t>
      </w:r>
      <w:r w:rsidR="007152A0" w:rsidRPr="00770396">
        <w:rPr>
          <w:rFonts w:cstheme="minorHAnsi"/>
          <w:color w:val="111111"/>
        </w:rPr>
        <w:t xml:space="preserve">disproportionately impact social services </w:t>
      </w:r>
      <w:r w:rsidR="00D61D60" w:rsidRPr="00770396">
        <w:rPr>
          <w:rFonts w:cstheme="minorHAnsi"/>
          <w:color w:val="111111"/>
        </w:rPr>
        <w:t xml:space="preserve">on which many </w:t>
      </w:r>
      <w:r w:rsidR="007152A0" w:rsidRPr="00770396">
        <w:rPr>
          <w:rFonts w:cstheme="minorHAnsi"/>
          <w:color w:val="111111"/>
        </w:rPr>
        <w:t xml:space="preserve">women rely on. </w:t>
      </w:r>
    </w:p>
    <w:p w14:paraId="47B2931D" w14:textId="77777777" w:rsidR="005D3292" w:rsidRPr="00770396" w:rsidRDefault="005D3292" w:rsidP="00886CE3">
      <w:pPr>
        <w:pBdr>
          <w:top w:val="nil"/>
          <w:left w:val="nil"/>
          <w:bottom w:val="nil"/>
          <w:right w:val="nil"/>
          <w:between w:val="nil"/>
        </w:pBdr>
        <w:spacing w:after="0" w:line="240" w:lineRule="auto"/>
        <w:jc w:val="both"/>
        <w:rPr>
          <w:rFonts w:cstheme="minorHAnsi"/>
          <w:b/>
          <w:i/>
          <w:color w:val="000000"/>
        </w:rPr>
      </w:pPr>
    </w:p>
    <w:p w14:paraId="1F4CF2DF" w14:textId="1214EC1B" w:rsidR="007152A0" w:rsidRPr="00770396" w:rsidRDefault="007152A0" w:rsidP="00886CE3">
      <w:pPr>
        <w:pBdr>
          <w:top w:val="nil"/>
          <w:left w:val="nil"/>
          <w:bottom w:val="nil"/>
          <w:right w:val="nil"/>
          <w:between w:val="nil"/>
        </w:pBdr>
        <w:spacing w:after="0" w:line="240" w:lineRule="auto"/>
        <w:jc w:val="both"/>
        <w:rPr>
          <w:rFonts w:cstheme="minorHAnsi"/>
          <w:b/>
          <w:color w:val="000000"/>
        </w:rPr>
      </w:pPr>
      <w:r w:rsidRPr="00770396">
        <w:rPr>
          <w:rFonts w:cstheme="minorHAnsi"/>
          <w:b/>
          <w:i/>
          <w:color w:val="000000"/>
        </w:rPr>
        <w:t>Enhanced coordination</w:t>
      </w:r>
      <w:r w:rsidR="009D0681" w:rsidRPr="00770396">
        <w:rPr>
          <w:rFonts w:cstheme="minorHAnsi"/>
          <w:b/>
          <w:i/>
          <w:color w:val="000000"/>
        </w:rPr>
        <w:t xml:space="preserve"> in </w:t>
      </w:r>
      <w:r w:rsidRPr="00770396">
        <w:rPr>
          <w:rFonts w:cstheme="minorHAnsi"/>
          <w:b/>
          <w:i/>
          <w:color w:val="000000"/>
        </w:rPr>
        <w:t xml:space="preserve">the international community is needed to address global debt challenges and create fiscal space for investments in gender equality. </w:t>
      </w:r>
    </w:p>
    <w:p w14:paraId="660E0530"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p>
    <w:p w14:paraId="42E9FAC6" w14:textId="77777777" w:rsidR="007152A0" w:rsidRPr="00770396" w:rsidRDefault="007152A0"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Concrete steps are needed to establish a sovereign debt workout mechanism so governments can redirect resources to gender-responsive, pro-poor policies and essential public services. SDG5-linked debt instruments, such as bonds or debt swaps, can also address debt sustainability while promoting gender equality, especially in solvent developing countries.</w:t>
      </w:r>
    </w:p>
    <w:p w14:paraId="25464CD5" w14:textId="77777777" w:rsidR="007152A0" w:rsidRPr="00770396" w:rsidRDefault="007152A0" w:rsidP="00886CE3">
      <w:pPr>
        <w:pBdr>
          <w:top w:val="nil"/>
          <w:left w:val="nil"/>
          <w:bottom w:val="nil"/>
          <w:right w:val="nil"/>
          <w:between w:val="nil"/>
        </w:pBdr>
        <w:spacing w:after="0" w:line="240" w:lineRule="auto"/>
        <w:jc w:val="both"/>
        <w:rPr>
          <w:rFonts w:cstheme="minorHAnsi"/>
          <w:color w:val="000000"/>
        </w:rPr>
      </w:pPr>
    </w:p>
    <w:p w14:paraId="14FE451F"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r w:rsidRPr="00770396">
        <w:rPr>
          <w:rFonts w:cstheme="minorHAnsi"/>
          <w:b/>
          <w:i/>
          <w:color w:val="000000"/>
        </w:rPr>
        <w:t>Progressive taxation and spending are required to close persistent gender gaps.</w:t>
      </w:r>
    </w:p>
    <w:p w14:paraId="79AE8382" w14:textId="77777777" w:rsidR="007152A0" w:rsidRPr="00770396" w:rsidRDefault="007152A0" w:rsidP="00886CE3">
      <w:pPr>
        <w:pBdr>
          <w:top w:val="nil"/>
          <w:left w:val="nil"/>
          <w:bottom w:val="nil"/>
          <w:right w:val="nil"/>
          <w:between w:val="nil"/>
        </w:pBdr>
        <w:spacing w:after="0" w:line="240" w:lineRule="auto"/>
        <w:jc w:val="both"/>
        <w:rPr>
          <w:rFonts w:cstheme="minorHAnsi"/>
          <w:b/>
          <w:color w:val="000000"/>
        </w:rPr>
      </w:pPr>
    </w:p>
    <w:p w14:paraId="1C0AE9DD" w14:textId="1D9F5B1D" w:rsidR="00AA0E38" w:rsidRPr="00770396" w:rsidRDefault="007152A0" w:rsidP="00886CE3">
      <w:pPr>
        <w:pBdr>
          <w:top w:val="nil"/>
          <w:left w:val="nil"/>
          <w:bottom w:val="nil"/>
          <w:right w:val="nil"/>
          <w:between w:val="nil"/>
        </w:pBdr>
        <w:spacing w:after="0" w:line="240" w:lineRule="auto"/>
        <w:jc w:val="both"/>
        <w:rPr>
          <w:rFonts w:cstheme="minorHAnsi"/>
          <w:color w:val="000000"/>
        </w:rPr>
      </w:pPr>
      <w:r w:rsidRPr="00770396">
        <w:rPr>
          <w:rFonts w:cstheme="minorHAnsi"/>
          <w:color w:val="000000"/>
        </w:rPr>
        <w:t xml:space="preserve">Shifting the tax composition towards progressivity by increasing corporate tax, introducing wealth taxes, taxes on dividends, and capital gains taxes can increase fiscal space for public spending. Reducing regressive taxes, including consumption taxes, and introducing targeted tax credits and social programmes is an effective strategy for reducing income poverty for women. Integrating gender </w:t>
      </w:r>
      <w:r w:rsidR="00313D73" w:rsidRPr="00770396">
        <w:rPr>
          <w:rFonts w:cstheme="minorHAnsi"/>
          <w:color w:val="000000"/>
        </w:rPr>
        <w:t>analysis</w:t>
      </w:r>
      <w:r w:rsidRPr="00770396">
        <w:rPr>
          <w:rFonts w:cstheme="minorHAnsi"/>
          <w:color w:val="000000"/>
        </w:rPr>
        <w:t xml:space="preserve"> into budgeting </w:t>
      </w:r>
      <w:r w:rsidR="00437AA6" w:rsidRPr="00770396">
        <w:rPr>
          <w:rFonts w:cstheme="minorHAnsi"/>
          <w:color w:val="000000"/>
        </w:rPr>
        <w:t xml:space="preserve">supports investments </w:t>
      </w:r>
      <w:r w:rsidR="001550ED" w:rsidRPr="00770396">
        <w:rPr>
          <w:rFonts w:cstheme="minorHAnsi"/>
          <w:color w:val="000000"/>
        </w:rPr>
        <w:t>to</w:t>
      </w:r>
      <w:r w:rsidRPr="00770396">
        <w:rPr>
          <w:rFonts w:cstheme="minorHAnsi"/>
          <w:color w:val="000000"/>
        </w:rPr>
        <w:t xml:space="preserve"> close persistent gender gaps </w:t>
      </w:r>
      <w:r w:rsidR="001550ED" w:rsidRPr="00770396">
        <w:rPr>
          <w:rFonts w:cstheme="minorHAnsi"/>
          <w:color w:val="000000"/>
        </w:rPr>
        <w:t>including</w:t>
      </w:r>
      <w:r w:rsidRPr="00770396">
        <w:rPr>
          <w:rFonts w:cstheme="minorHAnsi"/>
          <w:color w:val="000000"/>
        </w:rPr>
        <w:t xml:space="preserve"> women’s labour force participation</w:t>
      </w:r>
      <w:r w:rsidR="00D530AA" w:rsidRPr="00770396">
        <w:rPr>
          <w:rFonts w:cstheme="minorHAnsi"/>
          <w:color w:val="000000"/>
        </w:rPr>
        <w:t>. Gender-responsive budgeting should encompass spending on all public services, infrastructure and social protection</w:t>
      </w:r>
      <w:r w:rsidRPr="00770396">
        <w:rPr>
          <w:rFonts w:cstheme="minorHAnsi"/>
          <w:color w:val="000000"/>
        </w:rPr>
        <w:t>.</w:t>
      </w:r>
      <w:r w:rsidR="007849E4" w:rsidRPr="00770396">
        <w:rPr>
          <w:rFonts w:cstheme="minorHAnsi"/>
          <w:color w:val="000000"/>
        </w:rPr>
        <w:t xml:space="preserve"> </w:t>
      </w:r>
    </w:p>
    <w:p w14:paraId="46C12356" w14:textId="77777777" w:rsidR="001550ED" w:rsidRPr="00770396" w:rsidRDefault="001550ED" w:rsidP="00886CE3">
      <w:pPr>
        <w:pBdr>
          <w:top w:val="nil"/>
          <w:left w:val="nil"/>
          <w:bottom w:val="nil"/>
          <w:right w:val="nil"/>
          <w:between w:val="nil"/>
        </w:pBdr>
        <w:spacing w:after="0" w:line="240" w:lineRule="auto"/>
        <w:jc w:val="both"/>
        <w:rPr>
          <w:rFonts w:cstheme="minorHAnsi"/>
          <w:b/>
          <w:i/>
          <w:color w:val="000000"/>
        </w:rPr>
      </w:pPr>
    </w:p>
    <w:p w14:paraId="6A8979C8" w14:textId="1FAF6DEF" w:rsidR="007152A0" w:rsidRPr="00770396" w:rsidRDefault="00FC596C" w:rsidP="00886CE3">
      <w:pPr>
        <w:spacing w:line="240" w:lineRule="auto"/>
        <w:jc w:val="both"/>
        <w:rPr>
          <w:rFonts w:cstheme="minorHAnsi"/>
          <w:b/>
        </w:rPr>
      </w:pPr>
      <w:r w:rsidRPr="00770396">
        <w:rPr>
          <w:rFonts w:cstheme="minorHAnsi"/>
          <w:b/>
          <w:i/>
        </w:rPr>
        <w:t xml:space="preserve">Gender </w:t>
      </w:r>
      <w:r w:rsidR="007152A0" w:rsidRPr="00770396">
        <w:rPr>
          <w:rFonts w:cstheme="minorHAnsi"/>
          <w:b/>
          <w:i/>
        </w:rPr>
        <w:t xml:space="preserve">equality focus of </w:t>
      </w:r>
      <w:r w:rsidRPr="00770396">
        <w:rPr>
          <w:rFonts w:cstheme="minorHAnsi"/>
          <w:b/>
          <w:i/>
        </w:rPr>
        <w:t xml:space="preserve">ODA </w:t>
      </w:r>
      <w:r w:rsidR="007152A0" w:rsidRPr="00770396">
        <w:rPr>
          <w:rFonts w:cstheme="minorHAnsi"/>
          <w:b/>
          <w:i/>
        </w:rPr>
        <w:t>must be significantly increased</w:t>
      </w:r>
      <w:r w:rsidRPr="00770396">
        <w:rPr>
          <w:rFonts w:cstheme="minorHAnsi"/>
          <w:b/>
          <w:i/>
        </w:rPr>
        <w:t>.</w:t>
      </w:r>
    </w:p>
    <w:p w14:paraId="3711E7B7" w14:textId="5B3B2723" w:rsidR="007152A0" w:rsidRDefault="007152A0" w:rsidP="003A2148">
      <w:pPr>
        <w:spacing w:line="240" w:lineRule="auto"/>
        <w:jc w:val="both"/>
        <w:rPr>
          <w:rFonts w:cstheme="minorHAnsi"/>
        </w:rPr>
      </w:pPr>
      <w:r w:rsidRPr="00770396">
        <w:rPr>
          <w:rFonts w:cstheme="minorHAnsi"/>
        </w:rPr>
        <w:t xml:space="preserve">Official development assistance needs to better integrate gender equality considerations so that all programs and projects have a positive impact on women and girls and contribute to closing persistent gender gaps. . </w:t>
      </w:r>
      <w:r w:rsidRPr="00770396" w:rsidDel="002D6AD1">
        <w:rPr>
          <w:rFonts w:cstheme="minorHAnsi"/>
        </w:rPr>
        <w:t xml:space="preserve"> </w:t>
      </w:r>
      <w:r w:rsidRPr="00770396">
        <w:rPr>
          <w:rFonts w:cstheme="minorHAnsi"/>
        </w:rPr>
        <w:t xml:space="preserve">Gender aid should be increased, especially in crisis contexts. Including and fulfilling gender targets within climate, peace and humanitarian financing is equally critical. Other types of development finance, including multilateral development banks funding, climate financing, blended financing, foreign direct investment and blended finance should also better ingrate gender equality objectives. A common tracking system </w:t>
      </w:r>
      <w:r w:rsidR="00033773">
        <w:rPr>
          <w:rFonts w:cstheme="minorHAnsi"/>
        </w:rPr>
        <w:t xml:space="preserve">on </w:t>
      </w:r>
      <w:r w:rsidRPr="00770396">
        <w:rPr>
          <w:rFonts w:cstheme="minorHAnsi"/>
        </w:rPr>
        <w:t xml:space="preserve">all </w:t>
      </w:r>
      <w:r w:rsidR="00F56951" w:rsidRPr="00770396">
        <w:rPr>
          <w:rFonts w:cstheme="minorHAnsi"/>
        </w:rPr>
        <w:t>gender finance flows</w:t>
      </w:r>
      <w:r w:rsidRPr="00770396">
        <w:rPr>
          <w:rFonts w:cstheme="minorHAnsi"/>
        </w:rPr>
        <w:t xml:space="preserve"> would increase transparency and accountabilit</w:t>
      </w:r>
      <w:r w:rsidR="00F56951" w:rsidRPr="00770396">
        <w:rPr>
          <w:rFonts w:cstheme="minorHAnsi"/>
        </w:rPr>
        <w:t>y</w:t>
      </w:r>
      <w:r w:rsidRPr="00770396">
        <w:rPr>
          <w:rFonts w:cstheme="minorHAnsi"/>
        </w:rPr>
        <w:t>.</w:t>
      </w:r>
    </w:p>
    <w:p w14:paraId="4289C043" w14:textId="77777777" w:rsidR="003A2148" w:rsidRPr="00770396" w:rsidRDefault="003A2148" w:rsidP="00886CE3">
      <w:pPr>
        <w:spacing w:line="240" w:lineRule="auto"/>
        <w:jc w:val="both"/>
        <w:rPr>
          <w:rFonts w:cstheme="minorHAnsi"/>
        </w:rPr>
      </w:pPr>
    </w:p>
    <w:p w14:paraId="03098099" w14:textId="77777777" w:rsidR="00A5669F" w:rsidRPr="00770396" w:rsidRDefault="00A5669F" w:rsidP="00886CE3">
      <w:pPr>
        <w:pBdr>
          <w:top w:val="nil"/>
          <w:left w:val="nil"/>
          <w:bottom w:val="nil"/>
          <w:right w:val="nil"/>
          <w:between w:val="nil"/>
        </w:pBdr>
        <w:spacing w:before="180" w:after="0" w:line="240" w:lineRule="auto"/>
        <w:jc w:val="both"/>
        <w:rPr>
          <w:rFonts w:eastAsia="Calibri" w:cstheme="minorHAnsi"/>
          <w:b/>
          <w:bCs/>
          <w:i/>
          <w:iCs/>
          <w:color w:val="111111"/>
        </w:rPr>
      </w:pPr>
      <w:bookmarkStart w:id="3" w:name="_Hlk179742995"/>
      <w:r w:rsidRPr="00770396">
        <w:rPr>
          <w:rFonts w:eastAsia="Calibri" w:cstheme="minorHAnsi"/>
          <w:b/>
          <w:bCs/>
          <w:i/>
          <w:iCs/>
          <w:color w:val="111111"/>
        </w:rPr>
        <w:lastRenderedPageBreak/>
        <w:t>Addressing unpaid domestic work is essential for achieving gender equality.</w:t>
      </w:r>
    </w:p>
    <w:p w14:paraId="1E970DE1" w14:textId="77777777" w:rsidR="00A5669F" w:rsidRPr="00770396" w:rsidRDefault="00A5669F" w:rsidP="00886CE3">
      <w:pPr>
        <w:pBdr>
          <w:top w:val="nil"/>
          <w:left w:val="nil"/>
          <w:bottom w:val="nil"/>
          <w:right w:val="nil"/>
          <w:between w:val="nil"/>
        </w:pBdr>
        <w:spacing w:before="180" w:after="0" w:line="240" w:lineRule="auto"/>
        <w:jc w:val="both"/>
        <w:rPr>
          <w:rFonts w:eastAsia="Calibri" w:cstheme="minorHAnsi"/>
          <w:color w:val="111111"/>
        </w:rPr>
      </w:pPr>
      <w:r w:rsidRPr="00770396">
        <w:rPr>
          <w:rFonts w:eastAsia="Calibri" w:cstheme="minorHAnsi"/>
          <w:color w:val="111111"/>
        </w:rPr>
        <w:t>Every day, more than 16 billion hours are devoted to unpaid domestic and care work around the world.</w:t>
      </w:r>
      <w:r w:rsidRPr="00770396">
        <w:rPr>
          <w:rFonts w:eastAsia="Calibri" w:cstheme="minorHAnsi"/>
          <w:color w:val="111111"/>
          <w:vertAlign w:val="superscript"/>
        </w:rPr>
        <w:footnoteReference w:id="12"/>
      </w:r>
      <w:r w:rsidRPr="00770396">
        <w:rPr>
          <w:rFonts w:eastAsia="Calibri" w:cstheme="minorHAnsi"/>
          <w:color w:val="111111"/>
        </w:rPr>
        <w:t xml:space="preserve"> As global populations age, these figures are set to rise, with a disproportionate impact on women. To address the gender inequality caused by unpaid domestic work, it's crucial to redistribute caregiving responsibilities between men and women and invest in public care infrastructure, such as affordable childcare and eldercare services. Legal frameworks should recognize and value unpaid work, while policies like paid parental leave and flexible work arrangements help balance caregiving with economic participation.</w:t>
      </w:r>
    </w:p>
    <w:p w14:paraId="23FC2F3C" w14:textId="77777777" w:rsidR="00A5669F" w:rsidRPr="00770396" w:rsidRDefault="00A5669F" w:rsidP="00886CE3">
      <w:pPr>
        <w:pBdr>
          <w:top w:val="nil"/>
          <w:left w:val="nil"/>
          <w:bottom w:val="nil"/>
          <w:right w:val="nil"/>
          <w:between w:val="nil"/>
        </w:pBdr>
        <w:spacing w:after="0" w:line="240" w:lineRule="auto"/>
        <w:jc w:val="both"/>
        <w:rPr>
          <w:rFonts w:cstheme="minorHAnsi"/>
          <w:b/>
          <w:i/>
          <w:color w:val="111111"/>
        </w:rPr>
      </w:pPr>
    </w:p>
    <w:p w14:paraId="44F32D33" w14:textId="33F54ABB" w:rsidR="007152A0" w:rsidRPr="00770396" w:rsidRDefault="007152A0" w:rsidP="00886CE3">
      <w:pPr>
        <w:pBdr>
          <w:top w:val="nil"/>
          <w:left w:val="nil"/>
          <w:bottom w:val="nil"/>
          <w:right w:val="nil"/>
          <w:between w:val="nil"/>
        </w:pBdr>
        <w:spacing w:after="0" w:line="240" w:lineRule="auto"/>
        <w:jc w:val="both"/>
        <w:rPr>
          <w:rFonts w:cstheme="minorHAnsi"/>
          <w:b/>
          <w:i/>
          <w:color w:val="111111"/>
        </w:rPr>
      </w:pPr>
      <w:r w:rsidRPr="00770396">
        <w:rPr>
          <w:rFonts w:cstheme="minorHAnsi"/>
          <w:b/>
          <w:i/>
          <w:color w:val="111111"/>
        </w:rPr>
        <w:t>Financing social protection and</w:t>
      </w:r>
      <w:r w:rsidR="00FC21F6" w:rsidRPr="00770396">
        <w:rPr>
          <w:rFonts w:cstheme="minorHAnsi"/>
          <w:b/>
          <w:i/>
          <w:color w:val="111111"/>
        </w:rPr>
        <w:t xml:space="preserve"> ensuring </w:t>
      </w:r>
      <w:r w:rsidRPr="00770396">
        <w:rPr>
          <w:rFonts w:cstheme="minorHAnsi"/>
          <w:b/>
          <w:i/>
          <w:color w:val="111111"/>
        </w:rPr>
        <w:t>women’s access to finance, credit and financial services</w:t>
      </w:r>
      <w:r w:rsidR="00691BB8" w:rsidRPr="00770396">
        <w:rPr>
          <w:rFonts w:cstheme="minorHAnsi"/>
          <w:b/>
          <w:i/>
          <w:color w:val="111111"/>
        </w:rPr>
        <w:t>.</w:t>
      </w:r>
      <w:bookmarkEnd w:id="3"/>
    </w:p>
    <w:p w14:paraId="4019CF93" w14:textId="4905438A" w:rsidR="007152A0" w:rsidRPr="00770396" w:rsidRDefault="007152A0" w:rsidP="00886CE3">
      <w:pPr>
        <w:pBdr>
          <w:top w:val="nil"/>
          <w:left w:val="nil"/>
          <w:bottom w:val="nil"/>
          <w:right w:val="nil"/>
          <w:between w:val="nil"/>
        </w:pBdr>
        <w:spacing w:before="180" w:after="0" w:line="240" w:lineRule="auto"/>
        <w:jc w:val="both"/>
        <w:rPr>
          <w:rFonts w:cstheme="minorHAnsi"/>
          <w:color w:val="111111"/>
        </w:rPr>
      </w:pPr>
      <w:r w:rsidRPr="00770396">
        <w:rPr>
          <w:rFonts w:cstheme="minorHAnsi"/>
          <w:color w:val="111111"/>
        </w:rPr>
        <w:t>Expanding social protection systems to include maternity benefits, unemployment insurance, and pensions</w:t>
      </w:r>
      <w:r w:rsidR="00F03642" w:rsidRPr="00770396">
        <w:rPr>
          <w:rFonts w:cstheme="minorHAnsi"/>
          <w:color w:val="111111"/>
        </w:rPr>
        <w:t>, and s</w:t>
      </w:r>
      <w:r w:rsidRPr="00770396">
        <w:rPr>
          <w:rFonts w:cstheme="minorHAnsi"/>
          <w:color w:val="111111"/>
        </w:rPr>
        <w:t xml:space="preserve">trengthening social safety nets </w:t>
      </w:r>
      <w:r w:rsidR="00F03642" w:rsidRPr="00770396">
        <w:rPr>
          <w:rFonts w:cstheme="minorHAnsi"/>
          <w:color w:val="111111"/>
        </w:rPr>
        <w:t xml:space="preserve">can </w:t>
      </w:r>
      <w:r w:rsidRPr="00770396">
        <w:rPr>
          <w:rFonts w:cstheme="minorHAnsi"/>
          <w:color w:val="111111"/>
        </w:rPr>
        <w:t>help addres</w:t>
      </w:r>
      <w:r w:rsidR="00F03642" w:rsidRPr="00770396">
        <w:rPr>
          <w:rFonts w:cstheme="minorHAnsi"/>
          <w:color w:val="111111"/>
        </w:rPr>
        <w:t>s gender inequality</w:t>
      </w:r>
      <w:r w:rsidRPr="00770396">
        <w:rPr>
          <w:rFonts w:cstheme="minorHAnsi"/>
          <w:color w:val="111111"/>
        </w:rPr>
        <w:t xml:space="preserve"> </w:t>
      </w:r>
      <w:r w:rsidR="009A14AD" w:rsidRPr="00770396">
        <w:rPr>
          <w:rFonts w:cstheme="minorHAnsi"/>
          <w:color w:val="111111"/>
        </w:rPr>
        <w:t xml:space="preserve">and enable </w:t>
      </w:r>
      <w:r w:rsidR="00F56F25" w:rsidRPr="00770396">
        <w:rPr>
          <w:rFonts w:cstheme="minorHAnsi"/>
          <w:color w:val="111111"/>
        </w:rPr>
        <w:t xml:space="preserve">more </w:t>
      </w:r>
      <w:r w:rsidR="009A14AD" w:rsidRPr="00770396">
        <w:rPr>
          <w:rFonts w:cstheme="minorHAnsi"/>
          <w:color w:val="111111"/>
        </w:rPr>
        <w:t xml:space="preserve">women to </w:t>
      </w:r>
      <w:r w:rsidR="00F56F25" w:rsidRPr="00770396">
        <w:rPr>
          <w:rFonts w:cstheme="minorHAnsi"/>
          <w:color w:val="111111"/>
        </w:rPr>
        <w:t>participate in the labour market</w:t>
      </w:r>
      <w:r w:rsidRPr="00770396">
        <w:rPr>
          <w:rFonts w:cstheme="minorHAnsi"/>
          <w:color w:val="111111"/>
        </w:rPr>
        <w:t xml:space="preserve">. Inclusive banking policies and innovative financing mechanisms that target women entrepreneurs and small businesses can help to close the gender gap in economic participation </w:t>
      </w:r>
      <w:r w:rsidR="00B8525D" w:rsidRPr="00770396">
        <w:rPr>
          <w:rFonts w:cstheme="minorHAnsi"/>
          <w:color w:val="111111"/>
        </w:rPr>
        <w:t xml:space="preserve">and </w:t>
      </w:r>
      <w:r w:rsidR="00021B57" w:rsidRPr="00770396">
        <w:rPr>
          <w:rFonts w:cstheme="minorHAnsi"/>
          <w:color w:val="111111"/>
        </w:rPr>
        <w:t xml:space="preserve">help women benefit from </w:t>
      </w:r>
      <w:r w:rsidR="004A4DE3" w:rsidRPr="00770396">
        <w:rPr>
          <w:rFonts w:cstheme="minorHAnsi"/>
          <w:color w:val="111111"/>
        </w:rPr>
        <w:t>trade opportunities</w:t>
      </w:r>
      <w:r w:rsidRPr="00770396">
        <w:rPr>
          <w:rFonts w:cstheme="minorHAnsi"/>
          <w:color w:val="111111"/>
        </w:rPr>
        <w:t xml:space="preserve">. Additionally, international development banks can increase funding for gender projects, especially in areas like infrastructure and digital finance, which are key to women’s economic empowerment. </w:t>
      </w:r>
    </w:p>
    <w:p w14:paraId="49EAC76C" w14:textId="2E31AD89" w:rsidR="005D3292" w:rsidRPr="00770396" w:rsidRDefault="00A46865" w:rsidP="00886CE3">
      <w:pPr>
        <w:pBdr>
          <w:top w:val="nil"/>
          <w:left w:val="nil"/>
          <w:bottom w:val="nil"/>
          <w:right w:val="nil"/>
          <w:between w:val="nil"/>
        </w:pBdr>
        <w:spacing w:before="180" w:after="0" w:line="240" w:lineRule="auto"/>
        <w:jc w:val="both"/>
        <w:rPr>
          <w:rFonts w:cstheme="minorHAnsi"/>
          <w:b/>
          <w:bCs/>
          <w:i/>
          <w:iCs/>
          <w:color w:val="111111"/>
        </w:rPr>
      </w:pPr>
      <w:r w:rsidRPr="00770396">
        <w:rPr>
          <w:rFonts w:cstheme="minorHAnsi"/>
          <w:b/>
          <w:bCs/>
          <w:i/>
          <w:iCs/>
          <w:color w:val="111111"/>
        </w:rPr>
        <w:t>Financing for gender lens business and investing</w:t>
      </w:r>
    </w:p>
    <w:p w14:paraId="77A6D89E" w14:textId="2BE14C5D" w:rsidR="005D3292" w:rsidRPr="00770396" w:rsidRDefault="005D3292" w:rsidP="00886CE3">
      <w:pPr>
        <w:pStyle w:val="NormalWeb"/>
        <w:jc w:val="both"/>
        <w:rPr>
          <w:rFonts w:asciiTheme="minorHAnsi" w:hAnsiTheme="minorHAnsi" w:cstheme="minorHAnsi"/>
          <w:sz w:val="22"/>
          <w:szCs w:val="22"/>
          <w:lang w:val="en-GB"/>
        </w:rPr>
      </w:pPr>
      <w:r w:rsidRPr="00770396">
        <w:rPr>
          <w:rFonts w:asciiTheme="minorHAnsi" w:hAnsiTheme="minorHAnsi" w:cstheme="minorHAnsi"/>
          <w:sz w:val="22"/>
          <w:szCs w:val="22"/>
        </w:rPr>
        <w:t xml:space="preserve">Specific fundings must be addressed to Gender Lens Business and Investing, highlighting companies created by women or that improve their living conditions, through the social and solidarity economy (SSE) and in international trade. SSE entities, such as cooperatives, mutuals, associations, foundations and social enterprises are characterized by democratic governance, workers ownership and high levels of equality. It can contribute to the long-term economic empowerment of the women in a sustainable and resilient manner. </w:t>
      </w:r>
      <w:r w:rsidRPr="00770396">
        <w:rPr>
          <w:rFonts w:asciiTheme="minorHAnsi" w:hAnsiTheme="minorHAnsi" w:cstheme="minorHAnsi"/>
          <w:sz w:val="22"/>
          <w:szCs w:val="22"/>
          <w:lang w:val="en-GB"/>
        </w:rPr>
        <w:t xml:space="preserve">Women represent a larger share of the labour force of the social and solidarity economy (SSE) relative to the share of women in the total labour force in </w:t>
      </w:r>
      <w:r w:rsidR="00DF3E6E" w:rsidRPr="00770396">
        <w:rPr>
          <w:rFonts w:asciiTheme="minorHAnsi" w:hAnsiTheme="minorHAnsi" w:cstheme="minorHAnsi"/>
          <w:sz w:val="22"/>
          <w:szCs w:val="22"/>
          <w:lang w:val="en-GB"/>
        </w:rPr>
        <w:t>several</w:t>
      </w:r>
      <w:r w:rsidRPr="00770396">
        <w:rPr>
          <w:rFonts w:asciiTheme="minorHAnsi" w:hAnsiTheme="minorHAnsi" w:cstheme="minorHAnsi"/>
          <w:sz w:val="22"/>
          <w:szCs w:val="22"/>
          <w:lang w:val="en-GB"/>
        </w:rPr>
        <w:t xml:space="preserve"> countries</w:t>
      </w:r>
      <w:r w:rsidRPr="00770396">
        <w:rPr>
          <w:rStyle w:val="FootnoteReference"/>
          <w:rFonts w:asciiTheme="minorHAnsi" w:hAnsiTheme="minorHAnsi" w:cstheme="minorHAnsi"/>
          <w:sz w:val="22"/>
          <w:szCs w:val="22"/>
          <w:lang w:val="en-GB"/>
        </w:rPr>
        <w:footnoteReference w:id="13"/>
      </w:r>
      <w:r w:rsidRPr="00770396">
        <w:rPr>
          <w:rFonts w:asciiTheme="minorHAnsi" w:hAnsiTheme="minorHAnsi" w:cstheme="minorHAnsi"/>
          <w:sz w:val="22"/>
          <w:szCs w:val="22"/>
          <w:lang w:val="en-GB"/>
        </w:rPr>
        <w:t>. In green and sustainable industries, policies and investments must integrate gender-sensitive frameworks that formalise women's leadership, and in special, add value to female participation in </w:t>
      </w:r>
      <w:r w:rsidRPr="00770396">
        <w:rPr>
          <w:rFonts w:asciiTheme="minorHAnsi" w:hAnsiTheme="minorHAnsi" w:cstheme="minorHAnsi"/>
          <w:sz w:val="22"/>
          <w:szCs w:val="22"/>
        </w:rPr>
        <w:t>circular economy</w:t>
      </w:r>
      <w:r w:rsidRPr="00770396">
        <w:rPr>
          <w:rFonts w:asciiTheme="minorHAnsi" w:hAnsiTheme="minorHAnsi" w:cstheme="minorHAnsi"/>
          <w:sz w:val="22"/>
          <w:szCs w:val="22"/>
          <w:lang w:val="en-GB"/>
        </w:rPr>
        <w:t> sectors and supply chains. </w:t>
      </w:r>
    </w:p>
    <w:p w14:paraId="7020A38C" w14:textId="77777777" w:rsidR="003E0466" w:rsidRPr="00770396" w:rsidRDefault="00E314B3" w:rsidP="00886CE3">
      <w:pPr>
        <w:pBdr>
          <w:top w:val="nil"/>
          <w:left w:val="nil"/>
          <w:bottom w:val="nil"/>
          <w:right w:val="nil"/>
          <w:between w:val="nil"/>
        </w:pBdr>
        <w:spacing w:before="180" w:after="0" w:line="240" w:lineRule="auto"/>
        <w:jc w:val="both"/>
        <w:rPr>
          <w:rFonts w:eastAsia="Calibri" w:cstheme="minorHAnsi"/>
          <w:b/>
          <w:bCs/>
          <w:i/>
          <w:iCs/>
          <w:color w:val="111111"/>
        </w:rPr>
      </w:pPr>
      <w:r w:rsidRPr="00770396">
        <w:rPr>
          <w:rFonts w:eastAsia="Calibri" w:cstheme="minorHAnsi"/>
          <w:b/>
          <w:bCs/>
          <w:i/>
          <w:iCs/>
          <w:color w:val="111111"/>
        </w:rPr>
        <w:t xml:space="preserve">Investments in gender equality can help mitigate demographic challenges. </w:t>
      </w:r>
    </w:p>
    <w:p w14:paraId="757AFA3C" w14:textId="77777777" w:rsidR="003E0466" w:rsidRPr="00770396" w:rsidRDefault="00E314B3" w:rsidP="00886CE3">
      <w:pPr>
        <w:pBdr>
          <w:top w:val="nil"/>
          <w:left w:val="nil"/>
          <w:bottom w:val="nil"/>
          <w:right w:val="nil"/>
          <w:between w:val="nil"/>
        </w:pBdr>
        <w:spacing w:before="180" w:after="0" w:line="240" w:lineRule="auto"/>
        <w:jc w:val="both"/>
        <w:rPr>
          <w:rFonts w:eastAsia="Calibri" w:cstheme="minorHAnsi"/>
          <w:color w:val="111111"/>
        </w:rPr>
      </w:pPr>
      <w:r w:rsidRPr="00770396">
        <w:rPr>
          <w:rFonts w:eastAsia="Calibri" w:cstheme="minorHAnsi"/>
          <w:color w:val="111111"/>
        </w:rPr>
        <w:t>Gains from gender equality can help offset the future demographic challenges.</w:t>
      </w:r>
      <w:r w:rsidRPr="00770396">
        <w:rPr>
          <w:rFonts w:eastAsia="Calibri" w:cstheme="minorHAnsi"/>
          <w:color w:val="111111"/>
          <w:vertAlign w:val="superscript"/>
        </w:rPr>
        <w:footnoteReference w:id="14"/>
      </w:r>
      <w:r w:rsidRPr="00770396">
        <w:rPr>
          <w:rFonts w:eastAsia="Calibri" w:cstheme="minorHAnsi"/>
          <w:color w:val="111111"/>
        </w:rPr>
        <w:t xml:space="preserve"> In countries with aging populations, higher female labor force participation could compensate for potential GDP losses due to a shrinking labor force. In countries expecting a surge of young individuals, measures to enhance human capital and ensure entry into the labor force with appropriate skills are crucial to harnessing demographic dividends.</w:t>
      </w:r>
    </w:p>
    <w:p w14:paraId="5C85DCFD" w14:textId="77777777" w:rsidR="00A5669F" w:rsidRPr="00770396" w:rsidRDefault="00A5669F" w:rsidP="00886CE3">
      <w:pPr>
        <w:pBdr>
          <w:top w:val="nil"/>
          <w:left w:val="nil"/>
          <w:bottom w:val="nil"/>
          <w:right w:val="nil"/>
          <w:between w:val="nil"/>
        </w:pBdr>
        <w:spacing w:after="0" w:line="240" w:lineRule="auto"/>
        <w:jc w:val="both"/>
        <w:rPr>
          <w:rFonts w:cstheme="minorHAnsi"/>
          <w:b/>
          <w:i/>
          <w:color w:val="111111"/>
        </w:rPr>
      </w:pPr>
      <w:bookmarkStart w:id="4" w:name="_Hlk179743028"/>
    </w:p>
    <w:p w14:paraId="76A6070C" w14:textId="588E0C97" w:rsidR="007152A0" w:rsidRPr="00770396" w:rsidRDefault="007152A0" w:rsidP="00886CE3">
      <w:pPr>
        <w:pBdr>
          <w:top w:val="nil"/>
          <w:left w:val="nil"/>
          <w:bottom w:val="nil"/>
          <w:right w:val="nil"/>
          <w:between w:val="nil"/>
        </w:pBdr>
        <w:spacing w:after="0" w:line="240" w:lineRule="auto"/>
        <w:jc w:val="both"/>
        <w:rPr>
          <w:rFonts w:cstheme="minorHAnsi"/>
          <w:i/>
          <w:color w:val="111111"/>
        </w:rPr>
      </w:pPr>
      <w:r w:rsidRPr="00770396">
        <w:rPr>
          <w:rFonts w:cstheme="minorHAnsi"/>
          <w:b/>
          <w:i/>
          <w:color w:val="111111"/>
        </w:rPr>
        <w:t>Invest</w:t>
      </w:r>
      <w:r w:rsidR="00691BB8" w:rsidRPr="00770396">
        <w:rPr>
          <w:rFonts w:cstheme="minorHAnsi"/>
          <w:b/>
          <w:i/>
          <w:color w:val="111111"/>
        </w:rPr>
        <w:t>ing</w:t>
      </w:r>
      <w:r w:rsidRPr="00770396">
        <w:rPr>
          <w:rFonts w:cstheme="minorHAnsi"/>
          <w:b/>
          <w:i/>
          <w:color w:val="111111"/>
        </w:rPr>
        <w:t xml:space="preserve"> in sex disaggregated data and statistics</w:t>
      </w:r>
      <w:r w:rsidR="00FC596C" w:rsidRPr="00770396">
        <w:rPr>
          <w:rFonts w:cstheme="minorHAnsi"/>
          <w:b/>
          <w:i/>
          <w:color w:val="111111"/>
        </w:rPr>
        <w:t xml:space="preserve"> and women’s leadership</w:t>
      </w:r>
      <w:bookmarkEnd w:id="4"/>
      <w:r w:rsidR="006A4DAB" w:rsidRPr="00770396">
        <w:rPr>
          <w:rFonts w:cstheme="minorHAnsi"/>
          <w:b/>
          <w:i/>
          <w:color w:val="111111"/>
        </w:rPr>
        <w:t>.</w:t>
      </w:r>
      <w:r w:rsidRPr="00770396">
        <w:rPr>
          <w:rFonts w:cstheme="minorHAnsi"/>
          <w:b/>
          <w:i/>
          <w:color w:val="111111"/>
        </w:rPr>
        <w:t xml:space="preserve"> </w:t>
      </w:r>
    </w:p>
    <w:p w14:paraId="5A694B59" w14:textId="5F52A478" w:rsidR="007152A0" w:rsidRPr="00770396" w:rsidRDefault="007152A0" w:rsidP="00886CE3">
      <w:pPr>
        <w:pBdr>
          <w:top w:val="nil"/>
          <w:left w:val="nil"/>
          <w:bottom w:val="nil"/>
          <w:right w:val="nil"/>
          <w:between w:val="nil"/>
        </w:pBdr>
        <w:spacing w:before="180" w:after="0" w:line="240" w:lineRule="auto"/>
        <w:jc w:val="both"/>
        <w:rPr>
          <w:rFonts w:cstheme="minorHAnsi"/>
          <w:color w:val="111111"/>
        </w:rPr>
      </w:pPr>
      <w:r w:rsidRPr="00770396">
        <w:rPr>
          <w:rFonts w:cstheme="minorHAnsi"/>
          <w:color w:val="111111"/>
        </w:rPr>
        <w:t xml:space="preserve">Without accurate data on gender disparities in employment, </w:t>
      </w:r>
      <w:r w:rsidR="00A50192" w:rsidRPr="00770396">
        <w:rPr>
          <w:rFonts w:cstheme="minorHAnsi"/>
          <w:color w:val="111111"/>
        </w:rPr>
        <w:t>trade</w:t>
      </w:r>
      <w:r w:rsidRPr="00770396">
        <w:rPr>
          <w:rFonts w:cstheme="minorHAnsi"/>
          <w:color w:val="111111"/>
        </w:rPr>
        <w:t xml:space="preserve">, income, or access to services, it is difficult to craft policies that effectively address gender gaps. Investing in capacity-strengthening to </w:t>
      </w:r>
      <w:r w:rsidRPr="00770396">
        <w:rPr>
          <w:rFonts w:cstheme="minorHAnsi"/>
          <w:color w:val="111111"/>
        </w:rPr>
        <w:lastRenderedPageBreak/>
        <w:t xml:space="preserve">support countries to improve data collection and support gender mainstreaming in all financial policy. International financial institutions could set standards and promote policies that encourage gender parity in leadership positions within financial organizations, including central banks and multilateral development institutions. </w:t>
      </w:r>
      <w:r w:rsidRPr="00770396">
        <w:rPr>
          <w:rFonts w:cstheme="minorHAnsi"/>
          <w:color w:val="000000"/>
        </w:rPr>
        <w:t>Women’s leadership and participation in political and economic institutions is essential to combat bias and stereotypes and build public trust.</w:t>
      </w:r>
      <w:r w:rsidRPr="00770396">
        <w:rPr>
          <w:rFonts w:cstheme="minorHAnsi"/>
          <w:color w:val="111111"/>
        </w:rPr>
        <w:t xml:space="preserve"> A more gender-diverse leadership could shape more inclusive policies, ensuring women’s needs are adequately represented in global financial decisions.</w:t>
      </w:r>
    </w:p>
    <w:p w14:paraId="147C7611" w14:textId="77777777" w:rsidR="007152A0" w:rsidRPr="00770396" w:rsidRDefault="007152A0" w:rsidP="00AE7950">
      <w:pPr>
        <w:pBdr>
          <w:top w:val="nil"/>
          <w:left w:val="nil"/>
          <w:bottom w:val="nil"/>
          <w:right w:val="nil"/>
          <w:between w:val="nil"/>
        </w:pBdr>
        <w:spacing w:after="0" w:line="240" w:lineRule="auto"/>
        <w:rPr>
          <w:rFonts w:cstheme="minorHAnsi"/>
          <w:b/>
          <w:i/>
          <w:color w:val="000000"/>
        </w:rPr>
      </w:pPr>
    </w:p>
    <w:p w14:paraId="2B276DA5" w14:textId="751F88E8" w:rsidR="008B2498" w:rsidRPr="00770396" w:rsidRDefault="008B2498" w:rsidP="00FC21F6">
      <w:pPr>
        <w:pStyle w:val="Heading2"/>
        <w:spacing w:line="240" w:lineRule="auto"/>
        <w:rPr>
          <w:rFonts w:asciiTheme="minorHAnsi" w:hAnsiTheme="minorHAnsi" w:cstheme="minorHAnsi"/>
          <w:sz w:val="28"/>
          <w:szCs w:val="28"/>
        </w:rPr>
      </w:pPr>
      <w:r w:rsidRPr="00770396">
        <w:rPr>
          <w:rFonts w:asciiTheme="minorHAnsi" w:hAnsiTheme="minorHAnsi" w:cstheme="minorHAnsi"/>
          <w:sz w:val="28"/>
          <w:szCs w:val="28"/>
        </w:rPr>
        <w:t xml:space="preserve">Specific recommendations for FFD4 </w:t>
      </w:r>
    </w:p>
    <w:p w14:paraId="645608ED" w14:textId="77777777" w:rsidR="00AE7950" w:rsidRPr="00770396" w:rsidRDefault="00AE7950" w:rsidP="00AE7950">
      <w:pPr>
        <w:rPr>
          <w:rFonts w:cstheme="minorHAnsi"/>
        </w:rPr>
      </w:pPr>
    </w:p>
    <w:p w14:paraId="5A8F97A8" w14:textId="77777777" w:rsidR="008B2498" w:rsidRPr="00770396" w:rsidRDefault="008B2498" w:rsidP="00886CE3">
      <w:pPr>
        <w:pBdr>
          <w:top w:val="nil"/>
          <w:left w:val="nil"/>
          <w:bottom w:val="nil"/>
          <w:right w:val="nil"/>
          <w:between w:val="nil"/>
        </w:pBdr>
        <w:spacing w:line="240" w:lineRule="auto"/>
        <w:jc w:val="both"/>
        <w:rPr>
          <w:rFonts w:cstheme="minorHAnsi"/>
          <w:b/>
          <w:i/>
          <w:color w:val="000000"/>
        </w:rPr>
      </w:pPr>
      <w:r w:rsidRPr="00770396">
        <w:rPr>
          <w:rFonts w:cstheme="minorHAnsi"/>
          <w:b/>
          <w:i/>
          <w:color w:val="000000"/>
        </w:rPr>
        <w:t>Member States are encouraged to consider the following measures during the Fourth Conference on Financing for Development (FFD4):</w:t>
      </w:r>
    </w:p>
    <w:p w14:paraId="51B9F08E" w14:textId="148CB76E"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Fully implement commitments made under the Addis Ababa Action Agenda and its follow-up processes related to financing for gender equality and the empowerment of women and girls.</w:t>
      </w:r>
    </w:p>
    <w:p w14:paraId="1EB8A8B4" w14:textId="77777777" w:rsidR="00325746"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Mobilize financial resources for gender equality from all sources, including public, private, domestic, and international, and scale up development finance through reforms of the international financial architecture.</w:t>
      </w:r>
      <w:r w:rsidR="002D6AD1" w:rsidRPr="00770396">
        <w:rPr>
          <w:rFonts w:cstheme="minorHAnsi"/>
          <w:color w:val="000000"/>
        </w:rPr>
        <w:t xml:space="preserve"> </w:t>
      </w:r>
    </w:p>
    <w:p w14:paraId="654E6055" w14:textId="348A2628" w:rsidR="008B2498" w:rsidRPr="00770396" w:rsidRDefault="002D6AD1"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Encourage the utilization by all actors of a common system that allows global tracking of development finance for gender equality.</w:t>
      </w:r>
    </w:p>
    <w:p w14:paraId="0AD29A8A"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Invest in resilient public finance management systems capable of mainstreaming gender equality considerations, including by strengthening gender analysis in national and local budgetary processes and fostering participation in budget processes.</w:t>
      </w:r>
    </w:p>
    <w:p w14:paraId="4C7F44B3" w14:textId="69FCE530"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Significantly scale up investment in policies to accelerate gender equality</w:t>
      </w:r>
      <w:r w:rsidR="00862999" w:rsidRPr="00770396">
        <w:rPr>
          <w:rFonts w:cstheme="minorHAnsi"/>
        </w:rPr>
        <w:t>,</w:t>
      </w:r>
      <w:r w:rsidRPr="00770396">
        <w:rPr>
          <w:rFonts w:cstheme="minorHAnsi"/>
          <w:color w:val="000000"/>
        </w:rPr>
        <w:t xml:space="preserve"> protect women’s and girls’ rights</w:t>
      </w:r>
      <w:r w:rsidR="00862999" w:rsidRPr="00770396">
        <w:rPr>
          <w:rFonts w:cstheme="minorHAnsi"/>
        </w:rPr>
        <w:t xml:space="preserve"> and advance women’s</w:t>
      </w:r>
      <w:r w:rsidR="009C25DD" w:rsidRPr="00770396">
        <w:rPr>
          <w:rFonts w:cstheme="minorHAnsi"/>
        </w:rPr>
        <w:t xml:space="preserve"> economic</w:t>
      </w:r>
      <w:r w:rsidR="00862999" w:rsidRPr="00770396">
        <w:rPr>
          <w:rFonts w:cstheme="minorHAnsi"/>
        </w:rPr>
        <w:t xml:space="preserve"> participation</w:t>
      </w:r>
      <w:r w:rsidRPr="00770396">
        <w:rPr>
          <w:rFonts w:cstheme="minorHAnsi"/>
          <w:color w:val="000000"/>
        </w:rPr>
        <w:t>.</w:t>
      </w:r>
    </w:p>
    <w:p w14:paraId="497B5314" w14:textId="555D56C9"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Strengthen gender mainstreaming in thematic financing, including in crisis contexts, and fulfil existing financial targets.</w:t>
      </w:r>
    </w:p>
    <w:p w14:paraId="1B2F0E1E"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Ensure the progressivity of tax policies with a focus on taxing those with the highest ability to pay, including via wealth and corporate tax.</w:t>
      </w:r>
    </w:p>
    <w:p w14:paraId="773D654B" w14:textId="25F15D66"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Support the adoption of the UN Framework Convention on International Tax Cooperation strengthen international tax cooperation to be more inclusive and effective, with a focus on combating tax evasion and avoidance and curbing illicit financial flows</w:t>
      </w:r>
      <w:r w:rsidR="003D61B3" w:rsidRPr="00770396">
        <w:rPr>
          <w:rFonts w:cstheme="minorHAnsi"/>
          <w:color w:val="000000"/>
        </w:rPr>
        <w:t xml:space="preserve">, which would be crucial in mobilizing </w:t>
      </w:r>
      <w:r w:rsidR="000411F2" w:rsidRPr="00770396">
        <w:rPr>
          <w:rFonts w:cstheme="minorHAnsi"/>
          <w:color w:val="000000"/>
        </w:rPr>
        <w:t>financing for gender equality, including</w:t>
      </w:r>
      <w:r w:rsidR="001D10AE" w:rsidRPr="00770396">
        <w:rPr>
          <w:rFonts w:cstheme="minorHAnsi"/>
          <w:color w:val="000000"/>
        </w:rPr>
        <w:t xml:space="preserve"> for</w:t>
      </w:r>
      <w:r w:rsidR="000411F2" w:rsidRPr="00770396">
        <w:rPr>
          <w:rFonts w:cstheme="minorHAnsi"/>
          <w:color w:val="000000"/>
        </w:rPr>
        <w:t xml:space="preserve"> social protection,</w:t>
      </w:r>
      <w:r w:rsidR="001D10AE" w:rsidRPr="00770396">
        <w:rPr>
          <w:rFonts w:cstheme="minorHAnsi"/>
          <w:color w:val="000000"/>
        </w:rPr>
        <w:t xml:space="preserve"> basic</w:t>
      </w:r>
      <w:r w:rsidR="000411F2" w:rsidRPr="00770396">
        <w:rPr>
          <w:rFonts w:cstheme="minorHAnsi"/>
          <w:color w:val="000000"/>
        </w:rPr>
        <w:t xml:space="preserve"> infrastructure, education and health</w:t>
      </w:r>
      <w:r w:rsidR="00E314B3" w:rsidRPr="00770396">
        <w:rPr>
          <w:rFonts w:eastAsia="Calibri" w:cstheme="minorHAnsi"/>
          <w:color w:val="000000"/>
        </w:rPr>
        <w:t>.</w:t>
      </w:r>
      <w:r w:rsidR="00862999" w:rsidRPr="00770396">
        <w:rPr>
          <w:rFonts w:cstheme="minorHAnsi"/>
        </w:rPr>
        <w:t>, and in support of women</w:t>
      </w:r>
      <w:r w:rsidR="002D08C7" w:rsidRPr="00770396">
        <w:rPr>
          <w:rFonts w:cstheme="minorHAnsi"/>
        </w:rPr>
        <w:t>-owned businesses</w:t>
      </w:r>
      <w:r w:rsidR="000411F2" w:rsidRPr="00770396">
        <w:rPr>
          <w:rFonts w:cstheme="minorHAnsi"/>
          <w:color w:val="000000"/>
        </w:rPr>
        <w:t xml:space="preserve"> </w:t>
      </w:r>
    </w:p>
    <w:p w14:paraId="0963EAA1" w14:textId="77777777" w:rsidR="008B2498"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Address the impact of the current debt crisis on the available fiscal space for gender equality, including by establishing a multilateral sovereign debt workout mechanism, adopting gender-responsive debt sustainability analysis, eliminating conditionalities in debt relief initiatives and debt restructuring packages, and scaling up concessional financing from multilateral and regional development banks.</w:t>
      </w:r>
    </w:p>
    <w:p w14:paraId="74D7E008" w14:textId="77777777" w:rsidR="00770B75" w:rsidRPr="00770396" w:rsidRDefault="008B2498"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color w:val="000000"/>
        </w:rPr>
        <w:t xml:space="preserve">Scale-up SDG5-linked debt instruments, including gender debt swaps and gender bonds, by developing pipelines of bankable projects, mainstreaming gender equality in thematic bond </w:t>
      </w:r>
      <w:r w:rsidRPr="00770396">
        <w:rPr>
          <w:rFonts w:cstheme="minorHAnsi"/>
          <w:color w:val="000000"/>
        </w:rPr>
        <w:lastRenderedPageBreak/>
        <w:t>taxonomies, providing greater credit enhancement and increasing the debt relief component of gender debt swaps.</w:t>
      </w:r>
      <w:bookmarkEnd w:id="0"/>
    </w:p>
    <w:p w14:paraId="54CF0C3C" w14:textId="5614BE5D" w:rsidR="007E7F4A" w:rsidRPr="00770396" w:rsidRDefault="007E7F4A" w:rsidP="00886CE3">
      <w:pPr>
        <w:numPr>
          <w:ilvl w:val="0"/>
          <w:numId w:val="11"/>
        </w:numPr>
        <w:pBdr>
          <w:top w:val="nil"/>
          <w:left w:val="nil"/>
          <w:bottom w:val="nil"/>
          <w:right w:val="nil"/>
          <w:between w:val="nil"/>
        </w:pBdr>
        <w:spacing w:line="240" w:lineRule="auto"/>
        <w:jc w:val="both"/>
        <w:rPr>
          <w:rFonts w:cstheme="minorHAnsi"/>
          <w:color w:val="000000"/>
        </w:rPr>
      </w:pPr>
      <w:r w:rsidRPr="00770396">
        <w:rPr>
          <w:rFonts w:cstheme="minorHAnsi"/>
        </w:rPr>
        <w:t xml:space="preserve">Supporting the financing of </w:t>
      </w:r>
      <w:r w:rsidR="00FE1E95" w:rsidRPr="00770396">
        <w:rPr>
          <w:rFonts w:cstheme="minorHAnsi"/>
        </w:rPr>
        <w:t xml:space="preserve">gender lens </w:t>
      </w:r>
      <w:r w:rsidRPr="00770396">
        <w:rPr>
          <w:rFonts w:cstheme="minorHAnsi"/>
        </w:rPr>
        <w:t xml:space="preserve">businesses and investments </w:t>
      </w:r>
      <w:r w:rsidR="00FE1E95" w:rsidRPr="00770396">
        <w:rPr>
          <w:rFonts w:cstheme="minorHAnsi"/>
        </w:rPr>
        <w:t xml:space="preserve">in </w:t>
      </w:r>
      <w:r w:rsidRPr="00770396">
        <w:rPr>
          <w:rFonts w:cstheme="minorHAnsi"/>
        </w:rPr>
        <w:t>particular through the social and solidarity economy</w:t>
      </w:r>
      <w:r w:rsidR="00EA3640" w:rsidRPr="00770396">
        <w:rPr>
          <w:rFonts w:cstheme="minorHAnsi"/>
        </w:rPr>
        <w:t xml:space="preserve"> and i</w:t>
      </w:r>
      <w:r w:rsidR="001C73E2" w:rsidRPr="00770396">
        <w:rPr>
          <w:rFonts w:cstheme="minorHAnsi"/>
        </w:rPr>
        <w:t>n i</w:t>
      </w:r>
      <w:r w:rsidR="00EA3640" w:rsidRPr="00770396">
        <w:rPr>
          <w:rFonts w:cstheme="minorHAnsi"/>
        </w:rPr>
        <w:t xml:space="preserve">nternational trade. </w:t>
      </w:r>
    </w:p>
    <w:p w14:paraId="446264F2" w14:textId="77777777" w:rsidR="005977A6" w:rsidRPr="00770396" w:rsidRDefault="005977A6" w:rsidP="00FC21F6">
      <w:pPr>
        <w:spacing w:line="240" w:lineRule="auto"/>
        <w:rPr>
          <w:rFonts w:cstheme="minorHAnsi"/>
        </w:rPr>
      </w:pPr>
    </w:p>
    <w:p w14:paraId="70F41439" w14:textId="1668F8D7" w:rsidR="00E131D7" w:rsidRPr="00552F37" w:rsidRDefault="005977A6" w:rsidP="00E131D7">
      <w:pPr>
        <w:spacing w:line="240" w:lineRule="auto"/>
        <w:rPr>
          <w:rFonts w:cstheme="minorHAnsi"/>
          <w:b/>
          <w:bCs/>
          <w:i/>
          <w:iCs/>
        </w:rPr>
      </w:pPr>
      <w:r w:rsidRPr="00552F37">
        <w:rPr>
          <w:rFonts w:cstheme="minorHAnsi"/>
          <w:b/>
          <w:bCs/>
          <w:i/>
          <w:iCs/>
        </w:rPr>
        <w:t>Draft</w:t>
      </w:r>
      <w:r w:rsidR="00E131D7" w:rsidRPr="00552F37">
        <w:rPr>
          <w:rFonts w:cstheme="minorHAnsi"/>
          <w:b/>
          <w:bCs/>
          <w:i/>
          <w:iCs/>
        </w:rPr>
        <w:t>ers</w:t>
      </w:r>
      <w:r w:rsidRPr="00552F37">
        <w:rPr>
          <w:rFonts w:cstheme="minorHAnsi"/>
          <w:b/>
          <w:bCs/>
          <w:i/>
          <w:iCs/>
        </w:rPr>
        <w:t>:</w:t>
      </w:r>
      <w:r w:rsidR="00770396" w:rsidRPr="00552F37">
        <w:rPr>
          <w:rFonts w:cstheme="minorHAnsi"/>
          <w:b/>
          <w:bCs/>
          <w:i/>
          <w:iCs/>
        </w:rPr>
        <w:t xml:space="preserve"> Staff of</w:t>
      </w:r>
      <w:r w:rsidRPr="00552F37">
        <w:rPr>
          <w:rFonts w:cstheme="minorHAnsi"/>
          <w:b/>
          <w:bCs/>
          <w:i/>
          <w:iCs/>
        </w:rPr>
        <w:t xml:space="preserve"> </w:t>
      </w:r>
      <w:r w:rsidR="00770B75" w:rsidRPr="00552F37">
        <w:rPr>
          <w:rFonts w:cstheme="minorHAnsi"/>
          <w:b/>
          <w:bCs/>
          <w:i/>
          <w:iCs/>
        </w:rPr>
        <w:t>UN-Women, UNCTAD, UNFP</w:t>
      </w:r>
      <w:r w:rsidRPr="00552F37">
        <w:rPr>
          <w:rFonts w:cstheme="minorHAnsi"/>
          <w:b/>
          <w:bCs/>
          <w:i/>
          <w:iCs/>
        </w:rPr>
        <w:t>A, OECD, IMF and UNDP</w:t>
      </w:r>
      <w:r w:rsidR="00E131D7" w:rsidRPr="00552F37">
        <w:rPr>
          <w:rFonts w:cstheme="minorHAnsi"/>
          <w:b/>
          <w:bCs/>
          <w:i/>
          <w:iCs/>
        </w:rPr>
        <w:t xml:space="preserve"> </w:t>
      </w:r>
    </w:p>
    <w:p w14:paraId="23CFC271" w14:textId="1C151C86" w:rsidR="00E131D7" w:rsidRPr="00552F37" w:rsidRDefault="00E131D7" w:rsidP="00E131D7">
      <w:pPr>
        <w:spacing w:line="240" w:lineRule="auto"/>
        <w:rPr>
          <w:rFonts w:cstheme="minorHAnsi"/>
          <w:b/>
          <w:bCs/>
          <w:i/>
          <w:iCs/>
        </w:rPr>
      </w:pPr>
      <w:r w:rsidRPr="00552F37">
        <w:rPr>
          <w:rFonts w:cstheme="minorHAnsi"/>
          <w:b/>
          <w:bCs/>
          <w:i/>
          <w:iCs/>
        </w:rPr>
        <w:t>Submitted by: UN-Women on behalf of the IATF Gender Cluster</w:t>
      </w:r>
    </w:p>
    <w:p w14:paraId="6429FC8E" w14:textId="74633806" w:rsidR="008B2498" w:rsidRPr="00E131D7" w:rsidRDefault="008B2498" w:rsidP="00FC21F6">
      <w:pPr>
        <w:spacing w:line="240" w:lineRule="auto"/>
        <w:rPr>
          <w:rFonts w:cstheme="minorHAnsi"/>
          <w:i/>
          <w:iCs/>
        </w:rPr>
      </w:pPr>
    </w:p>
    <w:sectPr w:rsidR="008B2498" w:rsidRPr="00E131D7" w:rsidSect="00AE7950">
      <w:headerReference w:type="default" r:id="rId16"/>
      <w:footerReference w:type="even" r:id="rId17"/>
      <w:footerReference w:type="defaul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6CE4A" w14:textId="77777777" w:rsidR="006655CB" w:rsidRDefault="006655CB" w:rsidP="008B2498">
      <w:pPr>
        <w:spacing w:after="0" w:line="240" w:lineRule="auto"/>
      </w:pPr>
      <w:r>
        <w:separator/>
      </w:r>
    </w:p>
  </w:endnote>
  <w:endnote w:type="continuationSeparator" w:id="0">
    <w:p w14:paraId="76B324F6" w14:textId="77777777" w:rsidR="006655CB" w:rsidRDefault="006655CB" w:rsidP="008B2498">
      <w:pPr>
        <w:spacing w:after="0" w:line="240" w:lineRule="auto"/>
      </w:pPr>
      <w:r>
        <w:continuationSeparator/>
      </w:r>
    </w:p>
  </w:endnote>
  <w:endnote w:type="continuationNotice" w:id="1">
    <w:p w14:paraId="3018E484" w14:textId="77777777" w:rsidR="006655CB" w:rsidRDefault="006655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heSansLight-Plain">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75E48" w14:textId="3FF92D07" w:rsidR="00AE14F9" w:rsidRPr="00AE7950" w:rsidRDefault="00E314B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3" behindDoc="0" locked="0" layoutInCell="1" hidden="0" allowOverlap="1" wp14:anchorId="52DAAB0B" wp14:editId="29E0A787">
              <wp:simplePos x="0" y="0"/>
              <wp:positionH relativeFrom="column">
                <wp:posOffset>1828800</wp:posOffset>
              </wp:positionH>
              <wp:positionV relativeFrom="paragraph">
                <wp:posOffset>0</wp:posOffset>
              </wp:positionV>
              <wp:extent cx="453390" cy="453390"/>
              <wp:effectExtent l="0" t="0" r="0" b="0"/>
              <wp:wrapNone/>
              <wp:docPr id="1607810505" name="Rectangle 1607810505"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3A69BA2" w14:textId="77777777" w:rsidR="003E0466" w:rsidRDefault="00E314B3">
                          <w:pPr>
                            <w:spacing w:after="0" w:line="258" w:lineRule="auto"/>
                            <w:textDirection w:val="btLr"/>
                          </w:pPr>
                          <w:r>
                            <w:rPr>
                              <w:rFonts w:eastAsia="Calibri"/>
                              <w:color w:val="0000FF"/>
                              <w:sz w:val="20"/>
                            </w:rPr>
                            <w:t>Restricted Use - À usage restreint</w:t>
                          </w:r>
                        </w:p>
                      </w:txbxContent>
                    </wps:txbx>
                    <wps:bodyPr spcFirstLastPara="1" wrap="square" lIns="0" tIns="0" rIns="0" bIns="190500" anchor="b" anchorCtr="0">
                      <a:noAutofit/>
                    </wps:bodyPr>
                  </wps:wsp>
                </a:graphicData>
              </a:graphic>
            </wp:anchor>
          </w:drawing>
        </mc:Choice>
        <mc:Fallback>
          <w:pict>
            <v:rect w14:anchorId="52DAAB0B" id="Rectangle 1607810505" o:spid="_x0000_s1026" alt="Restricted Use - À usage restreint" style="position:absolute;margin-left:2in;margin-top:0;width:35.7pt;height:35.7pt;z-index:251658243;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" filled="f" stroked="f">
              <v:textbox inset="0,0,0,15pt">
                <w:txbxContent>
                  <w:p w14:paraId="73A69BA2" w14:textId="77777777" w:rsidR="003E0466" w:rsidRDefault="00E314B3">
                    <w:pPr>
                      <w:spacing w:after="0" w:line="258" w:lineRule="auto"/>
                      <w:textDirection w:val="btLr"/>
                    </w:pPr>
                    <w:r>
                      <w:rPr>
                        <w:rFonts w:eastAsia="Calibri"/>
                        <w:color w:val="0000FF"/>
                        <w:sz w:val="20"/>
                      </w:rPr>
                      <w:t>Restricted Use - À usage restreint</w:t>
                    </w:r>
                  </w:p>
                </w:txbxContent>
              </v:textbox>
            </v:rect>
          </w:pict>
        </mc:Fallback>
      </mc:AlternateContent>
    </w:r>
    <w:r w:rsidR="003966F3">
      <w:rPr>
        <w:noProof/>
      </w:rPr>
      <mc:AlternateContent>
        <mc:Choice Requires="wps">
          <w:drawing>
            <wp:anchor distT="0" distB="0" distL="0" distR="0" simplePos="0" relativeHeight="251658241" behindDoc="0" locked="0" layoutInCell="1" allowOverlap="1" wp14:anchorId="3F67DE70" wp14:editId="65C6B30E">
              <wp:simplePos x="635" y="635"/>
              <wp:positionH relativeFrom="page">
                <wp:align>center</wp:align>
              </wp:positionH>
              <wp:positionV relativeFrom="page">
                <wp:align>bottom</wp:align>
              </wp:positionV>
              <wp:extent cx="443865" cy="443865"/>
              <wp:effectExtent l="0" t="0" r="6350" b="0"/>
              <wp:wrapNone/>
              <wp:docPr id="408448937" name="Text Box 2"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FD500" w14:textId="34CB30F3"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67DE70" id="_x0000_t202" coordsize="21600,21600" o:spt="202" path="m,l,21600r21600,l21600,xe">
              <v:stroke joinstyle="miter"/>
              <v:path gradientshapeok="t" o:connecttype="rect"/>
            </v:shapetype>
            <v:shape id="Text Box 2" o:spid="_x0000_s1027" type="#_x0000_t202" alt="Restricted Use - À usage restreint"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DEFD500" w14:textId="34CB30F3"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DDD4E" w14:textId="77777777" w:rsidR="003E0466" w:rsidRDefault="00E314B3">
    <w:pPr>
      <w:pBdr>
        <w:top w:val="nil"/>
        <w:left w:val="nil"/>
        <w:bottom w:val="nil"/>
        <w:right w:val="nil"/>
        <w:between w:val="nil"/>
      </w:pBdr>
      <w:tabs>
        <w:tab w:val="center" w:pos="4680"/>
        <w:tab w:val="right" w:pos="9360"/>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1B1714">
      <w:rPr>
        <w:rFonts w:eastAsia="Calibri"/>
        <w:noProof/>
        <w:color w:val="000000"/>
      </w:rPr>
      <w:t>1</w:t>
    </w:r>
    <w:r>
      <w:rPr>
        <w:rFonts w:eastAsia="Calibri"/>
        <w:color w:val="000000"/>
      </w:rPr>
      <w:fldChar w:fldCharType="end"/>
    </w:r>
    <w:r>
      <w:rPr>
        <w:noProof/>
      </w:rPr>
      <mc:AlternateContent>
        <mc:Choice Requires="wps">
          <w:drawing>
            <wp:anchor distT="0" distB="0" distL="0" distR="0" simplePos="0" relativeHeight="251658244" behindDoc="0" locked="0" layoutInCell="1" hidden="0" allowOverlap="1" wp14:anchorId="073FAC37" wp14:editId="30BE7A45">
              <wp:simplePos x="0" y="0"/>
              <wp:positionH relativeFrom="column">
                <wp:posOffset>1828800</wp:posOffset>
              </wp:positionH>
              <wp:positionV relativeFrom="paragraph">
                <wp:posOffset>0</wp:posOffset>
              </wp:positionV>
              <wp:extent cx="453390" cy="453390"/>
              <wp:effectExtent l="0" t="0" r="0" b="0"/>
              <wp:wrapNone/>
              <wp:docPr id="1607810504" name="Rectangle 1607810504"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2A87BA6A" w14:textId="77777777" w:rsidR="003E0466" w:rsidRDefault="003E0466">
                          <w:pPr>
                            <w:spacing w:after="0" w:line="258" w:lineRule="auto"/>
                            <w:textDirection w:val="btLr"/>
                          </w:pPr>
                        </w:p>
                      </w:txbxContent>
                    </wps:txbx>
                    <wps:bodyPr spcFirstLastPara="1" wrap="square" lIns="0" tIns="0" rIns="0" bIns="190500" anchor="b" anchorCtr="0">
                      <a:noAutofit/>
                    </wps:bodyPr>
                  </wps:wsp>
                </a:graphicData>
              </a:graphic>
            </wp:anchor>
          </w:drawing>
        </mc:Choice>
        <mc:Fallback>
          <w:pict>
            <v:rect w14:anchorId="073FAC37" id="Rectangle 1607810504" o:spid="_x0000_s1028" alt="Restricted Use - À usage restreint" style="position:absolute;left:0;text-align:left;margin-left:2in;margin-top:0;width:35.7pt;height:35.7pt;z-index:25165824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" filled="f" stroked="f">
              <v:textbox inset="0,0,0,15pt">
                <w:txbxContent>
                  <w:p w14:paraId="2A87BA6A" w14:textId="77777777" w:rsidR="003E0466" w:rsidRDefault="003E0466">
                    <w:pPr>
                      <w:spacing w:after="0" w:line="258" w:lineRule="auto"/>
                      <w:textDirection w:val="btLr"/>
                    </w:pPr>
                  </w:p>
                </w:txbxContent>
              </v:textbox>
            </v:rect>
          </w:pict>
        </mc:Fallback>
      </mc:AlternateContent>
    </w:r>
  </w:p>
  <w:p w14:paraId="73CAB8A1" w14:textId="56248F81" w:rsidR="00566BF9" w:rsidRPr="00AE7950" w:rsidRDefault="003966F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2" behindDoc="0" locked="0" layoutInCell="1" allowOverlap="1" wp14:anchorId="63F7057D" wp14:editId="1EBF8CFA">
              <wp:simplePos x="914400" y="9262053"/>
              <wp:positionH relativeFrom="page">
                <wp:align>center</wp:align>
              </wp:positionH>
              <wp:positionV relativeFrom="page">
                <wp:align>bottom</wp:align>
              </wp:positionV>
              <wp:extent cx="443865" cy="443865"/>
              <wp:effectExtent l="0" t="0" r="6350" b="0"/>
              <wp:wrapNone/>
              <wp:docPr id="1607810502" name="Text Box 3"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DC2EAA" w14:textId="42F3A08F" w:rsidR="003966F3" w:rsidRPr="003966F3" w:rsidRDefault="003966F3" w:rsidP="003966F3">
                          <w:pPr>
                            <w:spacing w:after="0"/>
                            <w:rPr>
                              <w:rFonts w:ascii="Calibri" w:eastAsia="Calibri" w:hAnsi="Calibri" w:cs="Calibri"/>
                              <w:noProof/>
                              <w:color w:val="0000FF"/>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7057D" id="_x0000_t202" coordsize="21600,21600" o:spt="202" path="m,l,21600r21600,l21600,xe">
              <v:stroke joinstyle="miter"/>
              <v:path gradientshapeok="t" o:connecttype="rect"/>
            </v:shapetype>
            <v:shape id="Text Box 3" o:spid="_x0000_s1029" type="#_x0000_t202" alt="Restricted Use - À usage restreint"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ADC2EAA" w14:textId="42F3A08F" w:rsidR="003966F3" w:rsidRPr="003966F3" w:rsidRDefault="003966F3" w:rsidP="003966F3">
                    <w:pPr>
                      <w:spacing w:after="0"/>
                      <w:rPr>
                        <w:rFonts w:ascii="Calibri" w:eastAsia="Calibri" w:hAnsi="Calibri" w:cs="Calibri"/>
                        <w:noProof/>
                        <w:color w:val="0000FF"/>
                        <w:sz w:val="20"/>
                        <w:szCs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7186C" w14:textId="539B351A" w:rsidR="00AE14F9" w:rsidRPr="00AE7950" w:rsidRDefault="00E314B3" w:rsidP="00AE795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0" distR="0" simplePos="0" relativeHeight="251658245" behindDoc="0" locked="0" layoutInCell="1" hidden="0" allowOverlap="1" wp14:anchorId="58659A51" wp14:editId="4CDDE779">
              <wp:simplePos x="0" y="0"/>
              <wp:positionH relativeFrom="column">
                <wp:posOffset>1828800</wp:posOffset>
              </wp:positionH>
              <wp:positionV relativeFrom="paragraph">
                <wp:posOffset>0</wp:posOffset>
              </wp:positionV>
              <wp:extent cx="453390" cy="453390"/>
              <wp:effectExtent l="0" t="0" r="0" b="0"/>
              <wp:wrapNone/>
              <wp:docPr id="1607810503" name="Rectangle 1607810503" descr="Restricted Use - À usage restreint"/>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16657D10" w14:textId="77777777" w:rsidR="003E0466" w:rsidRDefault="00E314B3">
                          <w:pPr>
                            <w:spacing w:after="0" w:line="258" w:lineRule="auto"/>
                            <w:textDirection w:val="btLr"/>
                          </w:pPr>
                          <w:r>
                            <w:rPr>
                              <w:rFonts w:eastAsia="Calibri"/>
                              <w:color w:val="0000FF"/>
                              <w:sz w:val="20"/>
                            </w:rPr>
                            <w:t>Restricted Use - À usage restreint</w:t>
                          </w:r>
                        </w:p>
                      </w:txbxContent>
                    </wps:txbx>
                    <wps:bodyPr spcFirstLastPara="1" wrap="square" lIns="0" tIns="0" rIns="0" bIns="190500" anchor="b" anchorCtr="0">
                      <a:noAutofit/>
                    </wps:bodyPr>
                  </wps:wsp>
                </a:graphicData>
              </a:graphic>
            </wp:anchor>
          </w:drawing>
        </mc:Choice>
        <mc:Fallback>
          <w:pict>
            <v:rect w14:anchorId="58659A51" id="Rectangle 1607810503" o:spid="_x0000_s1030" alt="Restricted Use - À usage restreint" style="position:absolute;margin-left:2in;margin-top:0;width:35.7pt;height:35.7pt;z-index:251658245;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" filled="f" stroked="f">
              <v:textbox inset="0,0,0,15pt">
                <w:txbxContent>
                  <w:p w14:paraId="16657D10" w14:textId="77777777" w:rsidR="003E0466" w:rsidRDefault="00E314B3">
                    <w:pPr>
                      <w:spacing w:after="0" w:line="258" w:lineRule="auto"/>
                      <w:textDirection w:val="btLr"/>
                    </w:pPr>
                    <w:r>
                      <w:rPr>
                        <w:rFonts w:eastAsia="Calibri"/>
                        <w:color w:val="0000FF"/>
                        <w:sz w:val="20"/>
                      </w:rPr>
                      <w:t>Restricted Use - À usage restreint</w:t>
                    </w:r>
                  </w:p>
                </w:txbxContent>
              </v:textbox>
            </v:rect>
          </w:pict>
        </mc:Fallback>
      </mc:AlternateContent>
    </w:r>
    <w:r w:rsidR="003966F3">
      <w:rPr>
        <w:noProof/>
      </w:rPr>
      <mc:AlternateContent>
        <mc:Choice Requires="wps">
          <w:drawing>
            <wp:anchor distT="0" distB="0" distL="0" distR="0" simplePos="0" relativeHeight="251658240" behindDoc="0" locked="0" layoutInCell="1" allowOverlap="1" wp14:anchorId="1DF5B5A0" wp14:editId="56FD77A9">
              <wp:simplePos x="635" y="635"/>
              <wp:positionH relativeFrom="page">
                <wp:align>center</wp:align>
              </wp:positionH>
              <wp:positionV relativeFrom="page">
                <wp:align>bottom</wp:align>
              </wp:positionV>
              <wp:extent cx="443865" cy="443865"/>
              <wp:effectExtent l="0" t="0" r="6350" b="0"/>
              <wp:wrapNone/>
              <wp:docPr id="1139991927" name="Text Box 1" descr="Restricted Use - À usage restreint">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5E182" w14:textId="1368E171"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F5B5A0" id="_x0000_t202" coordsize="21600,21600" o:spt="202" path="m,l,21600r21600,l21600,xe">
              <v:stroke joinstyle="miter"/>
              <v:path gradientshapeok="t" o:connecttype="rect"/>
            </v:shapetype>
            <v:shape id="Text Box 1" o:spid="_x0000_s1031" type="#_x0000_t202" alt="Restricted Use - À usage restrein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5C5E182" w14:textId="1368E171" w:rsidR="003966F3" w:rsidRPr="003966F3" w:rsidRDefault="003966F3" w:rsidP="003966F3">
                    <w:pPr>
                      <w:spacing w:after="0"/>
                      <w:rPr>
                        <w:rFonts w:ascii="Calibri" w:eastAsia="Calibri" w:hAnsi="Calibri" w:cs="Calibri"/>
                        <w:noProof/>
                        <w:color w:val="0000FF"/>
                        <w:sz w:val="20"/>
                        <w:szCs w:val="20"/>
                      </w:rPr>
                    </w:pPr>
                    <w:r w:rsidRPr="003966F3">
                      <w:rPr>
                        <w:rFonts w:ascii="Calibri" w:eastAsia="Calibri" w:hAnsi="Calibri" w:cs="Calibri"/>
                        <w:noProof/>
                        <w:color w:val="0000FF"/>
                        <w:sz w:val="20"/>
                        <w:szCs w:val="20"/>
                      </w:rPr>
                      <w:t>Restricted Use - À usage restreint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FE9B3" w14:textId="77777777" w:rsidR="006655CB" w:rsidRDefault="006655CB" w:rsidP="008B2498">
      <w:pPr>
        <w:spacing w:after="0" w:line="240" w:lineRule="auto"/>
      </w:pPr>
      <w:r>
        <w:separator/>
      </w:r>
    </w:p>
  </w:footnote>
  <w:footnote w:type="continuationSeparator" w:id="0">
    <w:p w14:paraId="08A657B3" w14:textId="77777777" w:rsidR="006655CB" w:rsidRDefault="006655CB" w:rsidP="008B2498">
      <w:pPr>
        <w:spacing w:after="0" w:line="240" w:lineRule="auto"/>
      </w:pPr>
      <w:r>
        <w:continuationSeparator/>
      </w:r>
    </w:p>
  </w:footnote>
  <w:footnote w:type="continuationNotice" w:id="1">
    <w:p w14:paraId="5B0C62D0" w14:textId="77777777" w:rsidR="006655CB" w:rsidRDefault="006655CB">
      <w:pPr>
        <w:spacing w:after="0" w:line="240" w:lineRule="auto"/>
      </w:pPr>
    </w:p>
  </w:footnote>
  <w:footnote w:id="2">
    <w:p w14:paraId="46BB2FC9" w14:textId="3D7041EB" w:rsidR="000815EB" w:rsidRPr="003A2148" w:rsidRDefault="000815EB"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United Nations Statistics Division. (2024). *The gender snapshot 2024*. https://unstats.un.org/sdgs/gender-snapshot/2024/GenderSnapshot2024.pdf</w:t>
      </w:r>
    </w:p>
  </w:footnote>
  <w:footnote w:id="3">
    <w:p w14:paraId="61E3DD7C" w14:textId="12BE31B4" w:rsidR="00F572AA" w:rsidRPr="003A2148" w:rsidRDefault="00F572AA"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Ibid. </w:t>
      </w:r>
    </w:p>
  </w:footnote>
  <w:footnote w:id="4">
    <w:p w14:paraId="037B7E20" w14:textId="4807BC1D" w:rsidR="002920D3" w:rsidRPr="003A2148" w:rsidRDefault="002920D3" w:rsidP="00886CE3">
      <w:pPr>
        <w:spacing w:after="0" w:line="240" w:lineRule="auto"/>
        <w:jc w:val="both"/>
        <w:rPr>
          <w:sz w:val="14"/>
          <w:szCs w:val="14"/>
        </w:rPr>
      </w:pPr>
      <w:r w:rsidRPr="003A2148">
        <w:rPr>
          <w:rStyle w:val="FootnoteReference"/>
          <w:sz w:val="14"/>
          <w:szCs w:val="14"/>
        </w:rPr>
        <w:footnoteRef/>
      </w:r>
      <w:r w:rsidR="00E314B3" w:rsidRPr="003A2148">
        <w:rPr>
          <w:rFonts w:eastAsia="Calibri"/>
          <w:sz w:val="14"/>
          <w:szCs w:val="14"/>
        </w:rPr>
        <w:t xml:space="preserve"> UNESCO. (2024). </w:t>
      </w:r>
      <w:hyperlink r:id="rId1">
        <w:r w:rsidR="00E314B3" w:rsidRPr="003A2148">
          <w:rPr>
            <w:rFonts w:eastAsia="Calibri"/>
            <w:color w:val="0000FF"/>
            <w:sz w:val="14"/>
            <w:szCs w:val="14"/>
            <w:u w:val="single"/>
          </w:rPr>
          <w:t>The price of inaction: the global private, fiscal and social costs of children and youth not learning | UNESCO</w:t>
        </w:r>
      </w:hyperlink>
    </w:p>
  </w:footnote>
  <w:footnote w:id="5">
    <w:p w14:paraId="71DC39B8" w14:textId="0BE03E57" w:rsidR="00786C23" w:rsidRPr="003A2148" w:rsidRDefault="00AD379D"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Pennings S. (2022)</w:t>
      </w:r>
      <w:r w:rsidR="00BC2714" w:rsidRPr="003A2148">
        <w:rPr>
          <w:sz w:val="14"/>
          <w:szCs w:val="14"/>
        </w:rPr>
        <w:t xml:space="preserve">. </w:t>
      </w:r>
      <w:r w:rsidR="008F5AF3" w:rsidRPr="003A2148">
        <w:rPr>
          <w:i/>
          <w:sz w:val="14"/>
          <w:szCs w:val="14"/>
        </w:rPr>
        <w:t>How much would GDP per capita increase if employment gaps were closed in developing</w:t>
      </w:r>
      <w:r w:rsidR="00786C23" w:rsidRPr="003A2148">
        <w:rPr>
          <w:i/>
          <w:sz w:val="14"/>
          <w:szCs w:val="14"/>
        </w:rPr>
        <w:t xml:space="preserve"> countries: </w:t>
      </w:r>
      <w:r w:rsidRPr="003A2148">
        <w:rPr>
          <w:sz w:val="14"/>
          <w:szCs w:val="14"/>
        </w:rPr>
        <w:t>https://blogs.worldbank.org/en/developmenttalk/how-much-would-gdp-capita-increase-if-gender-employment-gaps-were-closed-developing</w:t>
      </w:r>
    </w:p>
  </w:footnote>
  <w:footnote w:id="6">
    <w:p w14:paraId="6CCAFE20" w14:textId="6BC88A5C" w:rsidR="00FD2F8E" w:rsidRPr="003A2148" w:rsidRDefault="00FD2F8E"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Gu, J., Kolovich, L. L., Mondragon, J., Newiak, M., &amp; Herrmann, M. (2024). </w:t>
      </w:r>
      <w:r w:rsidRPr="003A2148">
        <w:rPr>
          <w:i/>
          <w:sz w:val="14"/>
          <w:szCs w:val="14"/>
        </w:rPr>
        <w:t>Promoting gender equality and tackling demographic challenges</w:t>
      </w:r>
      <w:r w:rsidRPr="003A2148">
        <w:rPr>
          <w:sz w:val="14"/>
          <w:szCs w:val="14"/>
        </w:rPr>
        <w:t xml:space="preserve">. International Monetary Fund. </w:t>
      </w:r>
      <w:hyperlink r:id="rId2">
        <w:r w:rsidR="00E314B3" w:rsidRPr="00886CE3">
          <w:rPr>
            <w:rFonts w:eastAsia="Calibri"/>
            <w:color w:val="0000FF"/>
            <w:sz w:val="14"/>
            <w:szCs w:val="14"/>
            <w:u w:val="single"/>
          </w:rPr>
          <w:t>https://www.imf.org/en/Publications/gender-notes/Issues/2024/06/10/Promoting-Gender-Equality-and-Tackling-Demographic-Challenges-549916</w:t>
        </w:r>
      </w:hyperlink>
    </w:p>
  </w:footnote>
  <w:footnote w:id="7">
    <w:p w14:paraId="255B63A9" w14:textId="112ED4E8" w:rsidR="006D06EA" w:rsidRPr="003A2148" w:rsidRDefault="006D06EA" w:rsidP="00886CE3">
      <w:pPr>
        <w:spacing w:after="0" w:line="240" w:lineRule="auto"/>
        <w:jc w:val="both"/>
        <w:rPr>
          <w:sz w:val="14"/>
          <w:szCs w:val="14"/>
        </w:rPr>
      </w:pPr>
      <w:r w:rsidRPr="003A2148">
        <w:rPr>
          <w:rStyle w:val="FootnoteReference"/>
          <w:sz w:val="14"/>
          <w:szCs w:val="14"/>
        </w:rPr>
        <w:footnoteRef/>
      </w:r>
      <w:r w:rsidR="00E314B3" w:rsidRPr="003A2148">
        <w:rPr>
          <w:rFonts w:eastAsia="Calibri"/>
          <w:sz w:val="14"/>
          <w:szCs w:val="14"/>
        </w:rPr>
        <w:t xml:space="preserve"> </w:t>
      </w:r>
      <w:hyperlink r:id="rId3" w:anchor=":~:text=Achieving%20gender%20equality%2C%20as%20represented%20by%20eight%20sex-disaggregated,studied%2C%20equal%20to%2020.5%25%20of%20their%20collective%20GDP.">
        <w:r w:rsidR="00E314B3" w:rsidRPr="003A2148">
          <w:rPr>
            <w:rFonts w:eastAsia="Calibri"/>
            <w:color w:val="0000FF"/>
            <w:sz w:val="14"/>
            <w:szCs w:val="14"/>
            <w:u w:val="single"/>
          </w:rPr>
          <w:t>The costs of achieving the SDGs: Road to gender equality | UNCTAD</w:t>
        </w:r>
      </w:hyperlink>
    </w:p>
  </w:footnote>
  <w:footnote w:id="8">
    <w:p w14:paraId="54C7397D" w14:textId="77777777" w:rsidR="003C12C1" w:rsidRPr="003A2148" w:rsidRDefault="003C12C1"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UNCTAD. (2024) https://unctad.org/system/files/official-document/osgttinf2024d1_en.pdf</w:t>
      </w:r>
    </w:p>
  </w:footnote>
  <w:footnote w:id="9">
    <w:p w14:paraId="38A7A55B" w14:textId="77777777" w:rsidR="00D754AA" w:rsidRPr="003A2148" w:rsidRDefault="00D754AA" w:rsidP="00886CE3">
      <w:pPr>
        <w:spacing w:after="0" w:line="240" w:lineRule="auto"/>
        <w:jc w:val="both"/>
        <w:rPr>
          <w:sz w:val="14"/>
          <w:szCs w:val="14"/>
        </w:rPr>
      </w:pPr>
      <w:r w:rsidRPr="003A2148">
        <w:rPr>
          <w:rStyle w:val="FootnoteReference"/>
          <w:sz w:val="14"/>
          <w:szCs w:val="14"/>
        </w:rPr>
        <w:footnoteRef/>
      </w:r>
      <w:r w:rsidRPr="003A2148">
        <w:rPr>
          <w:sz w:val="14"/>
          <w:szCs w:val="14"/>
        </w:rPr>
        <w:t xml:space="preserve"> OECD. (upcoming). Development Finance for Gender Equality 2024. OECD. https://one.oecd.org/document/DCD(2023)12/en/pdf </w:t>
      </w:r>
    </w:p>
  </w:footnote>
  <w:footnote w:id="10">
    <w:p w14:paraId="6C5380B2" w14:textId="7AB1081C" w:rsidR="00986D0C" w:rsidRPr="00AE7950" w:rsidRDefault="00986D0C" w:rsidP="00886CE3">
      <w:pPr>
        <w:spacing w:after="0" w:line="240" w:lineRule="auto"/>
        <w:jc w:val="both"/>
      </w:pPr>
      <w:r w:rsidRPr="003A2148">
        <w:rPr>
          <w:rStyle w:val="FootnoteReference"/>
          <w:sz w:val="14"/>
          <w:szCs w:val="14"/>
        </w:rPr>
        <w:footnoteRef/>
      </w:r>
      <w:r w:rsidRPr="003A2148">
        <w:rPr>
          <w:sz w:val="14"/>
          <w:szCs w:val="14"/>
        </w:rPr>
        <w:t xml:space="preserve"> Worl</w:t>
      </w:r>
      <w:r w:rsidR="00F24B9E" w:rsidRPr="003A2148">
        <w:rPr>
          <w:sz w:val="14"/>
          <w:szCs w:val="14"/>
        </w:rPr>
        <w:t>d Bank. (</w:t>
      </w:r>
      <w:r w:rsidR="00B17280" w:rsidRPr="003A2148">
        <w:rPr>
          <w:kern w:val="0"/>
          <w:sz w:val="14"/>
          <w:szCs w:val="14"/>
          <w14:ligatures w14:val="none"/>
        </w:rPr>
        <w:t xml:space="preserve">2023). </w:t>
      </w:r>
      <w:r w:rsidR="00B17280" w:rsidRPr="003A2148">
        <w:rPr>
          <w:rStyle w:val="Emphasis"/>
          <w:kern w:val="0"/>
          <w:sz w:val="14"/>
          <w:szCs w:val="14"/>
          <w14:ligatures w14:val="none"/>
        </w:rPr>
        <w:t>Detox development: Repurposing environmentally harmful subsidies</w:t>
      </w:r>
      <w:r w:rsidR="00B17280" w:rsidRPr="003A2148">
        <w:rPr>
          <w:kern w:val="0"/>
          <w:sz w:val="14"/>
          <w:szCs w:val="14"/>
          <w14:ligatures w14:val="none"/>
        </w:rPr>
        <w:t>. World Bank Group.</w:t>
      </w:r>
    </w:p>
  </w:footnote>
  <w:footnote w:id="11">
    <w:p w14:paraId="2C017407" w14:textId="77777777" w:rsidR="008B2498" w:rsidRPr="00886CE3" w:rsidRDefault="008B2498" w:rsidP="00886CE3">
      <w:pPr>
        <w:pBdr>
          <w:top w:val="nil"/>
          <w:left w:val="nil"/>
          <w:bottom w:val="nil"/>
          <w:right w:val="nil"/>
          <w:between w:val="nil"/>
        </w:pBdr>
        <w:spacing w:after="0" w:line="240" w:lineRule="auto"/>
        <w:jc w:val="both"/>
        <w:rPr>
          <w:color w:val="000000"/>
          <w:sz w:val="14"/>
          <w:szCs w:val="14"/>
        </w:rPr>
      </w:pPr>
      <w:r w:rsidRPr="00886CE3">
        <w:rPr>
          <w:rStyle w:val="FootnoteReference"/>
          <w:sz w:val="14"/>
          <w:szCs w:val="14"/>
        </w:rPr>
        <w:footnoteRef/>
      </w:r>
      <w:r w:rsidRPr="003A2148">
        <w:rPr>
          <w:color w:val="000000"/>
          <w:sz w:val="14"/>
          <w:szCs w:val="14"/>
        </w:rPr>
        <w:t xml:space="preserve"> UN Women. (2023). Strengthening public finance management systems for gender equality and women’s empowerment.</w:t>
      </w:r>
    </w:p>
  </w:footnote>
  <w:footnote w:id="12">
    <w:sdt>
      <w:sdtPr>
        <w:rPr>
          <w:sz w:val="14"/>
          <w:szCs w:val="14"/>
        </w:rPr>
        <w:tag w:val="goog_rdk_15"/>
        <w:id w:val="791104996"/>
      </w:sdtPr>
      <w:sdtContent>
        <w:p w14:paraId="1CACC7A6" w14:textId="77777777" w:rsidR="00A5669F" w:rsidRPr="003A2148" w:rsidRDefault="00A5669F" w:rsidP="00886CE3">
          <w:pPr>
            <w:spacing w:after="0" w:line="240" w:lineRule="auto"/>
            <w:jc w:val="both"/>
            <w:rPr>
              <w:rFonts w:eastAsia="Calibri"/>
              <w:color w:val="000000"/>
              <w:sz w:val="14"/>
              <w:szCs w:val="14"/>
            </w:rPr>
          </w:pPr>
          <w:r w:rsidRPr="003A2148">
            <w:rPr>
              <w:rStyle w:val="FootnoteReference"/>
              <w:sz w:val="14"/>
              <w:szCs w:val="14"/>
            </w:rPr>
            <w:footnoteRef/>
          </w:r>
          <w:sdt>
            <w:sdtPr>
              <w:rPr>
                <w:sz w:val="14"/>
                <w:szCs w:val="14"/>
              </w:rPr>
              <w:tag w:val="goog_rdk_14"/>
              <w:id w:val="996690025"/>
            </w:sdtPr>
            <w:sdtContent>
              <w:r w:rsidRPr="003A2148">
                <w:rPr>
                  <w:rFonts w:eastAsia="Calibri"/>
                  <w:color w:val="000000"/>
                  <w:sz w:val="14"/>
                  <w:szCs w:val="14"/>
                </w:rPr>
                <w:t xml:space="preserve"> ILOSTAT. Shedding light on the world of unpaid domestic and care work.</w:t>
              </w:r>
            </w:sdtContent>
          </w:sdt>
        </w:p>
      </w:sdtContent>
    </w:sdt>
  </w:footnote>
  <w:footnote w:id="13">
    <w:p w14:paraId="56D10AC6" w14:textId="72C39D98" w:rsidR="005D3292" w:rsidRPr="003A2148" w:rsidRDefault="005D3292" w:rsidP="00886CE3">
      <w:pPr>
        <w:pStyle w:val="FootnoteText"/>
        <w:jc w:val="both"/>
        <w:rPr>
          <w:sz w:val="14"/>
          <w:szCs w:val="14"/>
          <w:lang w:val="en-GB"/>
        </w:rPr>
      </w:pPr>
      <w:r w:rsidRPr="003A2148">
        <w:rPr>
          <w:rStyle w:val="FootnoteReference"/>
          <w:sz w:val="14"/>
          <w:szCs w:val="14"/>
        </w:rPr>
        <w:footnoteRef/>
      </w:r>
      <w:r w:rsidRPr="003A2148">
        <w:rPr>
          <w:sz w:val="14"/>
          <w:szCs w:val="14"/>
        </w:rPr>
        <w:t xml:space="preserve"> </w:t>
      </w:r>
      <w:r w:rsidR="00EA7043" w:rsidRPr="003A2148">
        <w:rPr>
          <w:sz w:val="14"/>
          <w:szCs w:val="14"/>
        </w:rPr>
        <w:t>OECD</w:t>
      </w:r>
      <w:r w:rsidRPr="003A2148">
        <w:rPr>
          <w:sz w:val="14"/>
          <w:szCs w:val="14"/>
        </w:rPr>
        <w:t xml:space="preserve"> (2023), « Women represent a larger share of the social economy than of the total labour force in most countries : Female share of the total labour force, percentage, 2022 or latest year available », dans </w:t>
      </w:r>
      <w:r w:rsidRPr="003A2148">
        <w:rPr>
          <w:i/>
          <w:iCs/>
          <w:sz w:val="14"/>
          <w:szCs w:val="14"/>
        </w:rPr>
        <w:t>Joining Forces for Gender Equality : What is Holding us Back?</w:t>
      </w:r>
      <w:r w:rsidRPr="003A2148">
        <w:rPr>
          <w:sz w:val="14"/>
          <w:szCs w:val="14"/>
        </w:rPr>
        <w:t>, Éditions OCDE, Paris, </w:t>
      </w:r>
      <w:hyperlink r:id="rId4" w:history="1">
        <w:r w:rsidRPr="003A2148">
          <w:rPr>
            <w:rStyle w:val="Hyperlink"/>
            <w:sz w:val="14"/>
            <w:szCs w:val="14"/>
          </w:rPr>
          <w:t>https://doi.org/10.1787/023199ce-en</w:t>
        </w:r>
      </w:hyperlink>
      <w:r w:rsidRPr="003A2148">
        <w:rPr>
          <w:sz w:val="14"/>
          <w:szCs w:val="14"/>
        </w:rPr>
        <w:t>.</w:t>
      </w:r>
    </w:p>
  </w:footnote>
  <w:footnote w:id="14">
    <w:sdt>
      <w:sdtPr>
        <w:rPr>
          <w:sz w:val="14"/>
          <w:szCs w:val="14"/>
        </w:rPr>
        <w:tag w:val="goog_rdk_17"/>
        <w:id w:val="94289453"/>
      </w:sdtPr>
      <w:sdtContent>
        <w:p w14:paraId="1F488B5D" w14:textId="77777777" w:rsidR="003E0466" w:rsidRPr="00D50044" w:rsidRDefault="00E314B3" w:rsidP="00886CE3">
          <w:pPr>
            <w:spacing w:after="0" w:line="240" w:lineRule="auto"/>
            <w:jc w:val="both"/>
            <w:rPr>
              <w:rFonts w:eastAsia="Calibri"/>
              <w:color w:val="000000"/>
              <w:sz w:val="14"/>
              <w:szCs w:val="14"/>
            </w:rPr>
          </w:pPr>
          <w:r w:rsidRPr="003A2148">
            <w:rPr>
              <w:rStyle w:val="FootnoteReference"/>
              <w:sz w:val="14"/>
              <w:szCs w:val="14"/>
            </w:rPr>
            <w:footnoteRef/>
          </w:r>
          <w:sdt>
            <w:sdtPr>
              <w:rPr>
                <w:sz w:val="14"/>
                <w:szCs w:val="14"/>
              </w:rPr>
              <w:tag w:val="goog_rdk_16"/>
              <w:id w:val="2114475917"/>
            </w:sdtPr>
            <w:sdtContent>
              <w:r w:rsidRPr="003A2148">
                <w:rPr>
                  <w:rFonts w:eastAsia="Calibri"/>
                  <w:color w:val="000000"/>
                  <w:sz w:val="14"/>
                  <w:szCs w:val="14"/>
                </w:rPr>
                <w:t xml:space="preserve"> IMF and UNFPA (June 2023). Promoting Gender Equality and Tackling Demographic Challenges.</w:t>
              </w:r>
            </w:sdtContent>
          </w:sdt>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F4D66" w14:textId="77777777" w:rsidR="003E4AFA" w:rsidRDefault="003E4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007EC"/>
    <w:multiLevelType w:val="multilevel"/>
    <w:tmpl w:val="14C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FA284A"/>
    <w:multiLevelType w:val="hybridMultilevel"/>
    <w:tmpl w:val="4A5AF274"/>
    <w:lvl w:ilvl="0" w:tplc="07689C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238F9"/>
    <w:multiLevelType w:val="multilevel"/>
    <w:tmpl w:val="E18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6E0C6D"/>
    <w:multiLevelType w:val="multilevel"/>
    <w:tmpl w:val="ABDE05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77F6434"/>
    <w:multiLevelType w:val="hybridMultilevel"/>
    <w:tmpl w:val="AF724310"/>
    <w:lvl w:ilvl="0" w:tplc="31363988">
      <w:start w:val="1"/>
      <w:numFmt w:val="lowerLetter"/>
      <w:lvlText w:val="%1)"/>
      <w:lvlJc w:val="left"/>
      <w:pPr>
        <w:ind w:left="720" w:hanging="360"/>
      </w:pPr>
      <w:rPr>
        <w:rFonts w:asciiTheme="minorHAnsi" w:eastAsia="Times New Roman" w:hAnsiTheme="minorHAnsi" w:cstheme="minorHAnsi"/>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E5975"/>
    <w:multiLevelType w:val="hybridMultilevel"/>
    <w:tmpl w:val="589C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66C96"/>
    <w:multiLevelType w:val="hybridMultilevel"/>
    <w:tmpl w:val="2FE86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D72A8"/>
    <w:multiLevelType w:val="hybridMultilevel"/>
    <w:tmpl w:val="E0665934"/>
    <w:lvl w:ilvl="0" w:tplc="9E28F60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56041"/>
    <w:multiLevelType w:val="multilevel"/>
    <w:tmpl w:val="93D85580"/>
    <w:lvl w:ilvl="0">
      <w:start w:val="1"/>
      <w:numFmt w:val="lowerLetter"/>
      <w:lvlText w:val="%1."/>
      <w:lvlJc w:val="left"/>
      <w:pPr>
        <w:ind w:left="720" w:hanging="360"/>
      </w:pPr>
      <w:rPr>
        <w:rFonts w:ascii="Calibri" w:hAnsi="Calibri" w:hint="default"/>
        <w:b w:val="0"/>
        <w:i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EB29C8"/>
    <w:multiLevelType w:val="hybridMultilevel"/>
    <w:tmpl w:val="19DA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5D6296"/>
    <w:multiLevelType w:val="hybridMultilevel"/>
    <w:tmpl w:val="CE20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704886">
    <w:abstractNumId w:val="5"/>
  </w:num>
  <w:num w:numId="2" w16cid:durableId="1830517664">
    <w:abstractNumId w:val="11"/>
  </w:num>
  <w:num w:numId="3" w16cid:durableId="167448926">
    <w:abstractNumId w:val="10"/>
  </w:num>
  <w:num w:numId="4" w16cid:durableId="1141073370">
    <w:abstractNumId w:val="4"/>
  </w:num>
  <w:num w:numId="5" w16cid:durableId="1051074891">
    <w:abstractNumId w:val="1"/>
  </w:num>
  <w:num w:numId="6" w16cid:durableId="561477889">
    <w:abstractNumId w:val="8"/>
  </w:num>
  <w:num w:numId="7" w16cid:durableId="552817407">
    <w:abstractNumId w:val="6"/>
  </w:num>
  <w:num w:numId="8" w16cid:durableId="1262372003">
    <w:abstractNumId w:val="7"/>
  </w:num>
  <w:num w:numId="9" w16cid:durableId="1270502789">
    <w:abstractNumId w:val="0"/>
  </w:num>
  <w:num w:numId="10" w16cid:durableId="1162235330">
    <w:abstractNumId w:val="2"/>
  </w:num>
  <w:num w:numId="11" w16cid:durableId="814180911">
    <w:abstractNumId w:val="9"/>
  </w:num>
  <w:num w:numId="12" w16cid:durableId="535431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5E164C9996221E3C647C4C41AB68AA8502901D02397E0E236A9ED132783CDA9B"/>
  </w:docVars>
  <w:rsids>
    <w:rsidRoot w:val="008B2498"/>
    <w:rsid w:val="00003DDD"/>
    <w:rsid w:val="00007A4D"/>
    <w:rsid w:val="00013BA6"/>
    <w:rsid w:val="0001718C"/>
    <w:rsid w:val="00017660"/>
    <w:rsid w:val="000179F4"/>
    <w:rsid w:val="00021B57"/>
    <w:rsid w:val="0002589E"/>
    <w:rsid w:val="00025933"/>
    <w:rsid w:val="00025E00"/>
    <w:rsid w:val="00033773"/>
    <w:rsid w:val="000345F8"/>
    <w:rsid w:val="000411F2"/>
    <w:rsid w:val="00057B92"/>
    <w:rsid w:val="00064546"/>
    <w:rsid w:val="000654FF"/>
    <w:rsid w:val="00066F42"/>
    <w:rsid w:val="00067525"/>
    <w:rsid w:val="00067F37"/>
    <w:rsid w:val="000815EB"/>
    <w:rsid w:val="00084840"/>
    <w:rsid w:val="00085ECC"/>
    <w:rsid w:val="00092E56"/>
    <w:rsid w:val="000933FB"/>
    <w:rsid w:val="000959B5"/>
    <w:rsid w:val="0009612D"/>
    <w:rsid w:val="00097AB2"/>
    <w:rsid w:val="000A3136"/>
    <w:rsid w:val="000A4F85"/>
    <w:rsid w:val="000B10AB"/>
    <w:rsid w:val="000B79CC"/>
    <w:rsid w:val="000C2602"/>
    <w:rsid w:val="000C5DCE"/>
    <w:rsid w:val="000C5F41"/>
    <w:rsid w:val="000E30DA"/>
    <w:rsid w:val="000E38F4"/>
    <w:rsid w:val="000E4274"/>
    <w:rsid w:val="000E4C86"/>
    <w:rsid w:val="00102FDC"/>
    <w:rsid w:val="0010599D"/>
    <w:rsid w:val="00113CDD"/>
    <w:rsid w:val="0011549C"/>
    <w:rsid w:val="00117258"/>
    <w:rsid w:val="00121481"/>
    <w:rsid w:val="00131CFE"/>
    <w:rsid w:val="00142977"/>
    <w:rsid w:val="001505E2"/>
    <w:rsid w:val="00151E74"/>
    <w:rsid w:val="001550ED"/>
    <w:rsid w:val="0015575A"/>
    <w:rsid w:val="001636F4"/>
    <w:rsid w:val="00181D45"/>
    <w:rsid w:val="0018769D"/>
    <w:rsid w:val="00190B4C"/>
    <w:rsid w:val="0019268E"/>
    <w:rsid w:val="00196203"/>
    <w:rsid w:val="001A33AE"/>
    <w:rsid w:val="001A5CB7"/>
    <w:rsid w:val="001B1714"/>
    <w:rsid w:val="001B2BB9"/>
    <w:rsid w:val="001C0730"/>
    <w:rsid w:val="001C73E2"/>
    <w:rsid w:val="001D0F6D"/>
    <w:rsid w:val="001D10AE"/>
    <w:rsid w:val="001D365B"/>
    <w:rsid w:val="001E5B04"/>
    <w:rsid w:val="00201397"/>
    <w:rsid w:val="002040D7"/>
    <w:rsid w:val="00206119"/>
    <w:rsid w:val="002148DC"/>
    <w:rsid w:val="00215961"/>
    <w:rsid w:val="002174C5"/>
    <w:rsid w:val="00220371"/>
    <w:rsid w:val="00231CD0"/>
    <w:rsid w:val="00243E7F"/>
    <w:rsid w:val="00245C56"/>
    <w:rsid w:val="00246545"/>
    <w:rsid w:val="0025625D"/>
    <w:rsid w:val="00257F89"/>
    <w:rsid w:val="0027517B"/>
    <w:rsid w:val="002801BB"/>
    <w:rsid w:val="0028453F"/>
    <w:rsid w:val="002920D3"/>
    <w:rsid w:val="002B16CB"/>
    <w:rsid w:val="002B728A"/>
    <w:rsid w:val="002D08C7"/>
    <w:rsid w:val="002D4C0E"/>
    <w:rsid w:val="002D60B6"/>
    <w:rsid w:val="002D6AD1"/>
    <w:rsid w:val="002F144B"/>
    <w:rsid w:val="002F2F69"/>
    <w:rsid w:val="002F4D28"/>
    <w:rsid w:val="0030234D"/>
    <w:rsid w:val="003103DB"/>
    <w:rsid w:val="003119ED"/>
    <w:rsid w:val="00313D73"/>
    <w:rsid w:val="00322715"/>
    <w:rsid w:val="00324EFC"/>
    <w:rsid w:val="00325746"/>
    <w:rsid w:val="00325DCB"/>
    <w:rsid w:val="00334264"/>
    <w:rsid w:val="003607E5"/>
    <w:rsid w:val="00370812"/>
    <w:rsid w:val="00371256"/>
    <w:rsid w:val="0037127A"/>
    <w:rsid w:val="003738BB"/>
    <w:rsid w:val="003774B7"/>
    <w:rsid w:val="00387D11"/>
    <w:rsid w:val="003924F1"/>
    <w:rsid w:val="00392F42"/>
    <w:rsid w:val="003966F3"/>
    <w:rsid w:val="003A2148"/>
    <w:rsid w:val="003A4D80"/>
    <w:rsid w:val="003B0147"/>
    <w:rsid w:val="003B1687"/>
    <w:rsid w:val="003B6974"/>
    <w:rsid w:val="003C12C1"/>
    <w:rsid w:val="003C291D"/>
    <w:rsid w:val="003C3BEC"/>
    <w:rsid w:val="003D485F"/>
    <w:rsid w:val="003D4E85"/>
    <w:rsid w:val="003D522A"/>
    <w:rsid w:val="003D61B3"/>
    <w:rsid w:val="003D6F86"/>
    <w:rsid w:val="003D7EB2"/>
    <w:rsid w:val="003E001A"/>
    <w:rsid w:val="003E0466"/>
    <w:rsid w:val="003E4AFA"/>
    <w:rsid w:val="003E5734"/>
    <w:rsid w:val="003E5BDF"/>
    <w:rsid w:val="00403BEF"/>
    <w:rsid w:val="00410E84"/>
    <w:rsid w:val="00412C54"/>
    <w:rsid w:val="004246D3"/>
    <w:rsid w:val="004270B7"/>
    <w:rsid w:val="00437A5E"/>
    <w:rsid w:val="00437AA6"/>
    <w:rsid w:val="00440FB4"/>
    <w:rsid w:val="004417DE"/>
    <w:rsid w:val="004555BF"/>
    <w:rsid w:val="00457DD0"/>
    <w:rsid w:val="004632E6"/>
    <w:rsid w:val="0048169B"/>
    <w:rsid w:val="00482909"/>
    <w:rsid w:val="00490C75"/>
    <w:rsid w:val="0049661A"/>
    <w:rsid w:val="00497023"/>
    <w:rsid w:val="004A4DE3"/>
    <w:rsid w:val="004B644E"/>
    <w:rsid w:val="004C7AEC"/>
    <w:rsid w:val="004D4FC9"/>
    <w:rsid w:val="004F137B"/>
    <w:rsid w:val="00501148"/>
    <w:rsid w:val="005026CE"/>
    <w:rsid w:val="0050454B"/>
    <w:rsid w:val="00505006"/>
    <w:rsid w:val="00506CA4"/>
    <w:rsid w:val="00513574"/>
    <w:rsid w:val="005179AE"/>
    <w:rsid w:val="00521B16"/>
    <w:rsid w:val="00532D91"/>
    <w:rsid w:val="005338E9"/>
    <w:rsid w:val="00540FE7"/>
    <w:rsid w:val="00552F37"/>
    <w:rsid w:val="00553242"/>
    <w:rsid w:val="00553395"/>
    <w:rsid w:val="00554C97"/>
    <w:rsid w:val="0056149A"/>
    <w:rsid w:val="00566BF9"/>
    <w:rsid w:val="0057032A"/>
    <w:rsid w:val="0059304C"/>
    <w:rsid w:val="005977A6"/>
    <w:rsid w:val="005A3722"/>
    <w:rsid w:val="005B25B1"/>
    <w:rsid w:val="005D2211"/>
    <w:rsid w:val="005D3292"/>
    <w:rsid w:val="005D402C"/>
    <w:rsid w:val="005E1E3D"/>
    <w:rsid w:val="005E2C2C"/>
    <w:rsid w:val="005E42E6"/>
    <w:rsid w:val="005F36C0"/>
    <w:rsid w:val="005F4489"/>
    <w:rsid w:val="0061093B"/>
    <w:rsid w:val="00610D9F"/>
    <w:rsid w:val="00611ACA"/>
    <w:rsid w:val="00612B17"/>
    <w:rsid w:val="00613375"/>
    <w:rsid w:val="0061791A"/>
    <w:rsid w:val="0062628E"/>
    <w:rsid w:val="00631290"/>
    <w:rsid w:val="00642883"/>
    <w:rsid w:val="006448D1"/>
    <w:rsid w:val="00646262"/>
    <w:rsid w:val="0065502E"/>
    <w:rsid w:val="00662754"/>
    <w:rsid w:val="00663C9C"/>
    <w:rsid w:val="006655CB"/>
    <w:rsid w:val="00666F5C"/>
    <w:rsid w:val="0067194B"/>
    <w:rsid w:val="00686BCE"/>
    <w:rsid w:val="00691BB8"/>
    <w:rsid w:val="0069405C"/>
    <w:rsid w:val="006A4BB7"/>
    <w:rsid w:val="006A4DAB"/>
    <w:rsid w:val="006B69E5"/>
    <w:rsid w:val="006B7198"/>
    <w:rsid w:val="006C10A0"/>
    <w:rsid w:val="006C2CCA"/>
    <w:rsid w:val="006C5594"/>
    <w:rsid w:val="006D06EA"/>
    <w:rsid w:val="006D39BA"/>
    <w:rsid w:val="006E70C1"/>
    <w:rsid w:val="006F050E"/>
    <w:rsid w:val="006F18E9"/>
    <w:rsid w:val="006F1A1C"/>
    <w:rsid w:val="006F5E3A"/>
    <w:rsid w:val="0071487D"/>
    <w:rsid w:val="007152A0"/>
    <w:rsid w:val="007154D6"/>
    <w:rsid w:val="00716498"/>
    <w:rsid w:val="00722376"/>
    <w:rsid w:val="007232B5"/>
    <w:rsid w:val="00723BA2"/>
    <w:rsid w:val="00724E00"/>
    <w:rsid w:val="00732658"/>
    <w:rsid w:val="00740ED0"/>
    <w:rsid w:val="00746432"/>
    <w:rsid w:val="0075279B"/>
    <w:rsid w:val="00770396"/>
    <w:rsid w:val="00770B75"/>
    <w:rsid w:val="00781432"/>
    <w:rsid w:val="00782FD5"/>
    <w:rsid w:val="007849E4"/>
    <w:rsid w:val="00786C23"/>
    <w:rsid w:val="00792509"/>
    <w:rsid w:val="00793936"/>
    <w:rsid w:val="007978C2"/>
    <w:rsid w:val="007A17F5"/>
    <w:rsid w:val="007A2567"/>
    <w:rsid w:val="007A6A61"/>
    <w:rsid w:val="007A6FA0"/>
    <w:rsid w:val="007B3BC0"/>
    <w:rsid w:val="007D42A7"/>
    <w:rsid w:val="007E10AA"/>
    <w:rsid w:val="007E6AB7"/>
    <w:rsid w:val="007E73EF"/>
    <w:rsid w:val="007E7E87"/>
    <w:rsid w:val="007E7F4A"/>
    <w:rsid w:val="00816A2B"/>
    <w:rsid w:val="00817448"/>
    <w:rsid w:val="00825CB8"/>
    <w:rsid w:val="00837C7A"/>
    <w:rsid w:val="008449D3"/>
    <w:rsid w:val="008544B8"/>
    <w:rsid w:val="00855683"/>
    <w:rsid w:val="00857FC2"/>
    <w:rsid w:val="00862999"/>
    <w:rsid w:val="008646F9"/>
    <w:rsid w:val="0087495D"/>
    <w:rsid w:val="0087535C"/>
    <w:rsid w:val="00881389"/>
    <w:rsid w:val="00886CE3"/>
    <w:rsid w:val="00890D2D"/>
    <w:rsid w:val="00894032"/>
    <w:rsid w:val="008A7F4D"/>
    <w:rsid w:val="008B143F"/>
    <w:rsid w:val="008B2498"/>
    <w:rsid w:val="008B32A5"/>
    <w:rsid w:val="008C0F13"/>
    <w:rsid w:val="008D0E7E"/>
    <w:rsid w:val="008D1596"/>
    <w:rsid w:val="008E4B81"/>
    <w:rsid w:val="008E74BE"/>
    <w:rsid w:val="008F26EF"/>
    <w:rsid w:val="008F3173"/>
    <w:rsid w:val="008F5AF3"/>
    <w:rsid w:val="009043D2"/>
    <w:rsid w:val="0091647D"/>
    <w:rsid w:val="00917CA3"/>
    <w:rsid w:val="00923903"/>
    <w:rsid w:val="00925839"/>
    <w:rsid w:val="00927382"/>
    <w:rsid w:val="0092775F"/>
    <w:rsid w:val="00932BB8"/>
    <w:rsid w:val="009367A5"/>
    <w:rsid w:val="00950DF0"/>
    <w:rsid w:val="009543B7"/>
    <w:rsid w:val="0095604B"/>
    <w:rsid w:val="00961981"/>
    <w:rsid w:val="00966C5A"/>
    <w:rsid w:val="009727C3"/>
    <w:rsid w:val="0097281D"/>
    <w:rsid w:val="00973936"/>
    <w:rsid w:val="00973B1F"/>
    <w:rsid w:val="00974F59"/>
    <w:rsid w:val="00977A96"/>
    <w:rsid w:val="009819C7"/>
    <w:rsid w:val="009836E0"/>
    <w:rsid w:val="009868AA"/>
    <w:rsid w:val="00986D0C"/>
    <w:rsid w:val="00995646"/>
    <w:rsid w:val="00996065"/>
    <w:rsid w:val="009A0926"/>
    <w:rsid w:val="009A14AD"/>
    <w:rsid w:val="009A694F"/>
    <w:rsid w:val="009B5A41"/>
    <w:rsid w:val="009B633C"/>
    <w:rsid w:val="009C25DD"/>
    <w:rsid w:val="009C6A96"/>
    <w:rsid w:val="009D0681"/>
    <w:rsid w:val="009D0E0A"/>
    <w:rsid w:val="009D3EC5"/>
    <w:rsid w:val="009D7E84"/>
    <w:rsid w:val="009E4854"/>
    <w:rsid w:val="009E6F46"/>
    <w:rsid w:val="009F4AC9"/>
    <w:rsid w:val="00A063BC"/>
    <w:rsid w:val="00A10AFF"/>
    <w:rsid w:val="00A11CEE"/>
    <w:rsid w:val="00A1491D"/>
    <w:rsid w:val="00A14E5F"/>
    <w:rsid w:val="00A321D6"/>
    <w:rsid w:val="00A3783C"/>
    <w:rsid w:val="00A378CA"/>
    <w:rsid w:val="00A40D22"/>
    <w:rsid w:val="00A46865"/>
    <w:rsid w:val="00A50192"/>
    <w:rsid w:val="00A53A5F"/>
    <w:rsid w:val="00A5669F"/>
    <w:rsid w:val="00A60C2D"/>
    <w:rsid w:val="00A6173D"/>
    <w:rsid w:val="00A676EE"/>
    <w:rsid w:val="00A77F59"/>
    <w:rsid w:val="00A77FE9"/>
    <w:rsid w:val="00A80B1D"/>
    <w:rsid w:val="00A82595"/>
    <w:rsid w:val="00A86A53"/>
    <w:rsid w:val="00A95B08"/>
    <w:rsid w:val="00A95C45"/>
    <w:rsid w:val="00A95FC0"/>
    <w:rsid w:val="00A971C8"/>
    <w:rsid w:val="00AA0E38"/>
    <w:rsid w:val="00AB407A"/>
    <w:rsid w:val="00AC2515"/>
    <w:rsid w:val="00AD1394"/>
    <w:rsid w:val="00AD379D"/>
    <w:rsid w:val="00AE14F9"/>
    <w:rsid w:val="00AE32EC"/>
    <w:rsid w:val="00AE503F"/>
    <w:rsid w:val="00AE6C61"/>
    <w:rsid w:val="00AE7950"/>
    <w:rsid w:val="00AE7E10"/>
    <w:rsid w:val="00AF3FCB"/>
    <w:rsid w:val="00AF67C0"/>
    <w:rsid w:val="00B03644"/>
    <w:rsid w:val="00B0409D"/>
    <w:rsid w:val="00B077C3"/>
    <w:rsid w:val="00B155E6"/>
    <w:rsid w:val="00B17280"/>
    <w:rsid w:val="00B20AA0"/>
    <w:rsid w:val="00B22F33"/>
    <w:rsid w:val="00B24CAB"/>
    <w:rsid w:val="00B34A8E"/>
    <w:rsid w:val="00B45366"/>
    <w:rsid w:val="00B47C4E"/>
    <w:rsid w:val="00B74CE2"/>
    <w:rsid w:val="00B771FF"/>
    <w:rsid w:val="00B804EF"/>
    <w:rsid w:val="00B8184E"/>
    <w:rsid w:val="00B8525D"/>
    <w:rsid w:val="00B85ABE"/>
    <w:rsid w:val="00BA2C54"/>
    <w:rsid w:val="00BA7859"/>
    <w:rsid w:val="00BB18B8"/>
    <w:rsid w:val="00BB32A6"/>
    <w:rsid w:val="00BB43B0"/>
    <w:rsid w:val="00BC262E"/>
    <w:rsid w:val="00BC2714"/>
    <w:rsid w:val="00BC4DF3"/>
    <w:rsid w:val="00BD1A6F"/>
    <w:rsid w:val="00BD5B1F"/>
    <w:rsid w:val="00BD7884"/>
    <w:rsid w:val="00BE2185"/>
    <w:rsid w:val="00BE4409"/>
    <w:rsid w:val="00BE673E"/>
    <w:rsid w:val="00BF0655"/>
    <w:rsid w:val="00BF102B"/>
    <w:rsid w:val="00C02941"/>
    <w:rsid w:val="00C11441"/>
    <w:rsid w:val="00C1419E"/>
    <w:rsid w:val="00C14D24"/>
    <w:rsid w:val="00C17389"/>
    <w:rsid w:val="00C2483E"/>
    <w:rsid w:val="00C35F88"/>
    <w:rsid w:val="00C376F5"/>
    <w:rsid w:val="00C400AD"/>
    <w:rsid w:val="00C45554"/>
    <w:rsid w:val="00C526C6"/>
    <w:rsid w:val="00C52D88"/>
    <w:rsid w:val="00C5328C"/>
    <w:rsid w:val="00C55C79"/>
    <w:rsid w:val="00C62C7F"/>
    <w:rsid w:val="00C67BF0"/>
    <w:rsid w:val="00C728DD"/>
    <w:rsid w:val="00C728F4"/>
    <w:rsid w:val="00C72B80"/>
    <w:rsid w:val="00C81CA5"/>
    <w:rsid w:val="00C823DB"/>
    <w:rsid w:val="00C8640C"/>
    <w:rsid w:val="00CA5D51"/>
    <w:rsid w:val="00CB1A6A"/>
    <w:rsid w:val="00CB2BF3"/>
    <w:rsid w:val="00CC58AA"/>
    <w:rsid w:val="00CC687B"/>
    <w:rsid w:val="00CD3F50"/>
    <w:rsid w:val="00CE0A5D"/>
    <w:rsid w:val="00CE40BF"/>
    <w:rsid w:val="00CF4CB5"/>
    <w:rsid w:val="00D00D09"/>
    <w:rsid w:val="00D1465F"/>
    <w:rsid w:val="00D14D07"/>
    <w:rsid w:val="00D20057"/>
    <w:rsid w:val="00D24BCE"/>
    <w:rsid w:val="00D24CF3"/>
    <w:rsid w:val="00D266D7"/>
    <w:rsid w:val="00D34805"/>
    <w:rsid w:val="00D3656E"/>
    <w:rsid w:val="00D45210"/>
    <w:rsid w:val="00D50044"/>
    <w:rsid w:val="00D50CF4"/>
    <w:rsid w:val="00D530AA"/>
    <w:rsid w:val="00D5471F"/>
    <w:rsid w:val="00D604D4"/>
    <w:rsid w:val="00D61D60"/>
    <w:rsid w:val="00D63445"/>
    <w:rsid w:val="00D651C6"/>
    <w:rsid w:val="00D679B1"/>
    <w:rsid w:val="00D754AA"/>
    <w:rsid w:val="00D7557D"/>
    <w:rsid w:val="00DA4C1A"/>
    <w:rsid w:val="00DA6FCA"/>
    <w:rsid w:val="00DB2CC7"/>
    <w:rsid w:val="00DB63F4"/>
    <w:rsid w:val="00DC5EEB"/>
    <w:rsid w:val="00DC658E"/>
    <w:rsid w:val="00DD1A4C"/>
    <w:rsid w:val="00DD3E47"/>
    <w:rsid w:val="00DD7D0C"/>
    <w:rsid w:val="00DE06F0"/>
    <w:rsid w:val="00DE625A"/>
    <w:rsid w:val="00DF3E6E"/>
    <w:rsid w:val="00DF4DAA"/>
    <w:rsid w:val="00E00E98"/>
    <w:rsid w:val="00E1232C"/>
    <w:rsid w:val="00E12495"/>
    <w:rsid w:val="00E131D7"/>
    <w:rsid w:val="00E13825"/>
    <w:rsid w:val="00E158D2"/>
    <w:rsid w:val="00E15FCF"/>
    <w:rsid w:val="00E275B2"/>
    <w:rsid w:val="00E314B3"/>
    <w:rsid w:val="00E40D07"/>
    <w:rsid w:val="00E461F9"/>
    <w:rsid w:val="00E50D29"/>
    <w:rsid w:val="00E57D92"/>
    <w:rsid w:val="00E61032"/>
    <w:rsid w:val="00E719CF"/>
    <w:rsid w:val="00E77215"/>
    <w:rsid w:val="00E82239"/>
    <w:rsid w:val="00E92616"/>
    <w:rsid w:val="00E94377"/>
    <w:rsid w:val="00EA3640"/>
    <w:rsid w:val="00EA7043"/>
    <w:rsid w:val="00EB1512"/>
    <w:rsid w:val="00EC0206"/>
    <w:rsid w:val="00EC5A83"/>
    <w:rsid w:val="00EC5E9F"/>
    <w:rsid w:val="00ED6781"/>
    <w:rsid w:val="00EE1C3B"/>
    <w:rsid w:val="00EE5E83"/>
    <w:rsid w:val="00EE69B0"/>
    <w:rsid w:val="00F02939"/>
    <w:rsid w:val="00F03642"/>
    <w:rsid w:val="00F10025"/>
    <w:rsid w:val="00F14781"/>
    <w:rsid w:val="00F24B9E"/>
    <w:rsid w:val="00F26A0F"/>
    <w:rsid w:val="00F27C99"/>
    <w:rsid w:val="00F403B8"/>
    <w:rsid w:val="00F448C8"/>
    <w:rsid w:val="00F56951"/>
    <w:rsid w:val="00F56F25"/>
    <w:rsid w:val="00F572AA"/>
    <w:rsid w:val="00F910D6"/>
    <w:rsid w:val="00F9279D"/>
    <w:rsid w:val="00FA2C7D"/>
    <w:rsid w:val="00FA377A"/>
    <w:rsid w:val="00FB2DB4"/>
    <w:rsid w:val="00FB3F78"/>
    <w:rsid w:val="00FC21F6"/>
    <w:rsid w:val="00FC4EC7"/>
    <w:rsid w:val="00FC596C"/>
    <w:rsid w:val="00FD2F8E"/>
    <w:rsid w:val="00FD4939"/>
    <w:rsid w:val="00FE1E95"/>
    <w:rsid w:val="00FF79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C0045"/>
  <w15:chartTrackingRefBased/>
  <w15:docId w15:val="{3C5E0D21-E954-4A3B-9B9A-0142E34E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498"/>
    <w:rPr>
      <w:rFonts w:eastAsiaTheme="minorEastAsia"/>
      <w:lang w:eastAsia="zh-CN"/>
    </w:rPr>
  </w:style>
  <w:style w:type="paragraph" w:styleId="Heading1">
    <w:name w:val="heading 1"/>
    <w:basedOn w:val="Normal"/>
    <w:next w:val="Normal"/>
    <w:link w:val="Heading1Char"/>
    <w:uiPriority w:val="9"/>
    <w:qFormat/>
    <w:rsid w:val="008B24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4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B2498"/>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pPr>
      <w:keepNext/>
      <w:keepLines/>
      <w:spacing w:before="240" w:after="40"/>
      <w:outlineLvl w:val="3"/>
    </w:pPr>
    <w:rPr>
      <w:rFonts w:ascii="Calibri" w:hAnsi="Calibri" w:cs="Calibri"/>
      <w:b/>
      <w:kern w:val="0"/>
      <w:sz w:val="24"/>
      <w:szCs w:val="24"/>
      <w14:ligatures w14:val="none"/>
    </w:rPr>
  </w:style>
  <w:style w:type="paragraph" w:styleId="Heading5">
    <w:name w:val="heading 5"/>
    <w:basedOn w:val="Normal"/>
    <w:next w:val="Normal"/>
    <w:link w:val="Heading5Char"/>
    <w:uiPriority w:val="9"/>
    <w:semiHidden/>
    <w:unhideWhenUsed/>
    <w:qFormat/>
    <w:pPr>
      <w:keepNext/>
      <w:keepLines/>
      <w:spacing w:before="220" w:after="40"/>
      <w:outlineLvl w:val="4"/>
    </w:pPr>
    <w:rPr>
      <w:rFonts w:ascii="Calibri" w:hAnsi="Calibri" w:cs="Calibri"/>
      <w:b/>
      <w:kern w:val="0"/>
      <w14:ligatures w14:val="none"/>
    </w:rPr>
  </w:style>
  <w:style w:type="paragraph" w:styleId="Heading6">
    <w:name w:val="heading 6"/>
    <w:basedOn w:val="Normal"/>
    <w:next w:val="Normal"/>
    <w:link w:val="Heading6Char"/>
    <w:uiPriority w:val="9"/>
    <w:semiHidden/>
    <w:unhideWhenUsed/>
    <w:qFormat/>
    <w:pPr>
      <w:keepNext/>
      <w:keepLines/>
      <w:spacing w:before="200" w:after="40"/>
      <w:outlineLvl w:val="5"/>
    </w:pPr>
    <w:rPr>
      <w:rFonts w:ascii="Calibri" w:hAnsi="Calibri" w:cs="Calibri"/>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498"/>
    <w:rPr>
      <w:rFonts w:asciiTheme="majorHAnsi" w:eastAsiaTheme="majorEastAsia" w:hAnsiTheme="majorHAnsi" w:cstheme="majorBidi"/>
      <w:color w:val="2F5496" w:themeColor="accent1" w:themeShade="BF"/>
      <w:sz w:val="32"/>
      <w:szCs w:val="32"/>
      <w:lang w:eastAsia="zh-CN"/>
    </w:rPr>
  </w:style>
  <w:style w:type="character" w:customStyle="1" w:styleId="Heading2Char">
    <w:name w:val="Heading 2 Char"/>
    <w:basedOn w:val="DefaultParagraphFont"/>
    <w:link w:val="Heading2"/>
    <w:uiPriority w:val="9"/>
    <w:rsid w:val="008B2498"/>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semiHidden/>
    <w:rsid w:val="008B2498"/>
    <w:rPr>
      <w:rFonts w:asciiTheme="majorHAnsi" w:eastAsiaTheme="majorEastAsia" w:hAnsiTheme="majorHAnsi" w:cstheme="majorBidi"/>
      <w:color w:val="1F3763" w:themeColor="accent1" w:themeShade="7F"/>
      <w:kern w:val="0"/>
      <w:sz w:val="24"/>
      <w:szCs w:val="24"/>
      <w:lang w:eastAsia="zh-CN"/>
      <w14:ligatures w14:val="none"/>
    </w:rPr>
  </w:style>
  <w:style w:type="paragraph" w:styleId="ListParagraph">
    <w:name w:val="List Paragraph"/>
    <w:aliases w:val="paragraph,References,Dot pt,F5 List Paragraph,List Paragraph Char Char Char,Indicator Text,Numbered Para 1,Bullet 1,Bullet Points,List Paragraph2,MAIN CONTENT,Normal numbered,List Paragraph1,Issue Action POC,3"/>
    <w:basedOn w:val="Normal"/>
    <w:link w:val="ListParagraphChar"/>
    <w:uiPriority w:val="34"/>
    <w:qFormat/>
    <w:rsid w:val="008B2498"/>
    <w:pPr>
      <w:ind w:left="720"/>
      <w:contextualSpacing/>
    </w:p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iPriority w:val="99"/>
    <w:unhideWhenUsed/>
    <w:qFormat/>
    <w:rsid w:val="008B2498"/>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qFormat/>
    <w:rsid w:val="008B2498"/>
    <w:rPr>
      <w:rFonts w:eastAsiaTheme="minorEastAsia"/>
      <w:sz w:val="20"/>
      <w:szCs w:val="20"/>
      <w:lang w:eastAsia="zh-CN"/>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link w:val="FootnotesymbolCarZchnZchn"/>
    <w:uiPriority w:val="99"/>
    <w:unhideWhenUsed/>
    <w:qFormat/>
    <w:rsid w:val="008B2498"/>
    <w:rPr>
      <w:vertAlign w:val="superscript"/>
    </w:rPr>
  </w:style>
  <w:style w:type="character" w:styleId="Hyperlink">
    <w:name w:val="Hyperlink"/>
    <w:basedOn w:val="DefaultParagraphFont"/>
    <w:unhideWhenUsed/>
    <w:rsid w:val="008B2498"/>
    <w:rPr>
      <w:color w:val="0563C1" w:themeColor="hyperlink"/>
      <w:u w:val="single"/>
    </w:rPr>
  </w:style>
  <w:style w:type="character" w:styleId="CommentReference">
    <w:name w:val="annotation reference"/>
    <w:basedOn w:val="DefaultParagraphFont"/>
    <w:uiPriority w:val="99"/>
    <w:semiHidden/>
    <w:unhideWhenUsed/>
    <w:rsid w:val="008B2498"/>
    <w:rPr>
      <w:sz w:val="16"/>
      <w:szCs w:val="16"/>
    </w:rPr>
  </w:style>
  <w:style w:type="paragraph" w:styleId="CommentText">
    <w:name w:val="annotation text"/>
    <w:basedOn w:val="Normal"/>
    <w:link w:val="CommentTextChar"/>
    <w:uiPriority w:val="99"/>
    <w:unhideWhenUsed/>
    <w:rsid w:val="008B2498"/>
    <w:pPr>
      <w:spacing w:line="240" w:lineRule="auto"/>
    </w:pPr>
    <w:rPr>
      <w:sz w:val="20"/>
      <w:szCs w:val="20"/>
    </w:rPr>
  </w:style>
  <w:style w:type="character" w:customStyle="1" w:styleId="CommentTextChar">
    <w:name w:val="Comment Text Char"/>
    <w:basedOn w:val="DefaultParagraphFont"/>
    <w:link w:val="CommentText"/>
    <w:uiPriority w:val="99"/>
    <w:rsid w:val="008B2498"/>
    <w:rPr>
      <w:rFonts w:eastAsiaTheme="minorEastAsia"/>
      <w:sz w:val="20"/>
      <w:szCs w:val="20"/>
      <w:lang w:eastAsia="zh-CN"/>
    </w:rPr>
  </w:style>
  <w:style w:type="paragraph" w:styleId="NormalWeb">
    <w:name w:val="Normal (Web)"/>
    <w:basedOn w:val="Normal"/>
    <w:uiPriority w:val="99"/>
    <w:unhideWhenUsed/>
    <w:rsid w:val="008B2498"/>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paragraph" w:customStyle="1" w:styleId="Default">
    <w:name w:val="Default"/>
    <w:rsid w:val="008B2498"/>
    <w:pPr>
      <w:autoSpaceDE w:val="0"/>
      <w:autoSpaceDN w:val="0"/>
      <w:adjustRightInd w:val="0"/>
      <w:spacing w:after="0" w:line="240" w:lineRule="auto"/>
    </w:pPr>
    <w:rPr>
      <w:rFonts w:ascii="Calibri" w:eastAsiaTheme="minorEastAsia" w:hAnsi="Calibri" w:cs="Calibri"/>
      <w:color w:val="000000"/>
      <w:kern w:val="0"/>
      <w:sz w:val="24"/>
      <w:szCs w:val="24"/>
      <w:lang w:eastAsia="zh-CN"/>
      <w14:ligatures w14:val="none"/>
    </w:rPr>
  </w:style>
  <w:style w:type="character" w:styleId="Emphasis">
    <w:name w:val="Emphasis"/>
    <w:basedOn w:val="DefaultParagraphFont"/>
    <w:uiPriority w:val="20"/>
    <w:qFormat/>
    <w:rsid w:val="008B2498"/>
    <w:rPr>
      <w:i/>
      <w:iC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uiPriority w:val="99"/>
    <w:rsid w:val="008B2498"/>
    <w:pPr>
      <w:suppressAutoHyphens/>
      <w:spacing w:after="0" w:line="240" w:lineRule="exact"/>
      <w:jc w:val="both"/>
    </w:pPr>
    <w:rPr>
      <w:rFonts w:eastAsiaTheme="minorHAnsi"/>
      <w:vertAlign w:val="superscript"/>
      <w:lang w:eastAsia="en-US"/>
    </w:rPr>
  </w:style>
  <w:style w:type="character" w:customStyle="1" w:styleId="ListParagraphChar">
    <w:name w:val="List Paragraph Char"/>
    <w:aliases w:val="paragraph Char,References Char,Dot pt Char,F5 List Paragraph Char,List Paragraph Char Char Char Char,Indicator Text Char,Numbered Para 1 Char,Bullet 1 Char,Bullet Points Char,List Paragraph2 Char,MAIN CONTENT Char,3 Char"/>
    <w:link w:val="ListParagraph"/>
    <w:uiPriority w:val="34"/>
    <w:locked/>
    <w:rsid w:val="008B2498"/>
    <w:rPr>
      <w:rFonts w:eastAsiaTheme="minorEastAsia"/>
      <w:lang w:eastAsia="zh-CN"/>
    </w:rPr>
  </w:style>
  <w:style w:type="paragraph" w:customStyle="1" w:styleId="BodyText1">
    <w:name w:val="Body Text1"/>
    <w:basedOn w:val="Normal"/>
    <w:uiPriority w:val="99"/>
    <w:rsid w:val="008B2498"/>
    <w:pPr>
      <w:widowControl w:val="0"/>
      <w:tabs>
        <w:tab w:val="left" w:pos="120"/>
      </w:tabs>
      <w:autoSpaceDE w:val="0"/>
      <w:autoSpaceDN w:val="0"/>
      <w:adjustRightInd w:val="0"/>
      <w:spacing w:line="262" w:lineRule="atLeast"/>
      <w:textAlignment w:val="center"/>
    </w:pPr>
    <w:rPr>
      <w:rFonts w:ascii="Calibri" w:hAnsi="Calibri" w:cs="TheSansLight-Plain"/>
      <w:color w:val="000000"/>
      <w:kern w:val="0"/>
      <w:sz w:val="19"/>
      <w:szCs w:val="19"/>
      <w:lang w:eastAsia="ja-JP"/>
      <w14:ligatures w14:val="none"/>
    </w:rPr>
  </w:style>
  <w:style w:type="paragraph" w:styleId="Revision">
    <w:name w:val="Revision"/>
    <w:hidden/>
    <w:uiPriority w:val="99"/>
    <w:semiHidden/>
    <w:rsid w:val="0057032A"/>
    <w:pPr>
      <w:spacing w:after="0" w:line="240" w:lineRule="auto"/>
    </w:pPr>
    <w:rPr>
      <w:rFonts w:eastAsiaTheme="minorEastAsia"/>
      <w:lang w:eastAsia="zh-CN"/>
    </w:rPr>
  </w:style>
  <w:style w:type="paragraph" w:styleId="Header">
    <w:name w:val="header"/>
    <w:basedOn w:val="Normal"/>
    <w:link w:val="HeaderChar"/>
    <w:uiPriority w:val="99"/>
    <w:unhideWhenUsed/>
    <w:rsid w:val="00566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BF9"/>
    <w:rPr>
      <w:rFonts w:eastAsiaTheme="minorEastAsia"/>
      <w:lang w:eastAsia="zh-CN"/>
    </w:rPr>
  </w:style>
  <w:style w:type="paragraph" w:styleId="Footer">
    <w:name w:val="footer"/>
    <w:basedOn w:val="Normal"/>
    <w:link w:val="FooterChar"/>
    <w:uiPriority w:val="99"/>
    <w:unhideWhenUsed/>
    <w:rsid w:val="00566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BF9"/>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CC58AA"/>
    <w:rPr>
      <w:b/>
      <w:bCs/>
    </w:rPr>
  </w:style>
  <w:style w:type="character" w:customStyle="1" w:styleId="CommentSubjectChar">
    <w:name w:val="Comment Subject Char"/>
    <w:basedOn w:val="CommentTextChar"/>
    <w:link w:val="CommentSubject"/>
    <w:uiPriority w:val="99"/>
    <w:semiHidden/>
    <w:rsid w:val="00CC58AA"/>
    <w:rPr>
      <w:rFonts w:eastAsiaTheme="minorEastAsia"/>
      <w:b/>
      <w:bCs/>
      <w:sz w:val="20"/>
      <w:szCs w:val="20"/>
      <w:lang w:eastAsia="zh-CN"/>
    </w:rPr>
  </w:style>
  <w:style w:type="character" w:styleId="FollowedHyperlink">
    <w:name w:val="FollowedHyperlink"/>
    <w:basedOn w:val="DefaultParagraphFont"/>
    <w:uiPriority w:val="99"/>
    <w:semiHidden/>
    <w:unhideWhenUsed/>
    <w:rsid w:val="00C5328C"/>
    <w:rPr>
      <w:color w:val="954F72" w:themeColor="followedHyperlink"/>
      <w:u w:val="single"/>
    </w:rPr>
  </w:style>
  <w:style w:type="character" w:styleId="UnresolvedMention">
    <w:name w:val="Unresolved Mention"/>
    <w:basedOn w:val="DefaultParagraphFont"/>
    <w:uiPriority w:val="99"/>
    <w:semiHidden/>
    <w:unhideWhenUsed/>
    <w:rsid w:val="00786C23"/>
    <w:rPr>
      <w:color w:val="605E5C"/>
      <w:shd w:val="clear" w:color="auto" w:fill="E1DFDD"/>
    </w:rPr>
  </w:style>
  <w:style w:type="paragraph" w:customStyle="1" w:styleId="pf0">
    <w:name w:val="pf0"/>
    <w:basedOn w:val="Normal"/>
    <w:rsid w:val="00C55C79"/>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customStyle="1" w:styleId="cf01">
    <w:name w:val="cf01"/>
    <w:basedOn w:val="DefaultParagraphFont"/>
    <w:rsid w:val="00C55C79"/>
    <w:rPr>
      <w:rFonts w:ascii="Segoe UI" w:hAnsi="Segoe UI" w:cs="Segoe UI" w:hint="default"/>
      <w:sz w:val="18"/>
      <w:szCs w:val="18"/>
    </w:rPr>
  </w:style>
  <w:style w:type="character" w:customStyle="1" w:styleId="apple-tab-span">
    <w:name w:val="apple-tab-span"/>
    <w:basedOn w:val="DefaultParagraphFont"/>
    <w:rsid w:val="007152A0"/>
  </w:style>
  <w:style w:type="character" w:customStyle="1" w:styleId="Heading4Char">
    <w:name w:val="Heading 4 Char"/>
    <w:basedOn w:val="DefaultParagraphFont"/>
    <w:link w:val="Heading4"/>
    <w:uiPriority w:val="9"/>
    <w:semiHidden/>
    <w:rsid w:val="00E77215"/>
    <w:rPr>
      <w:rFonts w:ascii="Calibri" w:eastAsiaTheme="minorEastAsia" w:hAnsi="Calibri" w:cs="Calibri"/>
      <w:b/>
      <w:kern w:val="0"/>
      <w:sz w:val="24"/>
      <w:szCs w:val="24"/>
      <w:lang w:eastAsia="zh-CN"/>
      <w14:ligatures w14:val="none"/>
    </w:rPr>
  </w:style>
  <w:style w:type="character" w:customStyle="1" w:styleId="Heading5Char">
    <w:name w:val="Heading 5 Char"/>
    <w:basedOn w:val="DefaultParagraphFont"/>
    <w:link w:val="Heading5"/>
    <w:uiPriority w:val="9"/>
    <w:semiHidden/>
    <w:rsid w:val="00E77215"/>
    <w:rPr>
      <w:rFonts w:ascii="Calibri" w:eastAsiaTheme="minorEastAsia" w:hAnsi="Calibri" w:cs="Calibri"/>
      <w:b/>
      <w:kern w:val="0"/>
      <w:lang w:eastAsia="zh-CN"/>
      <w14:ligatures w14:val="none"/>
    </w:rPr>
  </w:style>
  <w:style w:type="character" w:customStyle="1" w:styleId="Heading6Char">
    <w:name w:val="Heading 6 Char"/>
    <w:basedOn w:val="DefaultParagraphFont"/>
    <w:link w:val="Heading6"/>
    <w:uiPriority w:val="9"/>
    <w:semiHidden/>
    <w:rsid w:val="00E77215"/>
    <w:rPr>
      <w:rFonts w:ascii="Calibri" w:eastAsiaTheme="minorEastAsia" w:hAnsi="Calibri" w:cs="Calibri"/>
      <w:b/>
      <w:kern w:val="0"/>
      <w:sz w:val="20"/>
      <w:szCs w:val="20"/>
      <w:lang w:eastAsia="zh-CN"/>
      <w14:ligatures w14:val="none"/>
    </w:rPr>
  </w:style>
  <w:style w:type="paragraph" w:styleId="Title">
    <w:name w:val="Title"/>
    <w:basedOn w:val="Normal"/>
    <w:next w:val="Normal"/>
    <w:link w:val="TitleChar"/>
    <w:uiPriority w:val="10"/>
    <w:qFormat/>
    <w:pPr>
      <w:keepNext/>
      <w:keepLines/>
      <w:spacing w:before="480" w:after="120"/>
    </w:pPr>
    <w:rPr>
      <w:rFonts w:ascii="Calibri" w:hAnsi="Calibri" w:cs="Calibri"/>
      <w:b/>
      <w:kern w:val="0"/>
      <w:sz w:val="72"/>
      <w:szCs w:val="72"/>
      <w14:ligatures w14:val="none"/>
    </w:rPr>
  </w:style>
  <w:style w:type="character" w:customStyle="1" w:styleId="TitleChar">
    <w:name w:val="Title Char"/>
    <w:basedOn w:val="DefaultParagraphFont"/>
    <w:link w:val="Title"/>
    <w:uiPriority w:val="10"/>
    <w:rsid w:val="00E77215"/>
    <w:rPr>
      <w:rFonts w:ascii="Calibri" w:eastAsiaTheme="minorEastAsia" w:hAnsi="Calibri" w:cs="Calibri"/>
      <w:b/>
      <w:kern w:val="0"/>
      <w:sz w:val="72"/>
      <w:szCs w:val="72"/>
      <w:lang w:eastAsia="zh-CN"/>
      <w14:ligatures w14:val="none"/>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E77215"/>
    <w:rPr>
      <w:rFonts w:ascii="Georgia" w:eastAsia="Georgia" w:hAnsi="Georgia" w:cs="Georgia"/>
      <w:i/>
      <w:color w:val="666666"/>
      <w:kern w:val="0"/>
      <w:sz w:val="48"/>
      <w:szCs w:val="4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645">
      <w:bodyDiv w:val="1"/>
      <w:marLeft w:val="0"/>
      <w:marRight w:val="0"/>
      <w:marTop w:val="0"/>
      <w:marBottom w:val="0"/>
      <w:divBdr>
        <w:top w:val="none" w:sz="0" w:space="0" w:color="auto"/>
        <w:left w:val="none" w:sz="0" w:space="0" w:color="auto"/>
        <w:bottom w:val="none" w:sz="0" w:space="0" w:color="auto"/>
        <w:right w:val="none" w:sz="0" w:space="0" w:color="auto"/>
      </w:divBdr>
    </w:div>
    <w:div w:id="177548617">
      <w:bodyDiv w:val="1"/>
      <w:marLeft w:val="0"/>
      <w:marRight w:val="0"/>
      <w:marTop w:val="0"/>
      <w:marBottom w:val="0"/>
      <w:divBdr>
        <w:top w:val="none" w:sz="0" w:space="0" w:color="auto"/>
        <w:left w:val="none" w:sz="0" w:space="0" w:color="auto"/>
        <w:bottom w:val="none" w:sz="0" w:space="0" w:color="auto"/>
        <w:right w:val="none" w:sz="0" w:space="0" w:color="auto"/>
      </w:divBdr>
    </w:div>
    <w:div w:id="395054485">
      <w:bodyDiv w:val="1"/>
      <w:marLeft w:val="0"/>
      <w:marRight w:val="0"/>
      <w:marTop w:val="0"/>
      <w:marBottom w:val="0"/>
      <w:divBdr>
        <w:top w:val="none" w:sz="0" w:space="0" w:color="auto"/>
        <w:left w:val="none" w:sz="0" w:space="0" w:color="auto"/>
        <w:bottom w:val="none" w:sz="0" w:space="0" w:color="auto"/>
        <w:right w:val="none" w:sz="0" w:space="0" w:color="auto"/>
      </w:divBdr>
    </w:div>
    <w:div w:id="403071107">
      <w:bodyDiv w:val="1"/>
      <w:marLeft w:val="0"/>
      <w:marRight w:val="0"/>
      <w:marTop w:val="0"/>
      <w:marBottom w:val="0"/>
      <w:divBdr>
        <w:top w:val="none" w:sz="0" w:space="0" w:color="auto"/>
        <w:left w:val="none" w:sz="0" w:space="0" w:color="auto"/>
        <w:bottom w:val="none" w:sz="0" w:space="0" w:color="auto"/>
        <w:right w:val="none" w:sz="0" w:space="0" w:color="auto"/>
      </w:divBdr>
    </w:div>
    <w:div w:id="632755331">
      <w:bodyDiv w:val="1"/>
      <w:marLeft w:val="0"/>
      <w:marRight w:val="0"/>
      <w:marTop w:val="0"/>
      <w:marBottom w:val="0"/>
      <w:divBdr>
        <w:top w:val="none" w:sz="0" w:space="0" w:color="auto"/>
        <w:left w:val="none" w:sz="0" w:space="0" w:color="auto"/>
        <w:bottom w:val="none" w:sz="0" w:space="0" w:color="auto"/>
        <w:right w:val="none" w:sz="0" w:space="0" w:color="auto"/>
      </w:divBdr>
    </w:div>
    <w:div w:id="812218086">
      <w:bodyDiv w:val="1"/>
      <w:marLeft w:val="0"/>
      <w:marRight w:val="0"/>
      <w:marTop w:val="0"/>
      <w:marBottom w:val="0"/>
      <w:divBdr>
        <w:top w:val="none" w:sz="0" w:space="0" w:color="auto"/>
        <w:left w:val="none" w:sz="0" w:space="0" w:color="auto"/>
        <w:bottom w:val="none" w:sz="0" w:space="0" w:color="auto"/>
        <w:right w:val="none" w:sz="0" w:space="0" w:color="auto"/>
      </w:divBdr>
    </w:div>
    <w:div w:id="826357709">
      <w:bodyDiv w:val="1"/>
      <w:marLeft w:val="0"/>
      <w:marRight w:val="0"/>
      <w:marTop w:val="0"/>
      <w:marBottom w:val="0"/>
      <w:divBdr>
        <w:top w:val="none" w:sz="0" w:space="0" w:color="auto"/>
        <w:left w:val="none" w:sz="0" w:space="0" w:color="auto"/>
        <w:bottom w:val="none" w:sz="0" w:space="0" w:color="auto"/>
        <w:right w:val="none" w:sz="0" w:space="0" w:color="auto"/>
      </w:divBdr>
    </w:div>
    <w:div w:id="939949918">
      <w:bodyDiv w:val="1"/>
      <w:marLeft w:val="0"/>
      <w:marRight w:val="0"/>
      <w:marTop w:val="0"/>
      <w:marBottom w:val="0"/>
      <w:divBdr>
        <w:top w:val="none" w:sz="0" w:space="0" w:color="auto"/>
        <w:left w:val="none" w:sz="0" w:space="0" w:color="auto"/>
        <w:bottom w:val="none" w:sz="0" w:space="0" w:color="auto"/>
        <w:right w:val="none" w:sz="0" w:space="0" w:color="auto"/>
      </w:divBdr>
    </w:div>
    <w:div w:id="1075512408">
      <w:bodyDiv w:val="1"/>
      <w:marLeft w:val="0"/>
      <w:marRight w:val="0"/>
      <w:marTop w:val="0"/>
      <w:marBottom w:val="0"/>
      <w:divBdr>
        <w:top w:val="none" w:sz="0" w:space="0" w:color="auto"/>
        <w:left w:val="none" w:sz="0" w:space="0" w:color="auto"/>
        <w:bottom w:val="none" w:sz="0" w:space="0" w:color="auto"/>
        <w:right w:val="none" w:sz="0" w:space="0" w:color="auto"/>
      </w:divBdr>
    </w:div>
    <w:div w:id="1492602894">
      <w:bodyDiv w:val="1"/>
      <w:marLeft w:val="0"/>
      <w:marRight w:val="0"/>
      <w:marTop w:val="0"/>
      <w:marBottom w:val="0"/>
      <w:divBdr>
        <w:top w:val="none" w:sz="0" w:space="0" w:color="auto"/>
        <w:left w:val="none" w:sz="0" w:space="0" w:color="auto"/>
        <w:bottom w:val="none" w:sz="0" w:space="0" w:color="auto"/>
        <w:right w:val="none" w:sz="0" w:space="0" w:color="auto"/>
      </w:divBdr>
    </w:div>
    <w:div w:id="1621498140">
      <w:bodyDiv w:val="1"/>
      <w:marLeft w:val="0"/>
      <w:marRight w:val="0"/>
      <w:marTop w:val="0"/>
      <w:marBottom w:val="0"/>
      <w:divBdr>
        <w:top w:val="none" w:sz="0" w:space="0" w:color="auto"/>
        <w:left w:val="none" w:sz="0" w:space="0" w:color="auto"/>
        <w:bottom w:val="none" w:sz="0" w:space="0" w:color="auto"/>
        <w:right w:val="none" w:sz="0" w:space="0" w:color="auto"/>
      </w:divBdr>
      <w:divsChild>
        <w:div w:id="34087905">
          <w:marLeft w:val="0"/>
          <w:marRight w:val="0"/>
          <w:marTop w:val="0"/>
          <w:marBottom w:val="0"/>
          <w:divBdr>
            <w:top w:val="none" w:sz="0" w:space="0" w:color="auto"/>
            <w:left w:val="none" w:sz="0" w:space="0" w:color="auto"/>
            <w:bottom w:val="none" w:sz="0" w:space="0" w:color="auto"/>
            <w:right w:val="none" w:sz="0" w:space="0" w:color="auto"/>
          </w:divBdr>
        </w:div>
        <w:div w:id="1921594104">
          <w:marLeft w:val="0"/>
          <w:marRight w:val="0"/>
          <w:marTop w:val="0"/>
          <w:marBottom w:val="0"/>
          <w:divBdr>
            <w:top w:val="none" w:sz="0" w:space="0" w:color="auto"/>
            <w:left w:val="none" w:sz="0" w:space="0" w:color="auto"/>
            <w:bottom w:val="none" w:sz="0" w:space="0" w:color="auto"/>
            <w:right w:val="none" w:sz="0" w:space="0" w:color="auto"/>
          </w:divBdr>
        </w:div>
        <w:div w:id="2000766376">
          <w:marLeft w:val="0"/>
          <w:marRight w:val="0"/>
          <w:marTop w:val="0"/>
          <w:marBottom w:val="0"/>
          <w:divBdr>
            <w:top w:val="none" w:sz="0" w:space="0" w:color="auto"/>
            <w:left w:val="none" w:sz="0" w:space="0" w:color="auto"/>
            <w:bottom w:val="none" w:sz="0" w:space="0" w:color="auto"/>
            <w:right w:val="none" w:sz="0" w:space="0" w:color="auto"/>
          </w:divBdr>
        </w:div>
      </w:divsChild>
    </w:div>
    <w:div w:id="1734887337">
      <w:bodyDiv w:val="1"/>
      <w:marLeft w:val="0"/>
      <w:marRight w:val="0"/>
      <w:marTop w:val="0"/>
      <w:marBottom w:val="0"/>
      <w:divBdr>
        <w:top w:val="none" w:sz="0" w:space="0" w:color="auto"/>
        <w:left w:val="none" w:sz="0" w:space="0" w:color="auto"/>
        <w:bottom w:val="none" w:sz="0" w:space="0" w:color="auto"/>
        <w:right w:val="none" w:sz="0" w:space="0" w:color="auto"/>
      </w:divBdr>
    </w:div>
    <w:div w:id="1883469701">
      <w:bodyDiv w:val="1"/>
      <w:marLeft w:val="0"/>
      <w:marRight w:val="0"/>
      <w:marTop w:val="0"/>
      <w:marBottom w:val="0"/>
      <w:divBdr>
        <w:top w:val="none" w:sz="0" w:space="0" w:color="auto"/>
        <w:left w:val="none" w:sz="0" w:space="0" w:color="auto"/>
        <w:bottom w:val="none" w:sz="0" w:space="0" w:color="auto"/>
        <w:right w:val="none" w:sz="0" w:space="0" w:color="auto"/>
      </w:divBdr>
    </w:div>
    <w:div w:id="1929120575">
      <w:bodyDiv w:val="1"/>
      <w:marLeft w:val="0"/>
      <w:marRight w:val="0"/>
      <w:marTop w:val="0"/>
      <w:marBottom w:val="0"/>
      <w:divBdr>
        <w:top w:val="none" w:sz="0" w:space="0" w:color="auto"/>
        <w:left w:val="none" w:sz="0" w:space="0" w:color="auto"/>
        <w:bottom w:val="none" w:sz="0" w:space="0" w:color="auto"/>
        <w:right w:val="none" w:sz="0" w:space="0" w:color="auto"/>
      </w:divBdr>
    </w:div>
    <w:div w:id="2114206136">
      <w:bodyDiv w:val="1"/>
      <w:marLeft w:val="0"/>
      <w:marRight w:val="0"/>
      <w:marTop w:val="0"/>
      <w:marBottom w:val="0"/>
      <w:divBdr>
        <w:top w:val="none" w:sz="0" w:space="0" w:color="auto"/>
        <w:left w:val="none" w:sz="0" w:space="0" w:color="auto"/>
        <w:bottom w:val="none" w:sz="0" w:space="0" w:color="auto"/>
        <w:right w:val="none" w:sz="0" w:space="0" w:color="auto"/>
      </w:divBdr>
    </w:div>
    <w:div w:id="2116248088">
      <w:bodyDiv w:val="1"/>
      <w:marLeft w:val="0"/>
      <w:marRight w:val="0"/>
      <w:marTop w:val="0"/>
      <w:marBottom w:val="0"/>
      <w:divBdr>
        <w:top w:val="none" w:sz="0" w:space="0" w:color="auto"/>
        <w:left w:val="none" w:sz="0" w:space="0" w:color="auto"/>
        <w:bottom w:val="none" w:sz="0" w:space="0" w:color="auto"/>
        <w:right w:val="none" w:sz="0" w:space="0" w:color="auto"/>
      </w:divBdr>
    </w:div>
    <w:div w:id="2146392220">
      <w:bodyDiv w:val="1"/>
      <w:marLeft w:val="0"/>
      <w:marRight w:val="0"/>
      <w:marTop w:val="0"/>
      <w:marBottom w:val="0"/>
      <w:divBdr>
        <w:top w:val="none" w:sz="0" w:space="0" w:color="auto"/>
        <w:left w:val="none" w:sz="0" w:space="0" w:color="auto"/>
        <w:bottom w:val="none" w:sz="0" w:space="0" w:color="auto"/>
        <w:right w:val="none" w:sz="0" w:space="0" w:color="auto"/>
      </w:divBdr>
      <w:divsChild>
        <w:div w:id="725030616">
          <w:marLeft w:val="0"/>
          <w:marRight w:val="0"/>
          <w:marTop w:val="0"/>
          <w:marBottom w:val="0"/>
          <w:divBdr>
            <w:top w:val="none" w:sz="0" w:space="0" w:color="auto"/>
            <w:left w:val="none" w:sz="0" w:space="0" w:color="auto"/>
            <w:bottom w:val="none" w:sz="0" w:space="0" w:color="auto"/>
            <w:right w:val="none" w:sz="0" w:space="0" w:color="auto"/>
          </w:divBdr>
        </w:div>
        <w:div w:id="1056977251">
          <w:marLeft w:val="0"/>
          <w:marRight w:val="0"/>
          <w:marTop w:val="0"/>
          <w:marBottom w:val="0"/>
          <w:divBdr>
            <w:top w:val="none" w:sz="0" w:space="0" w:color="auto"/>
            <w:left w:val="none" w:sz="0" w:space="0" w:color="auto"/>
            <w:bottom w:val="none" w:sz="0" w:space="0" w:color="auto"/>
            <w:right w:val="none" w:sz="0" w:space="0" w:color="auto"/>
          </w:divBdr>
        </w:div>
        <w:div w:id="1967851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unctad.org/sdg-costing/gender-equality" TargetMode="External"/><Relationship Id="rId2" Type="http://schemas.openxmlformats.org/officeDocument/2006/relationships/hyperlink" Target="https://www.imf.org/en/Publications/gender-notes/Issues/2024/06/10/Promoting-Gender-Equality-and-Tackling-Demographic-Challenges-549916" TargetMode="External"/><Relationship Id="rId1" Type="http://schemas.openxmlformats.org/officeDocument/2006/relationships/hyperlink" Target="https://www.unesco.org/en/articles/price-inaction-global-private-fiscal-and-social-costs-children-and-youth-not-learning" TargetMode="External"/><Relationship Id="rId4" Type="http://schemas.openxmlformats.org/officeDocument/2006/relationships/hyperlink" Target="https://doi.org/10.1787/023199c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ae36a3ffbc694c3abe07f98ac039f7fd xmlns="bac24aee-c3c6-421c-80f4-4b66ef3c1524" xsi:nil="true"/>
    <OECDKimBussinessContext xmlns="54c4cd27-f286-408f-9ce0-33c1e0f3ab39"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5.1 Development</TermName>
          <TermId xmlns="http://schemas.microsoft.com/office/infopath/2007/PartnerControls">b644f622-75bd-4da2-82c1-9073fbfabe96</TermId>
        </TermInfo>
      </Terms>
    </eSharePWBTaxHTField0>
    <OECDlanguage xmlns="ca82dde9-3436-4d3d-bddd-d31447390034">English</OECDlanguage>
    <ib47e70ad3914e2a95ae7a85fde5d52a xmlns="bac24aee-c3c6-421c-80f4-4b66ef3c1524">
      <Terms xmlns="http://schemas.microsoft.com/office/infopath/2007/PartnerControls"/>
    </ib47e70ad3914e2a95ae7a85fde5d52a>
    <IconOverlay xmlns="http://schemas.microsoft.com/sharepoint/v4" xsi:nil="true"/>
    <OECDCommunityDocumentURL xmlns="bac24aee-c3c6-421c-80f4-4b66ef3c1524" xsi:nil="true"/>
    <OECDProjectMembers xmlns="bac24aee-c3c6-421c-80f4-4b66ef3c1524">
      <UserInfo>
        <DisplayName>ROBERTS Laura, DCD/GPP</DisplayName>
        <AccountId>2978</AccountId>
        <AccountType/>
      </UserInfo>
      <UserInfo>
        <DisplayName>CRETSINGER Mollie, DCD/PAN</DisplayName>
        <AccountId>1086</AccountId>
        <AccountType/>
      </UserInfo>
      <UserInfo>
        <DisplayName>GALLEGO Regina, DCD/GPP</DisplayName>
        <AccountId>2566</AccountId>
        <AccountType/>
      </UserInfo>
      <UserInfo>
        <DisplayName>HEDMAN Jenny, DCD/PAN</DisplayName>
        <AccountId>1711</AccountId>
        <AccountType/>
      </UserInfo>
      <UserInfo>
        <DisplayName>BENICKE Mireille, DCD/PAN</DisplayName>
        <AccountId>2735</AccountId>
        <AccountType/>
      </UserInfo>
      <UserInfo>
        <DisplayName>KLEHR Alina, DCD/GPP</DisplayName>
        <AccountId>3384</AccountId>
        <AccountType/>
      </UserInfo>
      <UserInfo>
        <DisplayName>LOUDON Seve, DCD/GPP</DisplayName>
        <AccountId>3103</AccountId>
        <AccountType/>
      </UserInfo>
      <UserInfo>
        <DisplayName>BOURET Olivier, DCD/FSD</DisplayName>
        <AccountId>132</AccountId>
        <AccountType/>
      </UserInfo>
      <UserInfo>
        <DisplayName>BRUCE Anna, DCD/GPP</DisplayName>
        <AccountId>3534</AccountId>
        <AccountType/>
      </UserInfo>
      <UserInfo>
        <DisplayName>CIANCHI Fiorella, ENV/EPI</DisplayName>
        <AccountId>3279</AccountId>
        <AccountType/>
      </UserInfo>
      <UserInfo>
        <DisplayName>CASADO ASENSIO Juan, DCD/PAN</DisplayName>
        <AccountId>111</AccountId>
        <AccountType/>
      </UserInfo>
      <UserInfo>
        <DisplayName>KIM James, DCD/DS</DisplayName>
        <AccountId>66</AccountId>
        <AccountType/>
      </UserInfo>
      <UserInfo>
        <DisplayName>NOVOTNÁ Zuzana, DCD/GPP</DisplayName>
        <AccountId>4042</AccountId>
        <AccountType/>
      </UserInfo>
      <UserInfo>
        <DisplayName>CESCA Cibele, DCD/PAN</DisplayName>
        <AccountId>628</AccountId>
        <AccountType/>
      </UserInfo>
      <UserInfo>
        <DisplayName>OFFERSEN Astrid, DCD/PAN</DisplayName>
        <AccountId>4738</AccountId>
        <AccountType/>
      </UserInfo>
      <UserInfo>
        <DisplayName>CHALLENER Sokob, DCD/PAN</DisplayName>
        <AccountId>4104</AccountId>
        <AccountType/>
      </UserInfo>
    </OECDProjectMembers>
    <DocumentSetDescription xmlns="http://schemas.microsoft.com/sharepoint/v3" xsi:nil="true"/>
    <eShareHorizProjTaxHTField0 xmlns="3e8be076-f08f-4743-861f-4e327af0d5b9" xsi:nil="true"/>
    <OECDProjectLookup xmlns="bac24aee-c3c6-421c-80f4-4b66ef3c1524">128</OECDProjectLookup>
    <OECDMainProject xmlns="bac24aee-c3c6-421c-80f4-4b66ef3c1524" xsi:nil="true"/>
    <OECDProjectManager xmlns="bac24aee-c3c6-421c-80f4-4b66ef3c1524">
      <UserInfo>
        <DisplayName/>
        <AccountId>309</AccountId>
        <AccountType/>
      </UserInfo>
    </OECDProjectManager>
    <OECDMeetingDate xmlns="54c4cd27-f286-408f-9ce0-33c1e0f3ab39" xsi:nil="true"/>
    <OECDSharingStatus xmlns="bac24aee-c3c6-421c-80f4-4b66ef3c1524" xsi:nil="true"/>
    <OECDExpirationDate xmlns="3e8be076-f08f-4743-861f-4e327af0d5b9" xsi:nil="true"/>
    <OECDCommunityDocumentID xmlns="bac24aee-c3c6-421c-80f4-4b66ef3c1524" xsi:nil="true"/>
    <OECDPinnedBy xmlns="bac24aee-c3c6-421c-80f4-4b66ef3c1524">
      <UserInfo>
        <DisplayName/>
        <AccountId xsi:nil="true"/>
        <AccountType/>
      </UserInfo>
    </OECDPinnedBy>
    <eShareCommitteeTaxHTField0 xmlns="c9f238dd-bb73-4aef-a7a5-d644ad823e52">
      <Terms xmlns="http://schemas.microsoft.com/office/infopath/2007/PartnerControls"/>
    </eShareCommitteeTaxHTField0>
    <gb49509ed4b547c3a776a54197a04d05 xmlns="3e8be076-f08f-4743-861f-4e327af0d5b9">
      <Terms xmlns="http://schemas.microsoft.com/office/infopath/2007/PartnerControls"/>
    </gb49509ed4b547c3a776a54197a04d05>
    <OECDKimProvenance xmlns="54c4cd27-f286-408f-9ce0-33c1e0f3ab39" xsi:nil="true"/>
    <la7711aa934748bb87e5f2c63fedaa50 xmlns="bac24aee-c3c6-421c-80f4-4b66ef3c1524" xsi:nil="true"/>
    <OECDTagsCache xmlns="bac24aee-c3c6-421c-80f4-4b66ef3c1524" xsi:nil="true"/>
    <OECDAllRelatedUsers xmlns="3e8be076-f08f-4743-861f-4e327af0d5b9">
      <UserInfo>
        <DisplayName/>
        <AccountId xsi:nil="true"/>
        <AccountType/>
      </UserInfo>
    </OECDAllRelatedUsers>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Development co-operation</TermName>
          <TermId xmlns="http://schemas.microsoft.com/office/infopath/2007/PartnerControls">838733ca-3f54-49b8-8e91-67307ccb8cf5</TermId>
        </TermInfo>
      </Terms>
    </eShareTopicTaxHTField0>
    <eShareKeywordsTaxHTField0 xmlns="c9f238dd-bb73-4aef-a7a5-d644ad823e52">
      <Terms xmlns="http://schemas.microsoft.com/office/infopath/2007/PartnerControls">
        <TermInfo xmlns="http://schemas.microsoft.com/office/infopath/2007/PartnerControls">
          <TermName xmlns="http://schemas.microsoft.com/office/infopath/2007/PartnerControls">Gender</TermName>
          <TermId xmlns="http://schemas.microsoft.com/office/infopath/2007/PartnerControls">41562291-69fe-444f-b493-56384e0e408c</TermId>
        </TermInfo>
        <TermInfo xmlns="http://schemas.microsoft.com/office/infopath/2007/PartnerControls">
          <TermName xmlns="http://schemas.microsoft.com/office/infopath/2007/PartnerControls">Equality</TermName>
          <TermId xmlns="http://schemas.microsoft.com/office/infopath/2007/PartnerControls">56b471b0-1305-481b-99d1-4bf3ae02b450</TermId>
        </TermInfo>
        <TermInfo xmlns="http://schemas.microsoft.com/office/infopath/2007/PartnerControls">
          <TermName xmlns="http://schemas.microsoft.com/office/infopath/2007/PartnerControls">Women</TermName>
          <TermId xmlns="http://schemas.microsoft.com/office/infopath/2007/PartnerControls">39443221-a145-4618-ad91-dc6ab5e676bc</TermId>
        </TermInfo>
      </Terms>
    </eShareKeywordsTaxHTField0>
    <TaxCatchAll xmlns="ca82dde9-3436-4d3d-bddd-d31447390034">
      <Value>1455</Value>
      <Value>922</Value>
      <Value>1454</Value>
      <Value>170</Value>
      <Value>1077</Value>
    </TaxCatchAll>
  </documentManagement>
</p:properties>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F0CB3DD0076BB84D8BA69C33B827F6A7" ma:contentTypeVersion="373" ma:contentTypeDescription="" ma:contentTypeScope="" ma:versionID="1667eb3de254a99c90f3c937cf09c8da">
  <xsd:schema xmlns:xsd="http://www.w3.org/2001/XMLSchema" xmlns:xs="http://www.w3.org/2001/XMLSchema" xmlns:p="http://schemas.microsoft.com/office/2006/metadata/properties" xmlns:ns1="54c4cd27-f286-408f-9ce0-33c1e0f3ab39" xmlns:ns2="3e8be076-f08f-4743-861f-4e327af0d5b9" xmlns:ns3="bac24aee-c3c6-421c-80f4-4b66ef3c1524" xmlns:ns4="http://schemas.microsoft.com/sharepoint/v3" xmlns:ns5="c9f238dd-bb73-4aef-a7a5-d644ad823e52" xmlns:ns6="ca82dde9-3436-4d3d-bddd-d31447390034" xmlns:ns7="http://schemas.microsoft.com/sharepoint/v4" targetNamespace="http://schemas.microsoft.com/office/2006/metadata/properties" ma:root="true" ma:fieldsID="5e1546a239f4e6b6e7f6d5eb75c6d981" ns1:_="" ns2:_="" ns3:_="" ns4:_="" ns5:_="" ns6:_="" ns7:_="">
    <xsd:import namespace="54c4cd27-f286-408f-9ce0-33c1e0f3ab39"/>
    <xsd:import namespace="3e8be076-f08f-4743-861f-4e327af0d5b9"/>
    <xsd:import namespace="bac24aee-c3c6-421c-80f4-4b66ef3c1524"/>
    <xsd:import namespace="http://schemas.microsoft.com/sharepoint/v3"/>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OECDlanguage" minOccurs="0"/>
                <xsd:element ref="ns7:IconOverlay" minOccurs="0"/>
                <xsd:element ref="ns6:TaxCatchAllLabel" minOccurs="0"/>
                <xsd:element ref="ns3:ae36a3ffbc694c3abe07f98ac039f7fd" minOccurs="0"/>
                <xsd:element ref="ns3:la7711aa934748bb87e5f2c63fedaa50" minOccurs="0"/>
                <xsd:element ref="ns6:TaxCatchAll" minOccurs="0"/>
                <xsd:element ref="ns1:OECDMeetingDate" minOccurs="0"/>
                <xsd:element ref="ns2:gb49509ed4b547c3a776a54197a04d05" minOccurs="0"/>
                <xsd:element ref="ns3:ib47e70ad3914e2a95ae7a85fde5d52a" minOccurs="0"/>
                <xsd:element ref="ns4:DocumentSetDescription"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35" nillable="true" ma:displayName="Meeting Date" ma:default="" ma:format="DateOnly" ma:hidden="true" ma:internalName="OECD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e8be076-f08f-4743-861f-4e327af0d5b9"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gb49509ed4b547c3a776a54197a04d05" ma:index="36" nillable="true" ma:taxonomy="true" ma:internalName="gb49509ed4b547c3a776a54197a04d05" ma:taxonomyFieldName="OECDHorizontalProjects" ma:displayName="Horizontal project" ma:readOnly="false" ma:default="" ma:fieldId="{0b49509e-d4b5-47c3-a776-a54197a04d05}"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3" nillable="true" ma:displayName="OECDHorizontalProjects_0" ma:description="" ma:hidden="true" ma:internalName="eShareHorizProjTaxHTField0">
      <xsd:simpleType>
        <xsd:restriction base="dms:Note"/>
      </xsd:simpleType>
    </xsd:element>
    <xsd:element name="OECDAllRelatedUsers" ma:index="46"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c24aee-c3c6-421c-80f4-4b66ef3c1524"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d7c62838-b964-49db-983e-a9b6b18df504" ma:internalName="OECDProjectLookup" ma:readOnly="false" ma:showField="OECDShortProjectName" ma:web="bac24aee-c3c6-421c-80f4-4b66ef3c1524">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d7c62838-b964-49db-983e-a9b6b18df50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d7c62838-b964-49db-983e-a9b6b18df504" ma:internalName="Project_x003A_Project_x0020_status" ma:readOnly="true" ma:showField="OECDProjectStatus" ma:web="bac24aee-c3c6-421c-80f4-4b66ef3c1524">
      <xsd:simpleType>
        <xsd:restriction base="dms:Lookup"/>
      </xsd:simpleType>
    </xsd:element>
    <xsd:element name="ae36a3ffbc694c3abe07f98ac039f7fd" ma:index="31" nillable="true" ma:displayName="Deliverable partners_0" ma:hidden="true" ma:internalName="ae36a3ffbc694c3abe07f98ac039f7fd">
      <xsd:simpleType>
        <xsd:restriction base="dms:Note"/>
      </xsd:simpleType>
    </xsd:element>
    <xsd:element name="la7711aa934748bb87e5f2c63fedaa50" ma:index="32" nillable="true" ma:displayName="Deliverable owner_0" ma:hidden="true" ma:internalName="la7711aa934748bb87e5f2c63fedaa50">
      <xsd:simpleType>
        <xsd:restriction base="dms:Note"/>
      </xsd:simpleType>
    </xsd:element>
    <xsd:element name="ib47e70ad3914e2a95ae7a85fde5d52a" ma:index="37" nillable="true" ma:taxonomy="true" ma:internalName="ib47e70ad3914e2a95ae7a85fde5d52a" ma:taxonomyFieldName="OECDProjectOwnerStructure" ma:displayName="Project owner" ma:readOnly="false" ma:default="" ma:fieldId="2b47e70a-d391-4e2a-95ae-7a85fde5d52a"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0" nillable="true" ma:displayName="O.N.E Document Sharing Status" ma:description="" ma:hidden="true" ma:internalName="OECDSharingStatus">
      <xsd:simpleType>
        <xsd:restriction base="dms:Text"/>
      </xsd:simpleType>
    </xsd:element>
    <xsd:element name="OECDCommunityDocumentURL" ma:index="41" nillable="true" ma:displayName="O.N.E Community Document URL" ma:description="" ma:hidden="true" ma:internalName="OECDCommunityDocumentURL">
      <xsd:simpleType>
        <xsd:restriction base="dms:Text"/>
      </xsd:simpleType>
    </xsd:element>
    <xsd:element name="OECDCommunityDocumentID" ma:index="42" nillable="true" ma:displayName="O.N.E Community Document ID" ma:decimals="0" ma:description="" ma:hidden="true" ma:internalName="OECDCommunityDocumentID">
      <xsd:simpleType>
        <xsd:restriction base="dms:Number"/>
      </xsd:simpleType>
    </xsd:element>
    <xsd:element name="OECDTagsCache" ma:index="45" nillable="true" ma:displayName="Tags cache" ma:description="" ma:hidden="true" ma:internalName="OECDTagsCache">
      <xsd:simpleType>
        <xsd:restriction base="dms:Note"/>
      </xsd:simpleType>
    </xsd:element>
    <xsd:element name="SharedWithUsers" ma:index="4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9"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26"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0" nillable="true" ma:displayName="Taxonomy Catch All Column1" ma:hidden="true" ma:list="{362277b6-0334-4fe8-bf9a-6a5dba1ba3c3}" ma:internalName="TaxCatchAllLabel" ma:readOnly="true" ma:showField="CatchAllDataLabel" ma:web="3e8be076-f08f-4743-861f-4e327af0d5b9">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362277b6-0334-4fe8-bf9a-6a5dba1ba3c3}" ma:internalName="TaxCatchAll" ma:showField="CatchAllData" ma:web="3e8be076-f08f-4743-861f-4e327af0d5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ct:contentTypeSchema xmlns:ct="http://schemas.microsoft.com/office/2006/metadata/contentType" xmlns:ma="http://schemas.microsoft.com/office/2006/metadata/properties/metaAttributes" ct:_="" ma:_="" ma:contentTypeName="Document" ma:contentTypeID="0x0101001286AFC7D4F42B43B6AAA048FFDF97A0" ma:contentTypeVersion="16" ma:contentTypeDescription="Create a new document." ma:contentTypeScope="" ma:versionID="84c788b91e7012f1fa23e140f4da1be1">
  <xsd:schema xmlns:xsd="http://www.w3.org/2001/XMLSchema" xmlns:xs="http://www.w3.org/2001/XMLSchema" xmlns:p="http://schemas.microsoft.com/office/2006/metadata/properties" xmlns:ns2="7d053c58-1f97-4d34-bcfa-28b8fa6aacc8" xmlns:ns3="9e948ab2-b23e-4de3-a692-e1cc25e03b6b" xmlns:ns4="985ec44e-1bab-4c0b-9df0-6ba128686fc9" targetNamespace="http://schemas.microsoft.com/office/2006/metadata/properties" ma:root="true" ma:fieldsID="ecd77642cab59b0aedd442087e31af09" ns2:_="" ns3:_="" ns4:_="">
    <xsd:import namespace="7d053c58-1f97-4d34-bcfa-28b8fa6aacc8"/>
    <xsd:import namespace="9e948ab2-b23e-4de3-a692-e1cc25e03b6b"/>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053c58-1f97-4d34-bcfa-28b8fa6aac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48ab2-b23e-4de3-a692-e1cc25e03b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b9c778c-955e-4107-9dd4-7cdeb81ee68c}" ma:internalName="TaxCatchAll" ma:showField="CatchAllData" ma:web="7d053c58-1f97-4d34-bcfa-28b8fa6aac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GbKfoffJ7eUq7Hf5LDDAypfKA==">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</go:docsCustomData>
</go:gDocsCustomXmlDataStorage>
</file>

<file path=customXml/item9.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10D03872-49C4-48CF-8D50-2F48F4486B86}">
  <ds:schemaRefs>
    <ds:schemaRef ds:uri="http://schemas.microsoft.com/office/2006/metadata/properties"/>
    <ds:schemaRef ds:uri="http://schemas.microsoft.com/office/infopath/2007/PartnerControls"/>
    <ds:schemaRef ds:uri="bac24aee-c3c6-421c-80f4-4b66ef3c1524"/>
    <ds:schemaRef ds:uri="54c4cd27-f286-408f-9ce0-33c1e0f3ab39"/>
    <ds:schemaRef ds:uri="c9f238dd-bb73-4aef-a7a5-d644ad823e52"/>
    <ds:schemaRef ds:uri="ca82dde9-3436-4d3d-bddd-d31447390034"/>
    <ds:schemaRef ds:uri="http://schemas.microsoft.com/sharepoint/v4"/>
    <ds:schemaRef ds:uri="http://schemas.microsoft.com/sharepoint/v3"/>
    <ds:schemaRef ds:uri="3e8be076-f08f-4743-861f-4e327af0d5b9"/>
  </ds:schemaRefs>
</ds:datastoreItem>
</file>

<file path=customXml/itemProps2.xml><?xml version="1.0" encoding="utf-8"?>
<ds:datastoreItem xmlns:ds="http://schemas.openxmlformats.org/officeDocument/2006/customXml" ds:itemID="{C06DE7D4-D064-457C-8885-4805DCAEF7D4}">
  <ds:schemaRefs>
    <ds:schemaRef ds:uri="Microsoft.SharePoint.Taxonomy.ContentTypeSync"/>
  </ds:schemaRefs>
</ds:datastoreItem>
</file>

<file path=customXml/itemProps3.xml><?xml version="1.0" encoding="utf-8"?>
<ds:datastoreItem xmlns:ds="http://schemas.openxmlformats.org/officeDocument/2006/customXml" ds:itemID="{AAC765B0-E32E-40E8-8CBC-D1BC10E3E1FF}">
  <ds:schemaRefs>
    <ds:schemaRef ds:uri="http://schemas.openxmlformats.org/officeDocument/2006/bibliography"/>
  </ds:schemaRefs>
</ds:datastoreItem>
</file>

<file path=customXml/itemProps4.xml><?xml version="1.0" encoding="utf-8"?>
<ds:datastoreItem xmlns:ds="http://schemas.openxmlformats.org/officeDocument/2006/customXml" ds:itemID="{1347500A-9F23-4730-99B0-417C7318E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3e8be076-f08f-4743-861f-4e327af0d5b9"/>
    <ds:schemaRef ds:uri="bac24aee-c3c6-421c-80f4-4b66ef3c1524"/>
    <ds:schemaRef ds:uri="http://schemas.microsoft.com/sharepoint/v3"/>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42B866-6B8F-4C30-8937-DD9CFF050ED4}">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EA83D23E-DFE5-413C-B896-F0FC6DB31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053c58-1f97-4d34-bcfa-28b8fa6aacc8"/>
    <ds:schemaRef ds:uri="9e948ab2-b23e-4de3-a692-e1cc25e03b6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08E99B8-D737-443D-BA4D-317B2223B6CD}">
  <ds:schemaRefs>
    <ds:schemaRef ds:uri="http://schemas.microsoft.com/sharepoint/v3/contenttype/forms"/>
  </ds:schemaRefs>
</ds:datastoreItem>
</file>

<file path=customXml/itemProps8.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9.xml><?xml version="1.0" encoding="utf-8"?>
<ds:datastoreItem xmlns:ds="http://schemas.openxmlformats.org/officeDocument/2006/customXml" ds:itemID="{BC1022DE-600A-4C22-9BC7-A50A20E80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Links>
    <vt:vector size="30" baseType="variant">
      <vt:variant>
        <vt:i4>2162734</vt:i4>
      </vt:variant>
      <vt:variant>
        <vt:i4>12</vt:i4>
      </vt:variant>
      <vt:variant>
        <vt:i4>0</vt:i4>
      </vt:variant>
      <vt:variant>
        <vt:i4>5</vt:i4>
      </vt:variant>
      <vt:variant>
        <vt:lpwstr>https://doi.org/10.1787/023199ce-en</vt:lpwstr>
      </vt:variant>
      <vt:variant>
        <vt:lpwstr/>
      </vt:variant>
      <vt:variant>
        <vt:i4>7012399</vt:i4>
      </vt:variant>
      <vt:variant>
        <vt:i4>9</vt:i4>
      </vt:variant>
      <vt:variant>
        <vt:i4>0</vt:i4>
      </vt:variant>
      <vt:variant>
        <vt:i4>5</vt:i4>
      </vt:variant>
      <vt:variant>
        <vt:lpwstr>https://openknowledge.worldbank.org/server/api/core/bitstreams/61d04aca-1b95-4c06-8199-3c4a423cb7fe/content</vt:lpwstr>
      </vt:variant>
      <vt:variant>
        <vt:lpwstr/>
      </vt:variant>
      <vt:variant>
        <vt:i4>4915275</vt:i4>
      </vt:variant>
      <vt:variant>
        <vt:i4>6</vt:i4>
      </vt:variant>
      <vt:variant>
        <vt:i4>0</vt:i4>
      </vt:variant>
      <vt:variant>
        <vt:i4>5</vt:i4>
      </vt:variant>
      <vt:variant>
        <vt:lpwstr>https://unctad.org/sdg-costing/gender-equality</vt:lpwstr>
      </vt:variant>
      <vt:variant>
        <vt:lpwstr>:~:text=Achieving%20gender%20equality%2C%20as%20represented%20by%20eight%20sex-disaggregated,studied%2C%20equal%20to%2020.5%25%20of%20their%20collective%20GDP.</vt:lpwstr>
      </vt:variant>
      <vt:variant>
        <vt:i4>7143537</vt:i4>
      </vt:variant>
      <vt:variant>
        <vt:i4>3</vt:i4>
      </vt:variant>
      <vt:variant>
        <vt:i4>0</vt:i4>
      </vt:variant>
      <vt:variant>
        <vt:i4>5</vt:i4>
      </vt:variant>
      <vt:variant>
        <vt:lpwstr>https://www.imf.org/en/Publications/gender-notes/Issues/2024/06/10/Promoting-Gender-Equality-and-Tackling-Demographic-Challenges-549916</vt:lpwstr>
      </vt:variant>
      <vt:variant>
        <vt:lpwstr/>
      </vt:variant>
      <vt:variant>
        <vt:i4>5898330</vt:i4>
      </vt:variant>
      <vt:variant>
        <vt:i4>0</vt:i4>
      </vt:variant>
      <vt:variant>
        <vt:i4>0</vt:i4>
      </vt:variant>
      <vt:variant>
        <vt:i4>5</vt:i4>
      </vt:variant>
      <vt:variant>
        <vt:lpwstr>https://www.unesco.org/en/articles/price-inaction-global-private-fiscal-and-social-costs-children-and-youth-not-learning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Faivre</dc:creator>
  <cp:keywords/>
  <dc:description/>
  <cp:lastModifiedBy>Zohra KHAN</cp:lastModifiedBy>
  <cp:revision>3</cp:revision>
  <dcterms:created xsi:type="dcterms:W3CDTF">2024-10-15T19:28:00Z</dcterms:created>
  <dcterms:modified xsi:type="dcterms:W3CDTF">2024-10-15T19:31:00Z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5E164C9996221E3C647C4C41AB68AA8502901D02397E0E236A9ED132783CDA9B</vt:lpwstr>
  </property>
  <property fmtid="{D5CDD505-2E9C-101B-9397-08002B2CF9AE}" pid="3" name="OecdDocumentCoteLangHash">
    <vt:lpwstr/>
  </property>
  <property fmtid="{D5CDD505-2E9C-101B-9397-08002B2CF9AE}" pid="4" name="ContentTypeId">
    <vt:lpwstr>0x0101008B4DD370EC31429186F3AD49F0D3098F00D44DBCB9EB4F45278CB5C9765BE5299500A4858B360C6A491AA753F8BCA47AA91000F0CB3DD0076BB84D8BA69C33B827F6A7</vt:lpwstr>
  </property>
  <property fmtid="{D5CDD505-2E9C-101B-9397-08002B2CF9AE}" pid="5" name="ClassificationContentMarkingFooterShapeIds">
    <vt:lpwstr>43f2e577,18586fa9,5fd53dc6</vt:lpwstr>
  </property>
  <property fmtid="{D5CDD505-2E9C-101B-9397-08002B2CF9AE}" pid="6" name="ClassificationContentMarkingFooterFontProps">
    <vt:lpwstr>#0000ff,10,Calibri</vt:lpwstr>
  </property>
  <property fmtid="{D5CDD505-2E9C-101B-9397-08002B2CF9AE}" pid="7" name="ClassificationContentMarkingFooterText">
    <vt:lpwstr>Restricted Use - À usage restreint</vt:lpwstr>
  </property>
  <property fmtid="{D5CDD505-2E9C-101B-9397-08002B2CF9AE}" pid="8" name="MSIP_Label_0e5510b0-e729-4ef0-a3dd-4ba0dfe56c99_Enabled">
    <vt:lpwstr>true</vt:lpwstr>
  </property>
  <property fmtid="{D5CDD505-2E9C-101B-9397-08002B2CF9AE}" pid="9" name="MSIP_Label_0e5510b0-e729-4ef0-a3dd-4ba0dfe56c99_SetDate">
    <vt:lpwstr>2024-10-07T08:19:09Z</vt:lpwstr>
  </property>
  <property fmtid="{D5CDD505-2E9C-101B-9397-08002B2CF9AE}" pid="10" name="MSIP_Label_0e5510b0-e729-4ef0-a3dd-4ba0dfe56c99_Method">
    <vt:lpwstr>Standard</vt:lpwstr>
  </property>
  <property fmtid="{D5CDD505-2E9C-101B-9397-08002B2CF9AE}" pid="11" name="MSIP_Label_0e5510b0-e729-4ef0-a3dd-4ba0dfe56c99_Name">
    <vt:lpwstr>Restricted Use</vt:lpwstr>
  </property>
  <property fmtid="{D5CDD505-2E9C-101B-9397-08002B2CF9AE}" pid="12" name="MSIP_Label_0e5510b0-e729-4ef0-a3dd-4ba0dfe56c99_SiteId">
    <vt:lpwstr>ac41c7d4-1f61-460d-b0f4-fc925a2b471c</vt:lpwstr>
  </property>
  <property fmtid="{D5CDD505-2E9C-101B-9397-08002B2CF9AE}" pid="13" name="MSIP_Label_0e5510b0-e729-4ef0-a3dd-4ba0dfe56c99_ActionId">
    <vt:lpwstr>cbea6b4e-bcee-4072-9e03-80affc057378</vt:lpwstr>
  </property>
  <property fmtid="{D5CDD505-2E9C-101B-9397-08002B2CF9AE}" pid="14" name="MSIP_Label_0e5510b0-e729-4ef0-a3dd-4ba0dfe56c99_ContentBits">
    <vt:lpwstr>2</vt:lpwstr>
  </property>
  <property fmtid="{D5CDD505-2E9C-101B-9397-08002B2CF9AE}" pid="15" name="OECDCountry">
    <vt:lpwstr/>
  </property>
  <property fmtid="{D5CDD505-2E9C-101B-9397-08002B2CF9AE}" pid="16" name="OECDTopic">
    <vt:lpwstr>170;#Development co-operation|838733ca-3f54-49b8-8e91-67307ccb8cf5</vt:lpwstr>
  </property>
  <property fmtid="{D5CDD505-2E9C-101B-9397-08002B2CF9AE}" pid="17" name="OECDCommittee">
    <vt:lpwstr/>
  </property>
  <property fmtid="{D5CDD505-2E9C-101B-9397-08002B2CF9AE}" pid="18" name="OECDPWB">
    <vt:lpwstr>1077;#5.1 Development|b644f622-75bd-4da2-82c1-9073fbfabe96</vt:lpwstr>
  </property>
  <property fmtid="{D5CDD505-2E9C-101B-9397-08002B2CF9AE}" pid="19" name="OECDKeywords">
    <vt:lpwstr>922;#Gender|41562291-69fe-444f-b493-56384e0e408c;#1454;#Equality|56b471b0-1305-481b-99d1-4bf3ae02b450;#1455;#Women|39443221-a145-4618-ad91-dc6ab5e676bc</vt:lpwstr>
  </property>
  <property fmtid="{D5CDD505-2E9C-101B-9397-08002B2CF9AE}" pid="20" name="OECDHorizontalProjects">
    <vt:lpwstr/>
  </property>
  <property fmtid="{D5CDD505-2E9C-101B-9397-08002B2CF9AE}" pid="21" name="OECDProjectOwnerStructure">
    <vt:lpwstr/>
  </property>
  <property fmtid="{D5CDD505-2E9C-101B-9397-08002B2CF9AE}" pid="22" name="MediaServiceImageTags">
    <vt:lpwstr/>
  </property>
</Properties>
</file>