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6B28B" w14:textId="77777777" w:rsidR="00333A87" w:rsidRDefault="00333A87" w:rsidP="00E14CEC">
      <w:pPr>
        <w:jc w:val="center"/>
        <w:rPr>
          <w:b/>
          <w:bCs/>
          <w:sz w:val="36"/>
          <w:szCs w:val="36"/>
        </w:rPr>
      </w:pPr>
      <w:r w:rsidRPr="00333A87">
        <w:rPr>
          <w:b/>
          <w:bCs/>
          <w:sz w:val="36"/>
          <w:szCs w:val="36"/>
        </w:rPr>
        <w:t>UNCTAD Financing Brief for FFD4</w:t>
      </w:r>
    </w:p>
    <w:p w14:paraId="2C8E35F7" w14:textId="09BC490E" w:rsidR="008055A7" w:rsidRDefault="00AC19F7" w:rsidP="00E14CEC">
      <w:pPr>
        <w:jc w:val="center"/>
        <w:rPr>
          <w:b/>
          <w:bCs/>
          <w:sz w:val="28"/>
          <w:szCs w:val="28"/>
        </w:rPr>
      </w:pPr>
      <w:r w:rsidRPr="0092084A">
        <w:rPr>
          <w:b/>
          <w:bCs/>
          <w:sz w:val="28"/>
          <w:szCs w:val="28"/>
        </w:rPr>
        <w:t>Multilateral credit</w:t>
      </w:r>
      <w:r w:rsidR="00CA05D3" w:rsidRPr="0092084A">
        <w:rPr>
          <w:b/>
          <w:bCs/>
          <w:sz w:val="28"/>
          <w:szCs w:val="28"/>
        </w:rPr>
        <w:t xml:space="preserve">: </w:t>
      </w:r>
      <w:r w:rsidR="00244910" w:rsidRPr="0092084A">
        <w:rPr>
          <w:b/>
          <w:bCs/>
          <w:sz w:val="28"/>
          <w:szCs w:val="28"/>
        </w:rPr>
        <w:t>Filling</w:t>
      </w:r>
      <w:r w:rsidR="00CA05D3" w:rsidRPr="0092084A">
        <w:rPr>
          <w:b/>
          <w:bCs/>
          <w:sz w:val="28"/>
          <w:szCs w:val="28"/>
        </w:rPr>
        <w:t xml:space="preserve"> the financing gap?</w:t>
      </w:r>
    </w:p>
    <w:p w14:paraId="4B60E87F" w14:textId="77777777" w:rsidR="00D5183B" w:rsidRDefault="00D5183B" w:rsidP="008C5D61">
      <w:pPr>
        <w:rPr>
          <w:b/>
          <w:bCs/>
        </w:rPr>
      </w:pPr>
    </w:p>
    <w:p w14:paraId="02B0B753" w14:textId="77777777" w:rsidR="00D5183B" w:rsidRDefault="00D5183B" w:rsidP="008C5D61">
      <w:pPr>
        <w:rPr>
          <w:b/>
          <w:bCs/>
        </w:rPr>
      </w:pPr>
    </w:p>
    <w:p w14:paraId="5220655F" w14:textId="5FC42448" w:rsidR="008C5D61" w:rsidRDefault="008C5D61" w:rsidP="008C5D61">
      <w:pPr>
        <w:rPr>
          <w:b/>
          <w:bCs/>
        </w:rPr>
      </w:pPr>
      <w:r>
        <w:rPr>
          <w:b/>
          <w:bCs/>
        </w:rPr>
        <w:t>INTRO</w:t>
      </w:r>
      <w:r w:rsidR="00505FBC">
        <w:rPr>
          <w:b/>
          <w:bCs/>
        </w:rPr>
        <w:t>DUCTION</w:t>
      </w:r>
    </w:p>
    <w:p w14:paraId="2C9E36F6" w14:textId="30100F7D" w:rsidR="00F03D02" w:rsidRPr="005063FC" w:rsidRDefault="00F03D02" w:rsidP="00F03D02">
      <w:pPr>
        <w:jc w:val="both"/>
      </w:pPr>
      <w:r w:rsidRPr="005063FC">
        <w:t xml:space="preserve">The Addis Ababa Action Agenda (AAAA) stresses the vital role of international development cooperation in providing international public finance, which complements developing countries' efforts to </w:t>
      </w:r>
      <w:proofErr w:type="spellStart"/>
      <w:r w:rsidRPr="005063FC">
        <w:t>mobilise</w:t>
      </w:r>
      <w:proofErr w:type="spellEnd"/>
      <w:r w:rsidRPr="005063FC">
        <w:t xml:space="preserve"> public resources domestically. The primary forms of this cooperation are official development assistance (ODA) and official bilateral and multilateral credit.</w:t>
      </w:r>
    </w:p>
    <w:p w14:paraId="245B4061" w14:textId="2EDF7CE2" w:rsidR="00395A36" w:rsidRPr="004A59A5" w:rsidRDefault="00395A36" w:rsidP="00395A36">
      <w:pPr>
        <w:jc w:val="both"/>
      </w:pPr>
      <w:r w:rsidRPr="005063FC">
        <w:t>Official multilateral credit remains critical for bridging the development finance gap</w:t>
      </w:r>
      <w:r w:rsidR="004143C4">
        <w:t xml:space="preserve"> – now estimated at US$4 trillion </w:t>
      </w:r>
      <w:r w:rsidR="0092084A">
        <w:t>–</w:t>
      </w:r>
      <w:r w:rsidRPr="005063FC">
        <w:t xml:space="preserve"> as</w:t>
      </w:r>
      <w:r w:rsidR="0092084A">
        <w:t>,</w:t>
      </w:r>
      <w:r w:rsidRPr="005063FC">
        <w:t xml:space="preserve"> relative to international private finance, it is accessed at lower cost</w:t>
      </w:r>
      <w:r w:rsidR="008D67BF">
        <w:t xml:space="preserve">, </w:t>
      </w:r>
      <w:r w:rsidRPr="005063FC">
        <w:t>longer maturity and is stable.</w:t>
      </w:r>
    </w:p>
    <w:p w14:paraId="47DF788A" w14:textId="35AB4D83" w:rsidR="00A55D7D" w:rsidRPr="00DA49CA" w:rsidRDefault="00CA7381" w:rsidP="00A03599">
      <w:pPr>
        <w:jc w:val="both"/>
        <w:rPr>
          <w:rFonts w:ascii="Aptos" w:hAnsi="Aptos"/>
        </w:rPr>
      </w:pPr>
      <w:r w:rsidRPr="00AE44D1">
        <w:rPr>
          <w:rFonts w:ascii="Aptos" w:hAnsi="Aptos"/>
        </w:rPr>
        <w:t>This policy brief addresses the role of official multilateral credit</w:t>
      </w:r>
      <w:r w:rsidR="00255731" w:rsidRPr="00AE44D1">
        <w:rPr>
          <w:rFonts w:ascii="Aptos" w:hAnsi="Aptos"/>
        </w:rPr>
        <w:t xml:space="preserve"> -</w:t>
      </w:r>
      <w:r w:rsidRPr="00AE44D1">
        <w:rPr>
          <w:rFonts w:ascii="Aptos" w:hAnsi="Aptos"/>
        </w:rPr>
        <w:t xml:space="preserve"> </w:t>
      </w:r>
      <w:r w:rsidR="0032203E" w:rsidRPr="00AE44D1">
        <w:rPr>
          <w:rStyle w:val="cf01"/>
          <w:rFonts w:ascii="Aptos" w:hAnsi="Aptos"/>
          <w:sz w:val="24"/>
          <w:szCs w:val="24"/>
        </w:rPr>
        <w:t xml:space="preserve">valued at around </w:t>
      </w:r>
      <w:r w:rsidR="0032203E" w:rsidRPr="00DA49CA">
        <w:rPr>
          <w:rStyle w:val="cf01"/>
          <w:rFonts w:ascii="Aptos" w:hAnsi="Aptos"/>
          <w:sz w:val="24"/>
          <w:szCs w:val="24"/>
        </w:rPr>
        <w:t>US$800 billion in 2022 - in providing finance for development.</w:t>
      </w:r>
      <w:r w:rsidR="00255731" w:rsidRPr="00DA49CA">
        <w:rPr>
          <w:rStyle w:val="cf01"/>
          <w:rFonts w:ascii="Aptos" w:hAnsi="Aptos"/>
          <w:sz w:val="24"/>
          <w:szCs w:val="24"/>
        </w:rPr>
        <w:t xml:space="preserve"> </w:t>
      </w:r>
      <w:r w:rsidR="00F21E2D" w:rsidRPr="00DA49CA">
        <w:rPr>
          <w:rFonts w:ascii="Aptos" w:hAnsi="Aptos"/>
        </w:rPr>
        <w:t xml:space="preserve">In line with calls in </w:t>
      </w:r>
      <w:r w:rsidR="00413005" w:rsidRPr="00DA49CA">
        <w:rPr>
          <w:rFonts w:ascii="Aptos" w:hAnsi="Aptos"/>
        </w:rPr>
        <w:t>the Monterey</w:t>
      </w:r>
      <w:r w:rsidR="000C7275" w:rsidRPr="00DA49CA">
        <w:rPr>
          <w:rFonts w:ascii="Aptos" w:hAnsi="Aptos"/>
        </w:rPr>
        <w:t xml:space="preserve"> Consensus, the Doha Declaration and the AAAA</w:t>
      </w:r>
      <w:r w:rsidR="0067744A" w:rsidRPr="00DA49CA">
        <w:rPr>
          <w:rFonts w:ascii="Aptos" w:hAnsi="Aptos"/>
        </w:rPr>
        <w:t>,</w:t>
      </w:r>
      <w:r w:rsidR="000C7275" w:rsidRPr="00DA49CA">
        <w:rPr>
          <w:rFonts w:ascii="Aptos" w:hAnsi="Aptos"/>
        </w:rPr>
        <w:t xml:space="preserve"> </w:t>
      </w:r>
      <w:r w:rsidR="00F21E2D" w:rsidRPr="00DA49CA">
        <w:rPr>
          <w:rFonts w:ascii="Aptos" w:hAnsi="Aptos"/>
        </w:rPr>
        <w:t xml:space="preserve">this brief aims at </w:t>
      </w:r>
      <w:r w:rsidR="00255731" w:rsidRPr="00DA49CA">
        <w:rPr>
          <w:rFonts w:ascii="Aptos" w:hAnsi="Aptos"/>
        </w:rPr>
        <w:t>strengthening</w:t>
      </w:r>
      <w:r w:rsidR="00F21E2D" w:rsidRPr="00DA49CA">
        <w:rPr>
          <w:rFonts w:ascii="Aptos" w:hAnsi="Aptos"/>
        </w:rPr>
        <w:t xml:space="preserve"> the roles of </w:t>
      </w:r>
      <w:r w:rsidR="00255731" w:rsidRPr="00DA49CA">
        <w:rPr>
          <w:rFonts w:ascii="Aptos" w:hAnsi="Aptos"/>
        </w:rPr>
        <w:t>multilateral development banks (MDBs) and the IMF.</w:t>
      </w:r>
    </w:p>
    <w:p w14:paraId="23EAA64A" w14:textId="23A3FDB4" w:rsidR="00215EC0" w:rsidRDefault="00215EC0" w:rsidP="00215EC0">
      <w:pPr>
        <w:rPr>
          <w:b/>
          <w:bCs/>
        </w:rPr>
      </w:pPr>
      <w:r>
        <w:rPr>
          <w:b/>
          <w:bCs/>
        </w:rPr>
        <w:t>THE PROBLEM WITH THE STATUS QUO</w:t>
      </w:r>
    </w:p>
    <w:p w14:paraId="67321D49" w14:textId="4186366D" w:rsidR="009E5C97" w:rsidRDefault="00974DCF" w:rsidP="009E5C97">
      <w:pPr>
        <w:jc w:val="both"/>
      </w:pPr>
      <w:r>
        <w:t xml:space="preserve">In 2022, official multilateral creditors advanced a third of the </w:t>
      </w:r>
      <w:r w:rsidR="00A51CD8">
        <w:t xml:space="preserve">US$3.5 trillion in </w:t>
      </w:r>
      <w:r w:rsidR="007B43F0">
        <w:t>public external debt</w:t>
      </w:r>
      <w:r>
        <w:t xml:space="preserve"> (Figure 1).  Of this, the World Bank </w:t>
      </w:r>
      <w:r w:rsidR="00D41CEA">
        <w:t xml:space="preserve">and the IMF each </w:t>
      </w:r>
      <w:r w:rsidR="00565842">
        <w:t>accounted for 10</w:t>
      </w:r>
      <w:r w:rsidR="00E8402B">
        <w:t xml:space="preserve"> per cent</w:t>
      </w:r>
      <w:r>
        <w:t xml:space="preserve"> and other MDBs</w:t>
      </w:r>
      <w:r w:rsidR="00E56D26">
        <w:t xml:space="preserve"> for 1</w:t>
      </w:r>
      <w:r w:rsidR="00565842">
        <w:t>3</w:t>
      </w:r>
      <w:r w:rsidR="00E56D26">
        <w:t xml:space="preserve"> per cent</w:t>
      </w:r>
      <w:r w:rsidR="00803BE6">
        <w:t xml:space="preserve"> (33 per cent of the public external debt</w:t>
      </w:r>
      <w:r w:rsidR="00565842">
        <w:t xml:space="preserve"> in aggregate</w:t>
      </w:r>
      <w:r w:rsidR="00803BE6">
        <w:t>)</w:t>
      </w:r>
      <w:r w:rsidR="00C627F2">
        <w:t>. In 2010, th</w:t>
      </w:r>
      <w:r w:rsidR="005D7C53">
        <w:t>e</w:t>
      </w:r>
      <w:r w:rsidR="00C627F2">
        <w:t>s</w:t>
      </w:r>
      <w:r w:rsidR="005D7C53">
        <w:t>e</w:t>
      </w:r>
      <w:r w:rsidR="00C627F2">
        <w:t xml:space="preserve"> shares were, r</w:t>
      </w:r>
      <w:r w:rsidR="009C0A82">
        <w:t>espectively,</w:t>
      </w:r>
      <w:r w:rsidR="009C4703">
        <w:t>16 per cent</w:t>
      </w:r>
      <w:r w:rsidR="00475FCC">
        <w:t xml:space="preserve">, </w:t>
      </w:r>
      <w:r w:rsidR="001A400F">
        <w:t>7 per cent and</w:t>
      </w:r>
      <w:r w:rsidR="00D56B80">
        <w:t xml:space="preserve"> 15 per cent</w:t>
      </w:r>
      <w:r w:rsidR="002F140D">
        <w:t xml:space="preserve"> </w:t>
      </w:r>
      <w:r w:rsidR="009C0A82">
        <w:t>(38 per cent of the public external debt)</w:t>
      </w:r>
      <w:r w:rsidR="00E56D26">
        <w:t xml:space="preserve">.  </w:t>
      </w:r>
      <w:r w:rsidR="009E5C97" w:rsidRPr="009E5C97">
        <w:t xml:space="preserve"> </w:t>
      </w:r>
      <w:r w:rsidR="009E5C97">
        <w:t xml:space="preserve">Since </w:t>
      </w:r>
      <w:r w:rsidR="009E5C97" w:rsidRPr="00B97D3A">
        <w:t xml:space="preserve">MDBs are international financial institutions </w:t>
      </w:r>
      <w:r w:rsidR="009E5C97">
        <w:t xml:space="preserve">that </w:t>
      </w:r>
      <w:r w:rsidR="009E5C97" w:rsidRPr="00B97D3A">
        <w:t>financ</w:t>
      </w:r>
      <w:r w:rsidR="009E5C97">
        <w:t>e</w:t>
      </w:r>
      <w:r w:rsidR="009E5C97" w:rsidRPr="00B97D3A">
        <w:t xml:space="preserve"> development-oriented projects </w:t>
      </w:r>
      <w:r w:rsidR="009E5C97">
        <w:t xml:space="preserve">with </w:t>
      </w:r>
      <w:r w:rsidR="009E5C97" w:rsidRPr="00B97D3A">
        <w:t>high</w:t>
      </w:r>
      <w:r w:rsidR="009E5C97">
        <w:t>er</w:t>
      </w:r>
      <w:r w:rsidR="009E5C97" w:rsidRPr="00FE68C8">
        <w:t xml:space="preserve"> </w:t>
      </w:r>
      <w:r w:rsidR="009E5C97" w:rsidRPr="00B97D3A">
        <w:t>risk</w:t>
      </w:r>
      <w:r w:rsidR="009E5C97">
        <w:t xml:space="preserve"> and</w:t>
      </w:r>
      <w:r w:rsidR="009E5C97" w:rsidRPr="00B97D3A">
        <w:t xml:space="preserve"> low</w:t>
      </w:r>
      <w:r w:rsidR="009E5C97">
        <w:t>er</w:t>
      </w:r>
      <w:r w:rsidR="009E5C97" w:rsidRPr="00B97D3A">
        <w:t xml:space="preserve"> returns </w:t>
      </w:r>
      <w:r w:rsidR="009E5C97">
        <w:t>than private lenders would consider</w:t>
      </w:r>
      <w:r w:rsidR="00994BD8">
        <w:t xml:space="preserve">, and at more </w:t>
      </w:r>
      <w:proofErr w:type="spellStart"/>
      <w:r w:rsidR="009E5C97" w:rsidRPr="00B97D3A">
        <w:t>favourable</w:t>
      </w:r>
      <w:proofErr w:type="spellEnd"/>
      <w:r w:rsidR="009E5C97" w:rsidRPr="00B97D3A">
        <w:t xml:space="preserve"> </w:t>
      </w:r>
      <w:r w:rsidR="009E5C97">
        <w:t>terms</w:t>
      </w:r>
      <w:r w:rsidR="00994BD8">
        <w:t xml:space="preserve">, the shrinking of their </w:t>
      </w:r>
      <w:r w:rsidR="006B5DDF">
        <w:t>aggrega</w:t>
      </w:r>
      <w:r w:rsidR="00641B0A">
        <w:t xml:space="preserve">te </w:t>
      </w:r>
      <w:r w:rsidR="006B5DDF">
        <w:t>share</w:t>
      </w:r>
      <w:r w:rsidR="00641B0A">
        <w:t xml:space="preserve"> of </w:t>
      </w:r>
      <w:r w:rsidR="00C8567F">
        <w:t>external public debt</w:t>
      </w:r>
      <w:r w:rsidR="006B5DDF">
        <w:t xml:space="preserve"> </w:t>
      </w:r>
      <w:r w:rsidR="00164852">
        <w:t xml:space="preserve">of developing counties </w:t>
      </w:r>
      <w:r w:rsidR="006B5DDF">
        <w:t>is of concern</w:t>
      </w:r>
      <w:r w:rsidR="009E5C97">
        <w:t>.</w:t>
      </w:r>
    </w:p>
    <w:p w14:paraId="67E43C08" w14:textId="5F6B0FD2" w:rsidR="00974DCF" w:rsidRPr="004A3661" w:rsidRDefault="00974DCF" w:rsidP="00B81D07">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74DCF" w14:paraId="1657B831" w14:textId="77777777" w:rsidTr="00B81D07">
        <w:tc>
          <w:tcPr>
            <w:tcW w:w="9016" w:type="dxa"/>
          </w:tcPr>
          <w:p w14:paraId="72AA9D0C" w14:textId="1681FF8E" w:rsidR="00974DCF" w:rsidRDefault="00974DCF" w:rsidP="004A3661">
            <w:pPr>
              <w:pStyle w:val="Caption"/>
              <w:keepNext/>
              <w:keepLines/>
            </w:pPr>
            <w:r>
              <w:t xml:space="preserve">Figure </w:t>
            </w:r>
            <w:r w:rsidR="00B83C40">
              <w:fldChar w:fldCharType="begin"/>
            </w:r>
            <w:r w:rsidR="00B83C40">
              <w:instrText xml:space="preserve"> SEQ Figure \* ARABIC </w:instrText>
            </w:r>
            <w:r w:rsidR="00B83C40">
              <w:fldChar w:fldCharType="separate"/>
            </w:r>
            <w:r>
              <w:rPr>
                <w:noProof/>
              </w:rPr>
              <w:t>1</w:t>
            </w:r>
            <w:r w:rsidR="00B83C40">
              <w:rPr>
                <w:noProof/>
              </w:rPr>
              <w:fldChar w:fldCharType="end"/>
            </w:r>
            <w:r>
              <w:t xml:space="preserve">: Creditor composition of the </w:t>
            </w:r>
            <w:r w:rsidR="000F2A3F">
              <w:t xml:space="preserve">public external debt </w:t>
            </w:r>
            <w:r>
              <w:t>of developing countries</w:t>
            </w:r>
            <w:r>
              <w:rPr>
                <w:noProof/>
              </w:rPr>
              <w:t xml:space="preserve"> - 2022</w:t>
            </w:r>
          </w:p>
        </w:tc>
      </w:tr>
      <w:tr w:rsidR="00974DCF" w14:paraId="041745AC" w14:textId="77777777" w:rsidTr="00B81D07">
        <w:tc>
          <w:tcPr>
            <w:tcW w:w="9016" w:type="dxa"/>
          </w:tcPr>
          <w:p w14:paraId="3E41F9C1" w14:textId="05316666" w:rsidR="00974DCF" w:rsidRDefault="00974DCF" w:rsidP="004A3661">
            <w:pPr>
              <w:keepNext/>
              <w:keepLines/>
              <w:jc w:val="center"/>
            </w:pPr>
            <w:r>
              <w:rPr>
                <w:noProof/>
              </w:rPr>
              <w:drawing>
                <wp:inline distT="0" distB="0" distL="0" distR="0" wp14:anchorId="533206EF" wp14:editId="5731FC8D">
                  <wp:extent cx="4572000" cy="4926330"/>
                  <wp:effectExtent l="0" t="0" r="0" b="7620"/>
                  <wp:docPr id="1007480784" name="Chart 1">
                    <a:extLst xmlns:a="http://schemas.openxmlformats.org/drawingml/2006/main">
                      <a:ext uri="{FF2B5EF4-FFF2-40B4-BE49-F238E27FC236}">
                        <a16:creationId xmlns:a16="http://schemas.microsoft.com/office/drawing/2014/main" id="{3C8ED9E6-2599-2957-9187-E49FA2F7DF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974DCF" w14:paraId="0BF920D2" w14:textId="77777777" w:rsidTr="00AE44D1">
        <w:trPr>
          <w:trHeight w:val="321"/>
        </w:trPr>
        <w:tc>
          <w:tcPr>
            <w:tcW w:w="9016" w:type="dxa"/>
          </w:tcPr>
          <w:p w14:paraId="56A659C1" w14:textId="77777777" w:rsidR="00974DCF" w:rsidRDefault="00974DCF" w:rsidP="004A3661">
            <w:pPr>
              <w:keepNext/>
              <w:keepLines/>
              <w:jc w:val="both"/>
              <w:rPr>
                <w:sz w:val="18"/>
                <w:szCs w:val="18"/>
              </w:rPr>
            </w:pPr>
            <w:r w:rsidRPr="00B81D07">
              <w:rPr>
                <w:sz w:val="18"/>
                <w:szCs w:val="18"/>
              </w:rPr>
              <w:t>Source: UN Trade and Development elaboration using World Bank International Debt Statistics data</w:t>
            </w:r>
            <w:r w:rsidR="00AD5067">
              <w:rPr>
                <w:sz w:val="18"/>
                <w:szCs w:val="18"/>
              </w:rPr>
              <w:t>.</w:t>
            </w:r>
          </w:p>
          <w:p w14:paraId="0BD881D3" w14:textId="1435A449" w:rsidR="00AD5067" w:rsidRPr="00B81D07" w:rsidRDefault="00AD5067" w:rsidP="004A3661">
            <w:pPr>
              <w:keepNext/>
              <w:keepLines/>
              <w:jc w:val="both"/>
              <w:rPr>
                <w:sz w:val="18"/>
                <w:szCs w:val="18"/>
              </w:rPr>
            </w:pPr>
            <w:r>
              <w:rPr>
                <w:sz w:val="18"/>
                <w:szCs w:val="18"/>
              </w:rPr>
              <w:t xml:space="preserve">Note: Public external debt includes long-term </w:t>
            </w:r>
            <w:r w:rsidRPr="00AE44D1">
              <w:rPr>
                <w:sz w:val="18"/>
                <w:szCs w:val="18"/>
              </w:rPr>
              <w:t xml:space="preserve">public and </w:t>
            </w:r>
            <w:r w:rsidR="005D7C53" w:rsidRPr="005D7C53">
              <w:rPr>
                <w:sz w:val="18"/>
                <w:szCs w:val="18"/>
              </w:rPr>
              <w:t>publicly guaranteed</w:t>
            </w:r>
            <w:r w:rsidRPr="00AE44D1">
              <w:rPr>
                <w:sz w:val="18"/>
                <w:szCs w:val="18"/>
              </w:rPr>
              <w:t xml:space="preserve"> debt</w:t>
            </w:r>
            <w:r>
              <w:rPr>
                <w:sz w:val="18"/>
                <w:szCs w:val="18"/>
              </w:rPr>
              <w:t xml:space="preserve"> and IMF credit</w:t>
            </w:r>
            <w:r w:rsidR="00F05725">
              <w:rPr>
                <w:sz w:val="18"/>
                <w:szCs w:val="18"/>
              </w:rPr>
              <w:t>s</w:t>
            </w:r>
            <w:r>
              <w:rPr>
                <w:sz w:val="18"/>
                <w:szCs w:val="18"/>
              </w:rPr>
              <w:t>.</w:t>
            </w:r>
          </w:p>
        </w:tc>
      </w:tr>
    </w:tbl>
    <w:p w14:paraId="77A05F98" w14:textId="77777777" w:rsidR="007F6A06" w:rsidRDefault="007F6A06" w:rsidP="004A3661">
      <w:pPr>
        <w:keepNext/>
        <w:keepLines/>
        <w:jc w:val="both"/>
      </w:pPr>
    </w:p>
    <w:p w14:paraId="329E64AA" w14:textId="1816F4CF" w:rsidR="0053164B" w:rsidRPr="009A7D7F" w:rsidRDefault="007062FB" w:rsidP="00BD2550">
      <w:pPr>
        <w:jc w:val="both"/>
      </w:pPr>
      <w:r w:rsidRPr="009A7D7F">
        <w:t>M</w:t>
      </w:r>
      <w:r w:rsidR="0054058A" w:rsidRPr="009A7D7F">
        <w:t>D</w:t>
      </w:r>
      <w:r w:rsidRPr="009A7D7F">
        <w:t>Bs</w:t>
      </w:r>
      <w:r w:rsidR="00A51CD8">
        <w:t xml:space="preserve"> </w:t>
      </w:r>
      <w:r w:rsidR="00BD2550" w:rsidRPr="009A7D7F">
        <w:t xml:space="preserve">play a </w:t>
      </w:r>
      <w:r w:rsidR="003C0DB2" w:rsidRPr="009A7D7F">
        <w:t xml:space="preserve">critical </w:t>
      </w:r>
      <w:r w:rsidR="00BD2550" w:rsidRPr="009A7D7F">
        <w:t>countercyclical role during external shocks</w:t>
      </w:r>
      <w:r w:rsidR="0054058A" w:rsidRPr="009A7D7F">
        <w:t xml:space="preserve">. </w:t>
      </w:r>
      <w:r w:rsidR="00B47BA0">
        <w:t xml:space="preserve">In </w:t>
      </w:r>
      <w:r w:rsidR="00715A05" w:rsidRPr="009A7D7F">
        <w:t xml:space="preserve">the </w:t>
      </w:r>
      <w:r w:rsidR="00BD2550" w:rsidRPr="009A7D7F">
        <w:t xml:space="preserve">COVID-19 crisis, </w:t>
      </w:r>
      <w:r w:rsidR="00843BFF" w:rsidRPr="009A7D7F">
        <w:rPr>
          <w:rFonts w:cs="Calibri"/>
          <w:color w:val="000000"/>
        </w:rPr>
        <w:t>multilateral flows</w:t>
      </w:r>
      <w:r w:rsidR="004E4B53" w:rsidRPr="009A7D7F">
        <w:rPr>
          <w:rStyle w:val="FootnoteReference"/>
          <w:rFonts w:asciiTheme="minorHAnsi" w:hAnsiTheme="minorHAnsi" w:cs="Calibri"/>
          <w:color w:val="000000"/>
          <w:sz w:val="24"/>
        </w:rPr>
        <w:footnoteReference w:id="1"/>
      </w:r>
      <w:r w:rsidR="00843BFF" w:rsidRPr="009A7D7F">
        <w:rPr>
          <w:rFonts w:cs="Calibri"/>
          <w:color w:val="000000"/>
        </w:rPr>
        <w:t xml:space="preserve"> </w:t>
      </w:r>
      <w:r w:rsidR="00B47BA0">
        <w:rPr>
          <w:rFonts w:cs="Calibri"/>
          <w:color w:val="000000"/>
        </w:rPr>
        <w:t xml:space="preserve">reached </w:t>
      </w:r>
      <w:r w:rsidR="00843BFF" w:rsidRPr="009A7D7F">
        <w:rPr>
          <w:rFonts w:cs="Calibri"/>
          <w:color w:val="000000"/>
        </w:rPr>
        <w:t>US$51.5 billion</w:t>
      </w:r>
      <w:r w:rsidR="002953FD" w:rsidRPr="009A7D7F">
        <w:rPr>
          <w:rFonts w:cs="Calibri"/>
          <w:color w:val="000000"/>
        </w:rPr>
        <w:t xml:space="preserve">, </w:t>
      </w:r>
      <w:r w:rsidR="002953FD" w:rsidRPr="009A7D7F">
        <w:t>sustain</w:t>
      </w:r>
      <w:r w:rsidR="00164852">
        <w:t>ing</w:t>
      </w:r>
      <w:r w:rsidR="00430606">
        <w:t xml:space="preserve"> </w:t>
      </w:r>
      <w:r w:rsidR="002953FD" w:rsidRPr="009A7D7F">
        <w:t>economic activity</w:t>
      </w:r>
      <w:r w:rsidR="00164852">
        <w:t xml:space="preserve"> in developing countries</w:t>
      </w:r>
      <w:r w:rsidR="0066555C" w:rsidRPr="009A7D7F">
        <w:t>.</w:t>
      </w:r>
      <w:r w:rsidR="00D87DE7" w:rsidRPr="009A7D7F">
        <w:t xml:space="preserve"> </w:t>
      </w:r>
      <w:r w:rsidR="00325A51">
        <w:rPr>
          <w:rFonts w:cs="Calibri"/>
          <w:color w:val="000000"/>
        </w:rPr>
        <w:t xml:space="preserve">However, </w:t>
      </w:r>
      <w:r w:rsidR="000035F2">
        <w:rPr>
          <w:rFonts w:cs="Calibri"/>
          <w:color w:val="000000"/>
        </w:rPr>
        <w:t xml:space="preserve">multilateral non-concessional loans </w:t>
      </w:r>
      <w:r w:rsidR="004A239C">
        <w:rPr>
          <w:rFonts w:cs="Calibri"/>
          <w:color w:val="000000"/>
        </w:rPr>
        <w:t xml:space="preserve">accounted </w:t>
      </w:r>
      <w:r w:rsidR="000035F2">
        <w:rPr>
          <w:rFonts w:cs="Calibri"/>
          <w:color w:val="000000"/>
        </w:rPr>
        <w:t>for almost 90 per cent of these flows over 2020-2022</w:t>
      </w:r>
      <w:r w:rsidR="001A6090">
        <w:rPr>
          <w:rFonts w:cs="Calibri"/>
          <w:color w:val="000000"/>
        </w:rPr>
        <w:t xml:space="preserve"> and </w:t>
      </w:r>
      <w:r w:rsidR="00DB243D" w:rsidRPr="009A7D7F">
        <w:rPr>
          <w:rFonts w:cs="Calibri"/>
          <w:color w:val="000000"/>
        </w:rPr>
        <w:t>were</w:t>
      </w:r>
      <w:r w:rsidR="007E71F3" w:rsidRPr="009A7D7F">
        <w:rPr>
          <w:rFonts w:cs="Calibri"/>
          <w:color w:val="000000"/>
        </w:rPr>
        <w:t xml:space="preserve"> </w:t>
      </w:r>
      <w:r w:rsidR="008A397D" w:rsidRPr="009A7D7F">
        <w:rPr>
          <w:rFonts w:cs="Calibri"/>
          <w:color w:val="000000"/>
        </w:rPr>
        <w:t>insufficient</w:t>
      </w:r>
      <w:r w:rsidR="0025347D" w:rsidRPr="009A7D7F">
        <w:rPr>
          <w:rFonts w:cs="Calibri"/>
          <w:color w:val="000000"/>
        </w:rPr>
        <w:t xml:space="preserve"> </w:t>
      </w:r>
      <w:r w:rsidR="008A397D" w:rsidRPr="009A7D7F">
        <w:rPr>
          <w:rFonts w:cs="Calibri"/>
          <w:color w:val="000000"/>
        </w:rPr>
        <w:t xml:space="preserve">to </w:t>
      </w:r>
      <w:r w:rsidR="00D25D52">
        <w:rPr>
          <w:rFonts w:cs="Calibri"/>
          <w:color w:val="000000"/>
        </w:rPr>
        <w:t xml:space="preserve">offset </w:t>
      </w:r>
      <w:r w:rsidR="008A397D" w:rsidRPr="009A7D7F">
        <w:rPr>
          <w:rFonts w:cs="Calibri"/>
          <w:color w:val="000000"/>
        </w:rPr>
        <w:t xml:space="preserve">the negative net transfers by private creditors </w:t>
      </w:r>
      <w:r w:rsidR="00FE74E3" w:rsidRPr="009A7D7F">
        <w:rPr>
          <w:rFonts w:cs="Calibri"/>
          <w:color w:val="000000"/>
        </w:rPr>
        <w:t>in 2022</w:t>
      </w:r>
      <w:r w:rsidR="004B2098">
        <w:rPr>
          <w:rFonts w:cs="Calibri"/>
          <w:color w:val="000000"/>
        </w:rPr>
        <w:t xml:space="preserve">, </w:t>
      </w:r>
      <w:r w:rsidR="00D25D52">
        <w:rPr>
          <w:rFonts w:cs="Calibri"/>
          <w:color w:val="000000"/>
        </w:rPr>
        <w:t xml:space="preserve">leading to </w:t>
      </w:r>
      <w:r w:rsidR="00F8038E" w:rsidRPr="009A7D7F">
        <w:rPr>
          <w:rFonts w:cs="Calibri"/>
          <w:color w:val="000000"/>
        </w:rPr>
        <w:t xml:space="preserve">a negative net transfer of </w:t>
      </w:r>
      <w:r w:rsidR="001B2D63" w:rsidRPr="009A7D7F">
        <w:rPr>
          <w:rFonts w:cs="Calibri"/>
          <w:color w:val="000000"/>
        </w:rPr>
        <w:t>US$25 billion</w:t>
      </w:r>
      <w:r w:rsidR="00812178" w:rsidRPr="00812178">
        <w:rPr>
          <w:rFonts w:cs="Calibri"/>
          <w:color w:val="000000"/>
        </w:rPr>
        <w:t xml:space="preserve"> </w:t>
      </w:r>
      <w:r w:rsidR="00812178">
        <w:rPr>
          <w:rFonts w:cs="Calibri"/>
          <w:color w:val="000000"/>
        </w:rPr>
        <w:t>(</w:t>
      </w:r>
      <w:r w:rsidR="00CB1D25">
        <w:rPr>
          <w:rFonts w:cs="Calibri"/>
          <w:color w:val="000000"/>
        </w:rPr>
        <w:t xml:space="preserve">Figure </w:t>
      </w:r>
      <w:r w:rsidR="00261E35">
        <w:rPr>
          <w:rFonts w:cs="Calibri"/>
          <w:color w:val="000000"/>
        </w:rPr>
        <w:t>2</w:t>
      </w:r>
      <w:r w:rsidR="00812178">
        <w:rPr>
          <w:rFonts w:cs="Calibri"/>
          <w:color w:val="000000"/>
        </w:rPr>
        <w:t>)</w:t>
      </w:r>
      <w:r w:rsidR="001B2D63" w:rsidRPr="009A7D7F">
        <w:rPr>
          <w:rFonts w:cs="Calibri"/>
          <w:color w:val="000000"/>
        </w:rPr>
        <w:t>.</w:t>
      </w:r>
    </w:p>
    <w:p w14:paraId="3AB9915F" w14:textId="5A78B8B8" w:rsidR="008D7A13" w:rsidRDefault="008D7A13" w:rsidP="008141E1">
      <w:pPr>
        <w:jc w:val="both"/>
      </w:pPr>
    </w:p>
    <w:p w14:paraId="019B79CB" w14:textId="77777777" w:rsidR="00C8567F" w:rsidRDefault="00C8567F" w:rsidP="008141E1">
      <w:pPr>
        <w:jc w:val="both"/>
      </w:pPr>
    </w:p>
    <w:p w14:paraId="2C20D3AD" w14:textId="77777777" w:rsidR="00C8567F" w:rsidRDefault="00C8567F" w:rsidP="008141E1">
      <w:pPr>
        <w:jc w:val="both"/>
      </w:pPr>
    </w:p>
    <w:p w14:paraId="3EAD86FD" w14:textId="2226081C" w:rsidR="008D7A13" w:rsidRDefault="005F3BA9" w:rsidP="005F3BA9">
      <w:pPr>
        <w:pStyle w:val="Caption"/>
        <w:rPr>
          <w:sz w:val="21"/>
          <w:szCs w:val="21"/>
        </w:rPr>
      </w:pPr>
      <w:r w:rsidRPr="00812178">
        <w:rPr>
          <w:sz w:val="21"/>
          <w:szCs w:val="21"/>
        </w:rPr>
        <w:t>Figure</w:t>
      </w:r>
      <w:r w:rsidR="00C6234B">
        <w:rPr>
          <w:sz w:val="21"/>
          <w:szCs w:val="21"/>
        </w:rPr>
        <w:t xml:space="preserve"> 2</w:t>
      </w:r>
      <w:r w:rsidRPr="00812178">
        <w:rPr>
          <w:sz w:val="21"/>
          <w:szCs w:val="21"/>
        </w:rPr>
        <w:t xml:space="preserve">: </w:t>
      </w:r>
      <w:r w:rsidR="00FF1B17" w:rsidRPr="00812178">
        <w:rPr>
          <w:sz w:val="21"/>
          <w:szCs w:val="21"/>
        </w:rPr>
        <w:t xml:space="preserve">Total </w:t>
      </w:r>
      <w:r w:rsidRPr="00812178">
        <w:rPr>
          <w:sz w:val="21"/>
          <w:szCs w:val="21"/>
        </w:rPr>
        <w:t xml:space="preserve">Net transfer </w:t>
      </w:r>
      <w:r w:rsidR="00852512" w:rsidRPr="00812178">
        <w:rPr>
          <w:sz w:val="21"/>
          <w:szCs w:val="21"/>
        </w:rPr>
        <w:t>on</w:t>
      </w:r>
      <w:r w:rsidR="002935F6" w:rsidRPr="00812178">
        <w:rPr>
          <w:sz w:val="21"/>
          <w:szCs w:val="21"/>
        </w:rPr>
        <w:t xml:space="preserve"> PP</w:t>
      </w:r>
      <w:r w:rsidR="00FF1B17" w:rsidRPr="00812178">
        <w:rPr>
          <w:sz w:val="21"/>
          <w:szCs w:val="21"/>
        </w:rPr>
        <w:t>G</w:t>
      </w:r>
      <w:r w:rsidR="002935F6" w:rsidRPr="00812178">
        <w:rPr>
          <w:sz w:val="21"/>
          <w:szCs w:val="21"/>
        </w:rPr>
        <w:t xml:space="preserve"> debt</w:t>
      </w:r>
      <w:r w:rsidR="00852512" w:rsidRPr="00812178">
        <w:rPr>
          <w:sz w:val="21"/>
          <w:szCs w:val="21"/>
        </w:rPr>
        <w:t xml:space="preserve"> by </w:t>
      </w:r>
      <w:r w:rsidR="00A6270B" w:rsidRPr="00812178">
        <w:rPr>
          <w:sz w:val="21"/>
          <w:szCs w:val="21"/>
        </w:rPr>
        <w:t xml:space="preserve">creditor </w:t>
      </w:r>
      <w:r w:rsidR="002935F6" w:rsidRPr="00812178">
        <w:rPr>
          <w:sz w:val="21"/>
          <w:szCs w:val="21"/>
        </w:rPr>
        <w:t>(all developing countries excluding China)</w:t>
      </w:r>
    </w:p>
    <w:p w14:paraId="686B8CC6" w14:textId="041D6F9C" w:rsidR="00155FEA" w:rsidRPr="00155FEA" w:rsidRDefault="00155FEA" w:rsidP="00155FEA">
      <w:pPr>
        <w:rPr>
          <w:sz w:val="18"/>
          <w:szCs w:val="18"/>
        </w:rPr>
      </w:pPr>
      <w:r w:rsidRPr="00155FEA">
        <w:rPr>
          <w:sz w:val="18"/>
          <w:szCs w:val="18"/>
        </w:rPr>
        <w:t>US $ Billions</w:t>
      </w:r>
    </w:p>
    <w:p w14:paraId="43A0A5F0" w14:textId="656419D5" w:rsidR="00012F31" w:rsidRPr="00012F31" w:rsidRDefault="005D74CD" w:rsidP="00012F31">
      <w:r>
        <w:rPr>
          <w:noProof/>
        </w:rPr>
        <w:drawing>
          <wp:inline distT="0" distB="0" distL="0" distR="0" wp14:anchorId="4C3FFCAF" wp14:editId="004DF66B">
            <wp:extent cx="5731510" cy="2604770"/>
            <wp:effectExtent l="0" t="0" r="0" b="0"/>
            <wp:docPr id="1265272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72659" name=""/>
                    <pic:cNvPicPr/>
                  </pic:nvPicPr>
                  <pic:blipFill>
                    <a:blip r:embed="rId12"/>
                    <a:stretch>
                      <a:fillRect/>
                    </a:stretch>
                  </pic:blipFill>
                  <pic:spPr>
                    <a:xfrm>
                      <a:off x="0" y="0"/>
                      <a:ext cx="5731510" cy="260477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F1B17" w14:paraId="35D43D4A" w14:textId="77777777" w:rsidTr="00A37C5E">
        <w:tc>
          <w:tcPr>
            <w:tcW w:w="9026" w:type="dxa"/>
          </w:tcPr>
          <w:p w14:paraId="0F2266F3" w14:textId="21044860" w:rsidR="00FF1B17" w:rsidRPr="00A55D7D" w:rsidRDefault="00FF1B17" w:rsidP="001E15D8">
            <w:pPr>
              <w:keepNext/>
              <w:spacing w:line="24" w:lineRule="atLeast"/>
              <w:rPr>
                <w:rFonts w:cstheme="minorHAnsi"/>
                <w:i/>
                <w:iCs/>
                <w:color w:val="000000" w:themeColor="text1"/>
                <w:sz w:val="16"/>
                <w:szCs w:val="16"/>
              </w:rPr>
            </w:pPr>
            <w:r w:rsidRPr="00A55D7D">
              <w:rPr>
                <w:rFonts w:cstheme="minorHAnsi"/>
                <w:i/>
                <w:iCs/>
                <w:color w:val="000000" w:themeColor="text1"/>
                <w:sz w:val="16"/>
                <w:szCs w:val="16"/>
              </w:rPr>
              <w:t>Source</w:t>
            </w:r>
            <w:r w:rsidRPr="00A55D7D">
              <w:rPr>
                <w:rFonts w:cstheme="minorHAnsi"/>
                <w:color w:val="000000" w:themeColor="text1"/>
                <w:sz w:val="16"/>
                <w:szCs w:val="16"/>
              </w:rPr>
              <w:t xml:space="preserve">: UNCTAD calculations based on World Bank </w:t>
            </w:r>
            <w:r w:rsidR="004C6B3C" w:rsidRPr="00A55D7D">
              <w:rPr>
                <w:rFonts w:cstheme="minorHAnsi"/>
                <w:color w:val="000000" w:themeColor="text1"/>
                <w:sz w:val="16"/>
                <w:szCs w:val="16"/>
              </w:rPr>
              <w:t>I</w:t>
            </w:r>
            <w:r w:rsidR="00A55D7D">
              <w:rPr>
                <w:rFonts w:cstheme="minorHAnsi"/>
                <w:color w:val="000000" w:themeColor="text1"/>
                <w:sz w:val="16"/>
                <w:szCs w:val="16"/>
              </w:rPr>
              <w:t>nternational Debt Statistics (2024)</w:t>
            </w:r>
          </w:p>
        </w:tc>
      </w:tr>
      <w:tr w:rsidR="00BE14A7" w:rsidRPr="00F904C6" w14:paraId="00212F9D" w14:textId="77777777" w:rsidTr="00A37C5E">
        <w:tc>
          <w:tcPr>
            <w:tcW w:w="9026" w:type="dxa"/>
          </w:tcPr>
          <w:p w14:paraId="1615C456" w14:textId="77777777" w:rsidR="004F5B22" w:rsidRDefault="004F5B22" w:rsidP="00331C69">
            <w:pPr>
              <w:pageBreakBefore/>
              <w:jc w:val="both"/>
            </w:pPr>
          </w:p>
          <w:p w14:paraId="5F56F7AE" w14:textId="75FD296B" w:rsidR="0015570C" w:rsidRDefault="00331C69" w:rsidP="00331C69">
            <w:pPr>
              <w:pageBreakBefore/>
              <w:jc w:val="both"/>
            </w:pPr>
            <w:r>
              <w:t xml:space="preserve">MDBs average lending rate to developing countries was 1.5 per cent in 2022. </w:t>
            </w:r>
            <w:r w:rsidR="00164852">
              <w:t>While lower than other creditor rates</w:t>
            </w:r>
            <w:r>
              <w:t xml:space="preserve">, MDBs’ lending rates for non-concessional loans are </w:t>
            </w:r>
            <w:r w:rsidR="00164852">
              <w:t xml:space="preserve">also </w:t>
            </w:r>
            <w:r>
              <w:t>aligned with the monetary policy stance in developed countries</w:t>
            </w:r>
            <w:r w:rsidR="0095260C">
              <w:t xml:space="preserve"> as they compri</w:t>
            </w:r>
            <w:r w:rsidR="006142C0">
              <w:t>se</w:t>
            </w:r>
            <w:r w:rsidR="0095260C">
              <w:t xml:space="preserve"> a market-based reference rate</w:t>
            </w:r>
            <w:r>
              <w:t xml:space="preserve">.  Consequently, they are procyclical and </w:t>
            </w:r>
            <w:r w:rsidR="00DF293D">
              <w:t xml:space="preserve">have </w:t>
            </w:r>
            <w:r>
              <w:t xml:space="preserve">increased </w:t>
            </w:r>
            <w:r w:rsidR="00DF293D">
              <w:t xml:space="preserve">since </w:t>
            </w:r>
            <w:r>
              <w:t xml:space="preserve">2021 when the Fed and other developed country central banks started to raise their policy rates.  By contrast, World Bank IDA concessional loans have fixed interest rates (Figure 3).  </w:t>
            </w:r>
          </w:p>
          <w:p w14:paraId="57E59DCF" w14:textId="77777777" w:rsidR="00331C69" w:rsidRDefault="00331C69" w:rsidP="00331C69">
            <w:pPr>
              <w:pageBreakBefore/>
              <w:jc w:val="both"/>
            </w:pPr>
          </w:p>
          <w:p w14:paraId="2755444D" w14:textId="77777777" w:rsidR="00331C69" w:rsidRDefault="00331C69" w:rsidP="00331C69">
            <w:pPr>
              <w:pageBreakBefore/>
              <w:jc w:val="both"/>
            </w:pPr>
          </w:p>
          <w:p w14:paraId="64F2E178" w14:textId="77777777" w:rsidR="004F5B22" w:rsidRDefault="004F5B22" w:rsidP="00331C69">
            <w:pPr>
              <w:pageBreakBefore/>
              <w:jc w:val="both"/>
            </w:pPr>
          </w:p>
          <w:p w14:paraId="7F562919" w14:textId="77777777" w:rsidR="004F5B22" w:rsidRDefault="004F5B22" w:rsidP="00331C69">
            <w:pPr>
              <w:pageBreakBefore/>
              <w:jc w:val="both"/>
            </w:pPr>
          </w:p>
          <w:p w14:paraId="1ABFF2DA" w14:textId="77777777" w:rsidR="004F5B22" w:rsidRDefault="004F5B22" w:rsidP="00331C69">
            <w:pPr>
              <w:pageBreakBefore/>
              <w:jc w:val="both"/>
            </w:pPr>
          </w:p>
          <w:p w14:paraId="7D8CC247" w14:textId="77777777" w:rsidR="004F5B22" w:rsidRDefault="004F5B22" w:rsidP="00331C69">
            <w:pPr>
              <w:pageBreakBefore/>
              <w:jc w:val="both"/>
            </w:pPr>
          </w:p>
          <w:p w14:paraId="32B965CD" w14:textId="77777777" w:rsidR="004F5B22" w:rsidRDefault="004F5B22" w:rsidP="00331C69">
            <w:pPr>
              <w:pageBreakBefore/>
              <w:jc w:val="both"/>
            </w:pPr>
          </w:p>
          <w:p w14:paraId="7C6FEBA0" w14:textId="77777777" w:rsidR="004F5B22" w:rsidRDefault="004F5B22" w:rsidP="00331C69">
            <w:pPr>
              <w:pageBreakBefore/>
              <w:jc w:val="both"/>
            </w:pPr>
          </w:p>
          <w:p w14:paraId="1AEC40C1" w14:textId="77777777" w:rsidR="004F5B22" w:rsidRDefault="004F5B22" w:rsidP="00331C69">
            <w:pPr>
              <w:pageBreakBefore/>
              <w:jc w:val="both"/>
            </w:pPr>
          </w:p>
          <w:p w14:paraId="78A85259" w14:textId="77777777" w:rsidR="004F5B22" w:rsidRDefault="004F5B22" w:rsidP="00331C69">
            <w:pPr>
              <w:pageBreakBefore/>
              <w:jc w:val="both"/>
            </w:pPr>
          </w:p>
          <w:p w14:paraId="09DB8886" w14:textId="77777777" w:rsidR="004F5B22" w:rsidRDefault="004F5B22" w:rsidP="00331C69">
            <w:pPr>
              <w:pageBreakBefore/>
              <w:jc w:val="both"/>
            </w:pPr>
          </w:p>
          <w:p w14:paraId="1A54D885" w14:textId="77777777" w:rsidR="004F5B22" w:rsidRDefault="004F5B22" w:rsidP="00331C69">
            <w:pPr>
              <w:pageBreakBefore/>
              <w:jc w:val="both"/>
            </w:pPr>
          </w:p>
          <w:p w14:paraId="470F8643" w14:textId="77777777" w:rsidR="004F5B22" w:rsidRDefault="004F5B22" w:rsidP="00331C69">
            <w:pPr>
              <w:pageBreakBefore/>
              <w:jc w:val="both"/>
            </w:pPr>
          </w:p>
          <w:p w14:paraId="12B9C7A1" w14:textId="77777777" w:rsidR="004F5B22" w:rsidRDefault="004F5B22" w:rsidP="00331C69">
            <w:pPr>
              <w:pageBreakBefore/>
              <w:jc w:val="both"/>
            </w:pPr>
          </w:p>
          <w:p w14:paraId="43B27B25" w14:textId="77777777" w:rsidR="004F5B22" w:rsidRDefault="004F5B22" w:rsidP="00331C69">
            <w:pPr>
              <w:pageBreakBefore/>
              <w:jc w:val="both"/>
            </w:pPr>
          </w:p>
          <w:p w14:paraId="5B686ED4" w14:textId="77777777" w:rsidR="004F5B22" w:rsidRDefault="004F5B22" w:rsidP="00331C69">
            <w:pPr>
              <w:pageBreakBefore/>
              <w:jc w:val="both"/>
            </w:pPr>
          </w:p>
          <w:p w14:paraId="0CA0897D" w14:textId="77777777" w:rsidR="004F5B22" w:rsidRDefault="004F5B22" w:rsidP="00331C69">
            <w:pPr>
              <w:pageBreakBefore/>
              <w:jc w:val="both"/>
            </w:pPr>
          </w:p>
          <w:p w14:paraId="47BC4A83" w14:textId="77777777" w:rsidR="004F5B22" w:rsidRDefault="004F5B22" w:rsidP="00331C69">
            <w:pPr>
              <w:pageBreakBefore/>
              <w:jc w:val="both"/>
            </w:pPr>
          </w:p>
          <w:p w14:paraId="21B154B0" w14:textId="77777777" w:rsidR="004F5B22" w:rsidRPr="00F5647E" w:rsidRDefault="004F5B22" w:rsidP="00331C69">
            <w:pPr>
              <w:pageBreakBefore/>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4341"/>
            </w:tblGrid>
            <w:tr w:rsidR="0015570C" w14:paraId="7736AD8D" w14:textId="77777777" w:rsidTr="0015570C">
              <w:tc>
                <w:tcPr>
                  <w:tcW w:w="8800" w:type="dxa"/>
                  <w:gridSpan w:val="2"/>
                </w:tcPr>
                <w:p w14:paraId="7D658B00" w14:textId="5087664A" w:rsidR="0015570C" w:rsidRPr="00A55D7D" w:rsidRDefault="0015570C" w:rsidP="00331C69">
                  <w:pPr>
                    <w:pStyle w:val="Caption"/>
                    <w:keepNext/>
                    <w:keepLines/>
                    <w:pageBreakBefore/>
                    <w:rPr>
                      <w:sz w:val="21"/>
                      <w:szCs w:val="21"/>
                    </w:rPr>
                  </w:pPr>
                  <w:r w:rsidRPr="00A55D7D">
                    <w:rPr>
                      <w:sz w:val="21"/>
                      <w:szCs w:val="21"/>
                    </w:rPr>
                    <w:lastRenderedPageBreak/>
                    <w:t xml:space="preserve">Figure </w:t>
                  </w:r>
                  <w:r w:rsidR="00C6234B">
                    <w:rPr>
                      <w:sz w:val="21"/>
                      <w:szCs w:val="21"/>
                    </w:rPr>
                    <w:t>3</w:t>
                  </w:r>
                  <w:r w:rsidRPr="00A55D7D">
                    <w:rPr>
                      <w:sz w:val="21"/>
                      <w:szCs w:val="21"/>
                    </w:rPr>
                    <w:t>: Average lending rate on new PPG commitments for developing countries</w:t>
                  </w:r>
                </w:p>
                <w:p w14:paraId="77D310C1" w14:textId="1851BBB3" w:rsidR="0015570C" w:rsidRPr="00447B37" w:rsidRDefault="0015570C" w:rsidP="00331C69">
                  <w:pPr>
                    <w:keepNext/>
                    <w:keepLines/>
                    <w:pageBreakBefore/>
                    <w:rPr>
                      <w:sz w:val="20"/>
                      <w:szCs w:val="20"/>
                    </w:rPr>
                  </w:pPr>
                  <w:r w:rsidRPr="00447B37">
                    <w:rPr>
                      <w:sz w:val="20"/>
                      <w:szCs w:val="20"/>
                    </w:rPr>
                    <w:t>Per cent per annum</w:t>
                  </w:r>
                </w:p>
              </w:tc>
            </w:tr>
            <w:tr w:rsidR="0015570C" w14:paraId="42F72CE4" w14:textId="77777777" w:rsidTr="0015570C">
              <w:tc>
                <w:tcPr>
                  <w:tcW w:w="4464" w:type="dxa"/>
                </w:tcPr>
                <w:p w14:paraId="07ACFABA" w14:textId="3FBB12C9" w:rsidR="0015570C" w:rsidRDefault="0015570C" w:rsidP="004A3661">
                  <w:pPr>
                    <w:pStyle w:val="Caption"/>
                    <w:keepNext/>
                    <w:keepLines/>
                  </w:pPr>
                  <w:r w:rsidRPr="0015570C">
                    <w:rPr>
                      <w:noProof/>
                    </w:rPr>
                    <w:drawing>
                      <wp:inline distT="0" distB="0" distL="0" distR="0" wp14:anchorId="06CC7CB8" wp14:editId="0EA4C166">
                        <wp:extent cx="2729865" cy="3246783"/>
                        <wp:effectExtent l="0" t="0" r="0" b="0"/>
                        <wp:docPr id="586242154" name="Chart 1">
                          <a:extLst xmlns:a="http://schemas.openxmlformats.org/drawingml/2006/main">
                            <a:ext uri="{FF2B5EF4-FFF2-40B4-BE49-F238E27FC236}">
                              <a16:creationId xmlns:a16="http://schemas.microsoft.com/office/drawing/2014/main" id="{9E6B7CE7-4A68-8126-6E86-4737F68998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336" w:type="dxa"/>
                </w:tcPr>
                <w:p w14:paraId="121B78D5" w14:textId="4C7CA9BE" w:rsidR="0015570C" w:rsidRDefault="0015570C" w:rsidP="004A3661">
                  <w:pPr>
                    <w:pStyle w:val="Caption"/>
                    <w:keepNext/>
                    <w:keepLines/>
                  </w:pPr>
                  <w:r w:rsidRPr="0015570C">
                    <w:rPr>
                      <w:noProof/>
                    </w:rPr>
                    <w:drawing>
                      <wp:inline distT="0" distB="0" distL="0" distR="0" wp14:anchorId="6588BDC8" wp14:editId="15825F13">
                        <wp:extent cx="2642870" cy="3193774"/>
                        <wp:effectExtent l="0" t="0" r="5080" b="6985"/>
                        <wp:docPr id="170145353" name="Chart 1">
                          <a:extLst xmlns:a="http://schemas.openxmlformats.org/drawingml/2006/main">
                            <a:ext uri="{FF2B5EF4-FFF2-40B4-BE49-F238E27FC236}">
                              <a16:creationId xmlns:a16="http://schemas.microsoft.com/office/drawing/2014/main" id="{2D42C52D-6A2E-D9C1-72BF-293A8DBF82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15570C" w14:paraId="0BB7BAEA" w14:textId="77777777" w:rsidTr="0015570C">
              <w:tc>
                <w:tcPr>
                  <w:tcW w:w="8800" w:type="dxa"/>
                  <w:gridSpan w:val="2"/>
                </w:tcPr>
                <w:p w14:paraId="0C73B83C" w14:textId="5E04E39E" w:rsidR="0015570C" w:rsidRPr="00B7090C" w:rsidRDefault="0015570C" w:rsidP="004A3661">
                  <w:pPr>
                    <w:keepNext/>
                    <w:keepLines/>
                    <w:jc w:val="both"/>
                    <w:rPr>
                      <w:noProof/>
                      <w:sz w:val="16"/>
                      <w:szCs w:val="16"/>
                    </w:rPr>
                  </w:pPr>
                  <w:r w:rsidRPr="00B7090C">
                    <w:rPr>
                      <w:i/>
                      <w:iCs/>
                      <w:noProof/>
                      <w:sz w:val="16"/>
                      <w:szCs w:val="16"/>
                      <w:lang w:val="en-GB"/>
                    </w:rPr>
                    <w:t xml:space="preserve">Source: </w:t>
                  </w:r>
                  <w:r w:rsidRPr="00B7090C">
                    <w:rPr>
                      <w:noProof/>
                      <w:sz w:val="16"/>
                      <w:szCs w:val="16"/>
                      <w:lang w:val="en-GB"/>
                    </w:rPr>
                    <w:t>UNCTAD secretariat calculations, based on World Bank I</w:t>
                  </w:r>
                  <w:r w:rsidR="00A55D7D">
                    <w:rPr>
                      <w:noProof/>
                      <w:sz w:val="16"/>
                      <w:szCs w:val="16"/>
                      <w:lang w:val="en-GB"/>
                    </w:rPr>
                    <w:t xml:space="preserve">nternational </w:t>
                  </w:r>
                  <w:r w:rsidRPr="00B7090C">
                    <w:rPr>
                      <w:noProof/>
                      <w:sz w:val="16"/>
                      <w:szCs w:val="16"/>
                      <w:lang w:val="en-GB"/>
                    </w:rPr>
                    <w:t>D</w:t>
                  </w:r>
                  <w:r w:rsidR="00A55D7D">
                    <w:rPr>
                      <w:noProof/>
                      <w:sz w:val="16"/>
                      <w:szCs w:val="16"/>
                      <w:lang w:val="en-GB"/>
                    </w:rPr>
                    <w:t xml:space="preserve">ebt </w:t>
                  </w:r>
                  <w:r w:rsidRPr="00B7090C">
                    <w:rPr>
                      <w:noProof/>
                      <w:sz w:val="16"/>
                      <w:szCs w:val="16"/>
                      <w:lang w:val="en-GB"/>
                    </w:rPr>
                    <w:t>S</w:t>
                  </w:r>
                  <w:r w:rsidR="00A55D7D">
                    <w:rPr>
                      <w:noProof/>
                      <w:sz w:val="16"/>
                      <w:szCs w:val="16"/>
                      <w:lang w:val="en-GB"/>
                    </w:rPr>
                    <w:t>tatistics (2024)</w:t>
                  </w:r>
                </w:p>
                <w:p w14:paraId="573E4A5D" w14:textId="2AF2A5EE" w:rsidR="0015570C" w:rsidRDefault="0015570C" w:rsidP="004A3661">
                  <w:pPr>
                    <w:pStyle w:val="Caption"/>
                    <w:keepNext/>
                    <w:keepLines/>
                  </w:pPr>
                  <w:r w:rsidRPr="00B7090C">
                    <w:rPr>
                      <w:noProof/>
                      <w:sz w:val="16"/>
                      <w:szCs w:val="16"/>
                      <w:lang w:val="en-GB"/>
                    </w:rPr>
                    <w:t>Note:  Multilateral interest rate has been calculated as the average of World Bank, ADB, AfDB and IADB.Other MDBs include ADB, AfDB and IADB. For these banks, the breakdown between concessional and non-concessional loans is not available.</w:t>
                  </w:r>
                </w:p>
              </w:tc>
            </w:tr>
          </w:tbl>
          <w:p w14:paraId="7D2112A3" w14:textId="0AC5F66D" w:rsidR="00792AC6" w:rsidRDefault="002B722C" w:rsidP="00D630F1">
            <w:pPr>
              <w:jc w:val="both"/>
            </w:pPr>
            <w:r>
              <w:t>T</w:t>
            </w:r>
            <w:r w:rsidR="00D91C9D">
              <w:t>he average maturity</w:t>
            </w:r>
            <w:r w:rsidR="00DE7178">
              <w:t xml:space="preserve"> </w:t>
            </w:r>
            <w:r w:rsidR="00C55C75">
              <w:t xml:space="preserve">of </w:t>
            </w:r>
            <w:r w:rsidR="00DE7178">
              <w:t>MDBs</w:t>
            </w:r>
            <w:r w:rsidR="00C55C75">
              <w:t>’</w:t>
            </w:r>
            <w:r w:rsidR="00DE7178">
              <w:t xml:space="preserve"> new external commitments</w:t>
            </w:r>
            <w:r w:rsidR="00D91C9D">
              <w:t xml:space="preserve"> </w:t>
            </w:r>
            <w:r w:rsidR="00060867">
              <w:t xml:space="preserve">continued to fall </w:t>
            </w:r>
            <w:r w:rsidR="00073E0E">
              <w:t>after the</w:t>
            </w:r>
            <w:r w:rsidR="00D91C9D">
              <w:t xml:space="preserve"> C</w:t>
            </w:r>
            <w:r w:rsidR="00475FB6">
              <w:t>OVID</w:t>
            </w:r>
            <w:r w:rsidR="00D91C9D">
              <w:t>-19 crisis</w:t>
            </w:r>
            <w:r w:rsidR="00633C64">
              <w:t>.</w:t>
            </w:r>
            <w:r w:rsidR="00B1520C">
              <w:t xml:space="preserve"> </w:t>
            </w:r>
            <w:r w:rsidR="00DF733E">
              <w:t>Nonetheless, MDB</w:t>
            </w:r>
            <w:r w:rsidR="00696FE0">
              <w:t>s’</w:t>
            </w:r>
            <w:r w:rsidR="00DF733E">
              <w:t xml:space="preserve"> loans still have </w:t>
            </w:r>
            <w:r w:rsidR="00DF627B">
              <w:t>longer</w:t>
            </w:r>
            <w:r w:rsidR="00DF733E">
              <w:t xml:space="preserve"> </w:t>
            </w:r>
            <w:r w:rsidR="00DF627B">
              <w:t xml:space="preserve">maturities than loans from other </w:t>
            </w:r>
            <w:r w:rsidR="00BF19EF">
              <w:t xml:space="preserve">creditors </w:t>
            </w:r>
            <w:r w:rsidR="00D91C9D">
              <w:t xml:space="preserve">(Figure </w:t>
            </w:r>
            <w:r w:rsidR="00621D2A">
              <w:t>4</w:t>
            </w:r>
            <w:r w:rsidR="00D91C9D">
              <w:t>).</w:t>
            </w:r>
            <w:r w:rsidR="00181583">
              <w:t xml:space="preserve"> </w:t>
            </w:r>
            <w:r w:rsidR="005D7F7F">
              <w:t xml:space="preserve"> </w:t>
            </w:r>
          </w:p>
          <w:p w14:paraId="322CE315" w14:textId="77777777" w:rsidR="00331C69" w:rsidRDefault="00331C69" w:rsidP="00D630F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20"/>
            </w:tblGrid>
            <w:tr w:rsidR="00792AC6" w14:paraId="000CEA31" w14:textId="77777777" w:rsidTr="00B51A1A">
              <w:tc>
                <w:tcPr>
                  <w:tcW w:w="8810" w:type="dxa"/>
                  <w:gridSpan w:val="2"/>
                </w:tcPr>
                <w:p w14:paraId="01E885DA" w14:textId="26C3A99A" w:rsidR="00792AC6" w:rsidRPr="00447B37" w:rsidRDefault="00792AC6" w:rsidP="00792AC6">
                  <w:pPr>
                    <w:pStyle w:val="Caption"/>
                    <w:rPr>
                      <w:sz w:val="20"/>
                      <w:szCs w:val="20"/>
                    </w:rPr>
                  </w:pPr>
                  <w:r w:rsidRPr="00447B37">
                    <w:rPr>
                      <w:sz w:val="20"/>
                      <w:szCs w:val="20"/>
                    </w:rPr>
                    <w:t xml:space="preserve">Figure </w:t>
                  </w:r>
                  <w:r w:rsidR="00696FE0">
                    <w:rPr>
                      <w:sz w:val="20"/>
                      <w:szCs w:val="20"/>
                    </w:rPr>
                    <w:t>4</w:t>
                  </w:r>
                  <w:r w:rsidRPr="00447B37">
                    <w:rPr>
                      <w:sz w:val="20"/>
                      <w:szCs w:val="20"/>
                    </w:rPr>
                    <w:t>: Average maturity on new external debt commitments for developing countries</w:t>
                  </w:r>
                </w:p>
                <w:p w14:paraId="06FF026E" w14:textId="6312E8E5" w:rsidR="00792AC6" w:rsidRPr="00792AC6" w:rsidRDefault="00792AC6" w:rsidP="00D630F1">
                  <w:pPr>
                    <w:jc w:val="both"/>
                    <w:rPr>
                      <w:sz w:val="18"/>
                      <w:szCs w:val="18"/>
                    </w:rPr>
                  </w:pPr>
                  <w:r w:rsidRPr="00447B37">
                    <w:rPr>
                      <w:sz w:val="20"/>
                      <w:szCs w:val="20"/>
                    </w:rPr>
                    <w:t>Years</w:t>
                  </w:r>
                </w:p>
              </w:tc>
            </w:tr>
            <w:tr w:rsidR="00792AC6" w14:paraId="65C0A9AB" w14:textId="77777777" w:rsidTr="00B51A1A">
              <w:tc>
                <w:tcPr>
                  <w:tcW w:w="4390" w:type="dxa"/>
                </w:tcPr>
                <w:p w14:paraId="0A811510" w14:textId="1BF65E29" w:rsidR="00792AC6" w:rsidRDefault="00447B37" w:rsidP="00D630F1">
                  <w:pPr>
                    <w:jc w:val="both"/>
                  </w:pPr>
                  <w:r>
                    <w:rPr>
                      <w:noProof/>
                    </w:rPr>
                    <w:drawing>
                      <wp:inline distT="0" distB="0" distL="0" distR="0" wp14:anchorId="55870ABC" wp14:editId="124B2FE0">
                        <wp:extent cx="2664020" cy="3150235"/>
                        <wp:effectExtent l="0" t="0" r="3175" b="0"/>
                        <wp:docPr id="348459175" name="Chart 1">
                          <a:extLst xmlns:a="http://schemas.openxmlformats.org/drawingml/2006/main">
                            <a:ext uri="{FF2B5EF4-FFF2-40B4-BE49-F238E27FC236}">
                              <a16:creationId xmlns:a16="http://schemas.microsoft.com/office/drawing/2014/main" id="{D5A24C86-ADB6-B2B3-919E-4A940C884D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420" w:type="dxa"/>
                </w:tcPr>
                <w:p w14:paraId="1511C509" w14:textId="21ED1144" w:rsidR="00792AC6" w:rsidRDefault="008C1F28" w:rsidP="00D630F1">
                  <w:pPr>
                    <w:jc w:val="both"/>
                  </w:pPr>
                  <w:r>
                    <w:rPr>
                      <w:noProof/>
                    </w:rPr>
                    <w:drawing>
                      <wp:inline distT="0" distB="0" distL="0" distR="0" wp14:anchorId="1EBC2629" wp14:editId="78EBA5C8">
                        <wp:extent cx="2679896" cy="3249295"/>
                        <wp:effectExtent l="0" t="0" r="6350" b="8255"/>
                        <wp:docPr id="924615519" name="Chart 1">
                          <a:extLst xmlns:a="http://schemas.openxmlformats.org/drawingml/2006/main">
                            <a:ext uri="{FF2B5EF4-FFF2-40B4-BE49-F238E27FC236}">
                              <a16:creationId xmlns:a16="http://schemas.microsoft.com/office/drawing/2014/main" id="{150FB9DA-3BF6-B62E-A2A1-F931239CC0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792AC6" w14:paraId="15A2854C" w14:textId="77777777" w:rsidTr="00B51A1A">
              <w:tc>
                <w:tcPr>
                  <w:tcW w:w="8810" w:type="dxa"/>
                  <w:gridSpan w:val="2"/>
                </w:tcPr>
                <w:p w14:paraId="599C0836" w14:textId="53F93332" w:rsidR="00792AC6" w:rsidRPr="00B7090C" w:rsidRDefault="00792AC6" w:rsidP="00792AC6">
                  <w:pPr>
                    <w:jc w:val="both"/>
                    <w:rPr>
                      <w:noProof/>
                      <w:sz w:val="16"/>
                      <w:szCs w:val="16"/>
                    </w:rPr>
                  </w:pPr>
                  <w:r w:rsidRPr="00B7090C">
                    <w:rPr>
                      <w:i/>
                      <w:iCs/>
                      <w:noProof/>
                      <w:sz w:val="16"/>
                      <w:szCs w:val="16"/>
                      <w:lang w:val="en-GB"/>
                    </w:rPr>
                    <w:lastRenderedPageBreak/>
                    <w:t xml:space="preserve">Source: </w:t>
                  </w:r>
                  <w:r w:rsidRPr="00B7090C">
                    <w:rPr>
                      <w:noProof/>
                      <w:sz w:val="16"/>
                      <w:szCs w:val="16"/>
                      <w:lang w:val="en-GB"/>
                    </w:rPr>
                    <w:t>UNCTAD secretariat calculations based on World Bank I</w:t>
                  </w:r>
                  <w:r w:rsidR="00A55D7D">
                    <w:rPr>
                      <w:noProof/>
                      <w:sz w:val="16"/>
                      <w:szCs w:val="16"/>
                      <w:lang w:val="en-GB"/>
                    </w:rPr>
                    <w:t xml:space="preserve">nternational </w:t>
                  </w:r>
                  <w:r w:rsidRPr="00B7090C">
                    <w:rPr>
                      <w:noProof/>
                      <w:sz w:val="16"/>
                      <w:szCs w:val="16"/>
                      <w:lang w:val="en-GB"/>
                    </w:rPr>
                    <w:t>D</w:t>
                  </w:r>
                  <w:r w:rsidR="00A55D7D">
                    <w:rPr>
                      <w:noProof/>
                      <w:sz w:val="16"/>
                      <w:szCs w:val="16"/>
                      <w:lang w:val="en-GB"/>
                    </w:rPr>
                    <w:t xml:space="preserve">ebt </w:t>
                  </w:r>
                  <w:r w:rsidRPr="00B7090C">
                    <w:rPr>
                      <w:noProof/>
                      <w:sz w:val="16"/>
                      <w:szCs w:val="16"/>
                      <w:lang w:val="en-GB"/>
                    </w:rPr>
                    <w:t>S</w:t>
                  </w:r>
                  <w:r w:rsidR="00A55D7D">
                    <w:rPr>
                      <w:noProof/>
                      <w:sz w:val="16"/>
                      <w:szCs w:val="16"/>
                      <w:lang w:val="en-GB"/>
                    </w:rPr>
                    <w:t>tatistics (2024)</w:t>
                  </w:r>
                  <w:r w:rsidRPr="00B7090C">
                    <w:rPr>
                      <w:noProof/>
                      <w:sz w:val="16"/>
                      <w:szCs w:val="16"/>
                      <w:lang w:val="en-GB"/>
                    </w:rPr>
                    <w:t>.</w:t>
                  </w:r>
                </w:p>
                <w:p w14:paraId="668BA0BE" w14:textId="2E7B913D" w:rsidR="00792AC6" w:rsidRDefault="00792AC6" w:rsidP="00792AC6">
                  <w:pPr>
                    <w:jc w:val="both"/>
                  </w:pPr>
                  <w:r w:rsidRPr="00B7090C">
                    <w:rPr>
                      <w:noProof/>
                      <w:sz w:val="16"/>
                      <w:szCs w:val="16"/>
                      <w:lang w:val="en-GB"/>
                    </w:rPr>
                    <w:t xml:space="preserve">Note:  </w:t>
                  </w:r>
                  <w:r>
                    <w:rPr>
                      <w:noProof/>
                      <w:sz w:val="16"/>
                      <w:szCs w:val="16"/>
                      <w:lang w:val="en-GB"/>
                    </w:rPr>
                    <w:t xml:space="preserve">Average maturity </w:t>
                  </w:r>
                  <w:r w:rsidRPr="00B7090C">
                    <w:rPr>
                      <w:noProof/>
                      <w:sz w:val="16"/>
                      <w:szCs w:val="16"/>
                      <w:lang w:val="en-GB"/>
                    </w:rPr>
                    <w:t>has been calculated as the average of World Bank, ADB, AfDB and IADB.</w:t>
                  </w:r>
                  <w:r w:rsidR="008A7A42">
                    <w:rPr>
                      <w:noProof/>
                      <w:sz w:val="16"/>
                      <w:szCs w:val="16"/>
                      <w:lang w:val="en-GB"/>
                    </w:rPr>
                    <w:t xml:space="preserve"> </w:t>
                  </w:r>
                  <w:r w:rsidRPr="00B7090C">
                    <w:rPr>
                      <w:noProof/>
                      <w:sz w:val="16"/>
                      <w:szCs w:val="16"/>
                      <w:lang w:val="en-GB"/>
                    </w:rPr>
                    <w:t>Other MDBs include ADB, AfDB and IADB. For these banks, the breakdown between concessional and non-concessional loans is not available.</w:t>
                  </w:r>
                  <w:r w:rsidR="00A7141D">
                    <w:rPr>
                      <w:noProof/>
                      <w:sz w:val="16"/>
                      <w:szCs w:val="16"/>
                      <w:lang w:val="en-GB"/>
                    </w:rPr>
                    <w:t xml:space="preserve"> </w:t>
                  </w:r>
                </w:p>
              </w:tc>
            </w:tr>
          </w:tbl>
          <w:p w14:paraId="5D00BB60" w14:textId="3A2080F3" w:rsidR="00D630F1" w:rsidRPr="00D91C9D" w:rsidRDefault="00D630F1" w:rsidP="00D630F1">
            <w:pPr>
              <w:jc w:val="both"/>
            </w:pPr>
          </w:p>
        </w:tc>
      </w:tr>
    </w:tbl>
    <w:p w14:paraId="63F2D0A9" w14:textId="77777777" w:rsidR="00902C96" w:rsidRDefault="00902C96" w:rsidP="007E5CA3">
      <w:pPr>
        <w:jc w:val="both"/>
      </w:pPr>
    </w:p>
    <w:p w14:paraId="1F54C685" w14:textId="73A57F22" w:rsidR="00B718BB" w:rsidRDefault="005B5C45" w:rsidP="007E5CA3">
      <w:pPr>
        <w:jc w:val="both"/>
        <w:rPr>
          <w:rFonts w:ascii="HelveticaNeueLT Std" w:hAnsi="HelveticaNeueLT Std" w:cs="Calibri"/>
          <w:color w:val="000000" w:themeColor="text1"/>
          <w:sz w:val="22"/>
          <w:szCs w:val="22"/>
        </w:rPr>
      </w:pPr>
      <w:r>
        <w:t>MDBs</w:t>
      </w:r>
      <w:r w:rsidR="00D6383C">
        <w:t>’</w:t>
      </w:r>
      <w:r>
        <w:t xml:space="preserve"> </w:t>
      </w:r>
      <w:r w:rsidR="00D6383C">
        <w:t xml:space="preserve">critical role </w:t>
      </w:r>
      <w:r w:rsidR="00993904">
        <w:t xml:space="preserve">in </w:t>
      </w:r>
      <w:r w:rsidR="00CA62B5">
        <w:t>fi</w:t>
      </w:r>
      <w:r w:rsidR="0092403E">
        <w:t xml:space="preserve">lling the climate and </w:t>
      </w:r>
      <w:r w:rsidR="00C55C75">
        <w:t xml:space="preserve">development </w:t>
      </w:r>
      <w:r w:rsidR="0092403E">
        <w:t xml:space="preserve">finance gap </w:t>
      </w:r>
      <w:r w:rsidR="00BF108B">
        <w:t xml:space="preserve">is </w:t>
      </w:r>
      <w:r w:rsidR="00403FEF">
        <w:t xml:space="preserve">also harmed by </w:t>
      </w:r>
      <w:r w:rsidR="00BF108B">
        <w:t xml:space="preserve">the </w:t>
      </w:r>
      <w:r w:rsidR="00C55C75">
        <w:t>application</w:t>
      </w:r>
      <w:r w:rsidR="00FE2106">
        <w:t xml:space="preserve"> </w:t>
      </w:r>
      <w:r w:rsidR="003D2497">
        <w:t>of country income thresholds for concessional loans and grants</w:t>
      </w:r>
      <w:r w:rsidR="00C22860">
        <w:t>.</w:t>
      </w:r>
      <w:r w:rsidR="00231EEA">
        <w:t xml:space="preserve"> </w:t>
      </w:r>
      <w:r w:rsidR="00517A8E">
        <w:t xml:space="preserve">Thresholds </w:t>
      </w:r>
      <w:r w:rsidR="00D52C38" w:rsidRPr="00D52C38">
        <w:t>mask different development realities and vulnerabilities a</w:t>
      </w:r>
      <w:r w:rsidR="0079688D">
        <w:t xml:space="preserve">cross </w:t>
      </w:r>
      <w:r w:rsidR="00D52C38" w:rsidRPr="00D52C38">
        <w:t>countries</w:t>
      </w:r>
      <w:r w:rsidR="00C22860">
        <w:t>.</w:t>
      </w:r>
      <w:r w:rsidR="00231EEA">
        <w:t xml:space="preserve"> </w:t>
      </w:r>
      <w:r w:rsidR="00C22860">
        <w:t>C</w:t>
      </w:r>
      <w:r w:rsidR="0083538F">
        <w:t xml:space="preserve">onsequently, </w:t>
      </w:r>
      <w:r w:rsidR="00DD4222">
        <w:t xml:space="preserve">many </w:t>
      </w:r>
      <w:r w:rsidR="00DD4222" w:rsidRPr="0079688D">
        <w:t>S</w:t>
      </w:r>
      <w:r w:rsidR="00DD4222">
        <w:t>mall Island Developing States (S</w:t>
      </w:r>
      <w:r w:rsidR="00DD4222" w:rsidRPr="0079688D">
        <w:t>IDS</w:t>
      </w:r>
      <w:r w:rsidR="00DD4222">
        <w:t xml:space="preserve">) and other </w:t>
      </w:r>
      <w:r w:rsidR="000D1070">
        <w:t>climate-vulnerable countries</w:t>
      </w:r>
      <w:r w:rsidR="00DD4222">
        <w:t xml:space="preserve"> </w:t>
      </w:r>
      <w:r w:rsidR="00784773">
        <w:t xml:space="preserve">with </w:t>
      </w:r>
      <w:r w:rsidR="005C3051" w:rsidRPr="0079688D">
        <w:t xml:space="preserve">high or </w:t>
      </w:r>
      <w:r w:rsidR="005C3051">
        <w:t>upper-</w:t>
      </w:r>
      <w:r w:rsidR="005C3051" w:rsidRPr="0079688D">
        <w:t xml:space="preserve">middle-income </w:t>
      </w:r>
      <w:r w:rsidR="005C3051">
        <w:t xml:space="preserve">status </w:t>
      </w:r>
      <w:r w:rsidR="00DD4222">
        <w:t xml:space="preserve">are </w:t>
      </w:r>
      <w:r w:rsidR="00C22860">
        <w:t>in</w:t>
      </w:r>
      <w:r w:rsidR="00DD4222">
        <w:t>eligible</w:t>
      </w:r>
      <w:r w:rsidR="000D1070">
        <w:t xml:space="preserve"> </w:t>
      </w:r>
      <w:r w:rsidR="00DF733E">
        <w:t>for</w:t>
      </w:r>
      <w:r w:rsidR="00DF733E" w:rsidRPr="0079688D">
        <w:t xml:space="preserve"> </w:t>
      </w:r>
      <w:r w:rsidR="008369BA" w:rsidRPr="0079688D">
        <w:t>concessional finance and grants</w:t>
      </w:r>
      <w:r w:rsidR="0079688D">
        <w:rPr>
          <w:rFonts w:ascii="HelveticaNeueLT Std" w:hAnsi="HelveticaNeueLT Std" w:cs="Calibri"/>
          <w:color w:val="000000" w:themeColor="text1"/>
          <w:sz w:val="22"/>
          <w:szCs w:val="22"/>
        </w:rPr>
        <w:t>.</w:t>
      </w:r>
    </w:p>
    <w:p w14:paraId="09EB44DD" w14:textId="4CEFB588" w:rsidR="009773FE" w:rsidRPr="00316B87" w:rsidRDefault="00265114" w:rsidP="005B3306">
      <w:pPr>
        <w:jc w:val="both"/>
      </w:pPr>
      <w:r>
        <w:t>T</w:t>
      </w:r>
      <w:r w:rsidR="000B1D66" w:rsidRPr="00316B87">
        <w:t>he International Monetary Fund</w:t>
      </w:r>
      <w:r w:rsidR="008853E5" w:rsidRPr="00316B87">
        <w:t xml:space="preserve"> </w:t>
      </w:r>
      <w:r w:rsidR="003035AA" w:rsidRPr="00316B87">
        <w:t xml:space="preserve">(IMF) </w:t>
      </w:r>
      <w:r w:rsidR="009743B6" w:rsidRPr="00316B87">
        <w:t xml:space="preserve">is </w:t>
      </w:r>
      <w:r>
        <w:t xml:space="preserve">also </w:t>
      </w:r>
      <w:r w:rsidR="009743B6" w:rsidRPr="00316B87">
        <w:t>a</w:t>
      </w:r>
      <w:r w:rsidR="00880ED7" w:rsidRPr="00316B87">
        <w:t>n important</w:t>
      </w:r>
      <w:r w:rsidR="009743B6" w:rsidRPr="00316B87">
        <w:t xml:space="preserve"> multilateral creditor</w:t>
      </w:r>
      <w:r w:rsidR="00124B8E">
        <w:t>.</w:t>
      </w:r>
      <w:r w:rsidR="008853E5" w:rsidRPr="00316B87">
        <w:t xml:space="preserve"> </w:t>
      </w:r>
      <w:r w:rsidR="00124B8E">
        <w:t>I</w:t>
      </w:r>
      <w:r w:rsidR="00A51CD8">
        <w:t>ts</w:t>
      </w:r>
      <w:r w:rsidR="005F4C95" w:rsidRPr="00316B87">
        <w:t xml:space="preserve"> primary function is </w:t>
      </w:r>
      <w:r w:rsidR="0054108C" w:rsidRPr="00316B87">
        <w:t xml:space="preserve">to </w:t>
      </w:r>
      <w:r w:rsidR="005F4C95" w:rsidRPr="00316B87">
        <w:t xml:space="preserve">provide </w:t>
      </w:r>
      <w:r w:rsidR="00344258" w:rsidRPr="00316B87">
        <w:t xml:space="preserve">external liquidity to </w:t>
      </w:r>
      <w:r w:rsidR="00E37A8B" w:rsidRPr="00316B87">
        <w:t>countries facing ex</w:t>
      </w:r>
      <w:r w:rsidR="00344258" w:rsidRPr="00316B87">
        <w:t>ogenous shock</w:t>
      </w:r>
      <w:r w:rsidR="0054108C" w:rsidRPr="00316B87">
        <w:t>s</w:t>
      </w:r>
      <w:r w:rsidR="00403FEF">
        <w:t xml:space="preserve">, </w:t>
      </w:r>
      <w:r>
        <w:t>assisting them</w:t>
      </w:r>
      <w:r w:rsidR="00B3306E" w:rsidRPr="00316B87">
        <w:t xml:space="preserve"> </w:t>
      </w:r>
      <w:r w:rsidR="00124B8E">
        <w:t>in</w:t>
      </w:r>
      <w:r w:rsidR="00B3306E" w:rsidRPr="00316B87">
        <w:t xml:space="preserve"> restor</w:t>
      </w:r>
      <w:r w:rsidR="00124B8E">
        <w:t>ing</w:t>
      </w:r>
      <w:r w:rsidR="00B3306E" w:rsidRPr="00316B87">
        <w:t xml:space="preserve"> economic stability and growth</w:t>
      </w:r>
      <w:r w:rsidR="0089047F">
        <w:t>. This</w:t>
      </w:r>
      <w:r w:rsidR="00717DF4" w:rsidRPr="00316B87">
        <w:t xml:space="preserve"> is critical for </w:t>
      </w:r>
      <w:r w:rsidR="00BD7981" w:rsidRPr="00316B87">
        <w:t>sustainable development</w:t>
      </w:r>
      <w:r w:rsidR="00D45B95" w:rsidRPr="00316B87">
        <w:t>.</w:t>
      </w:r>
      <w:r w:rsidR="008E320A" w:rsidRPr="00316B87">
        <w:t xml:space="preserve"> </w:t>
      </w:r>
    </w:p>
    <w:p w14:paraId="424B4C5F" w14:textId="6F758C49" w:rsidR="00C1580E" w:rsidRDefault="00217476" w:rsidP="003133BC">
      <w:pPr>
        <w:jc w:val="both"/>
      </w:pPr>
      <w:r>
        <w:t>In this countercyclical role</w:t>
      </w:r>
      <w:r w:rsidR="00220867">
        <w:t>,</w:t>
      </w:r>
      <w:r w:rsidR="0027116F" w:rsidRPr="00084557">
        <w:t xml:space="preserve"> IMF financial support </w:t>
      </w:r>
      <w:r w:rsidR="00403FEF">
        <w:t>is</w:t>
      </w:r>
      <w:r w:rsidR="00BB0FFE" w:rsidRPr="00084557">
        <w:t xml:space="preserve"> </w:t>
      </w:r>
      <w:r w:rsidR="00F8604C" w:rsidRPr="00084557">
        <w:t xml:space="preserve">complementary to </w:t>
      </w:r>
      <w:r w:rsidR="00127AFD" w:rsidRPr="00084557">
        <w:t>development finance</w:t>
      </w:r>
      <w:r w:rsidR="005E49DD">
        <w:t xml:space="preserve">, </w:t>
      </w:r>
      <w:r w:rsidR="00127AFD" w:rsidRPr="00084557">
        <w:t xml:space="preserve">particularly in </w:t>
      </w:r>
      <w:r w:rsidR="0064559B" w:rsidRPr="00084557">
        <w:t>t</w:t>
      </w:r>
      <w:r w:rsidR="00CE3756" w:rsidRPr="00084557">
        <w:t>wo cases</w:t>
      </w:r>
      <w:r w:rsidR="00265114">
        <w:t>:</w:t>
      </w:r>
      <w:r w:rsidR="00265114" w:rsidRPr="00084557">
        <w:t xml:space="preserve"> </w:t>
      </w:r>
    </w:p>
    <w:p w14:paraId="1AAEA6FB" w14:textId="0F44A8EA" w:rsidR="00C1580E" w:rsidRDefault="00C55C75" w:rsidP="00C1580E">
      <w:pPr>
        <w:pStyle w:val="ListParagraph"/>
        <w:numPr>
          <w:ilvl w:val="0"/>
          <w:numId w:val="2"/>
        </w:numPr>
        <w:jc w:val="both"/>
      </w:pPr>
      <w:r>
        <w:t>C</w:t>
      </w:r>
      <w:r w:rsidR="00C54834" w:rsidRPr="00084557">
        <w:t xml:space="preserve">oncessional facilities </w:t>
      </w:r>
      <w:r w:rsidR="00B35A24" w:rsidRPr="00084557">
        <w:t>under the Poverty Reduction and Growth Trust (PRGT)</w:t>
      </w:r>
      <w:r w:rsidR="005B3306" w:rsidRPr="00084557">
        <w:t xml:space="preserve"> </w:t>
      </w:r>
      <w:r w:rsidR="00CE3756" w:rsidRPr="00084557">
        <w:t xml:space="preserve">that </w:t>
      </w:r>
      <w:r w:rsidR="006C7A88" w:rsidRPr="00084557">
        <w:t xml:space="preserve">currently </w:t>
      </w:r>
      <w:r w:rsidR="00CE3756" w:rsidRPr="00084557">
        <w:t>offer interest-f</w:t>
      </w:r>
      <w:r w:rsidR="002D4DD8" w:rsidRPr="00084557">
        <w:t>re</w:t>
      </w:r>
      <w:r w:rsidR="00CE3756" w:rsidRPr="00084557">
        <w:t>e loans</w:t>
      </w:r>
      <w:r w:rsidR="00696B31" w:rsidRPr="00084557">
        <w:t xml:space="preserve"> </w:t>
      </w:r>
      <w:r w:rsidR="00265114">
        <w:t>a</w:t>
      </w:r>
      <w:r>
        <w:t>nd</w:t>
      </w:r>
      <w:r w:rsidR="00265114" w:rsidRPr="00084557">
        <w:t xml:space="preserve"> </w:t>
      </w:r>
      <w:r w:rsidR="00265114">
        <w:t>were responsible for</w:t>
      </w:r>
      <w:r w:rsidR="00696B31" w:rsidRPr="00084557">
        <w:t xml:space="preserve"> </w:t>
      </w:r>
      <w:r w:rsidR="003175F8" w:rsidRPr="00084557">
        <w:t xml:space="preserve">8 per cent </w:t>
      </w:r>
      <w:r w:rsidR="00696B31" w:rsidRPr="00084557">
        <w:t xml:space="preserve">of total IMF commitments as of </w:t>
      </w:r>
      <w:r w:rsidR="009E2BE1">
        <w:t>July</w:t>
      </w:r>
      <w:r w:rsidR="00696B31" w:rsidRPr="00084557">
        <w:t xml:space="preserve"> 2024</w:t>
      </w:r>
      <w:r w:rsidR="00F95466" w:rsidRPr="00437DF7">
        <w:rPr>
          <w:vertAlign w:val="superscript"/>
        </w:rPr>
        <w:footnoteReference w:id="2"/>
      </w:r>
      <w:r w:rsidR="00265114">
        <w:t xml:space="preserve">; </w:t>
      </w:r>
    </w:p>
    <w:p w14:paraId="34D3C03D" w14:textId="6B3A1C3F" w:rsidR="00893DDB" w:rsidRDefault="00C1580E" w:rsidP="00B81D07">
      <w:pPr>
        <w:pStyle w:val="ListParagraph"/>
        <w:numPr>
          <w:ilvl w:val="0"/>
          <w:numId w:val="2"/>
        </w:numPr>
        <w:jc w:val="both"/>
      </w:pPr>
      <w:r>
        <w:t>T</w:t>
      </w:r>
      <w:r w:rsidR="00CE3756" w:rsidRPr="00084557">
        <w:t xml:space="preserve">he </w:t>
      </w:r>
      <w:r w:rsidR="00265114" w:rsidRPr="00084557">
        <w:t>Resilien</w:t>
      </w:r>
      <w:r w:rsidR="00265114">
        <w:t>ce</w:t>
      </w:r>
      <w:r w:rsidR="00265114" w:rsidRPr="00084557">
        <w:t xml:space="preserve"> </w:t>
      </w:r>
      <w:r w:rsidR="00DF7F5D" w:rsidRPr="00084557">
        <w:t>and Stability Trust</w:t>
      </w:r>
      <w:r w:rsidR="00AA1962" w:rsidRPr="00084557">
        <w:t xml:space="preserve"> (RST)</w:t>
      </w:r>
      <w:r w:rsidR="007B5B55" w:rsidRPr="00084557">
        <w:t xml:space="preserve"> </w:t>
      </w:r>
      <w:r w:rsidR="007B4BA7" w:rsidRPr="00084557">
        <w:t xml:space="preserve">that </w:t>
      </w:r>
      <w:r w:rsidR="00E61C3F" w:rsidRPr="00084557">
        <w:t>provide</w:t>
      </w:r>
      <w:r w:rsidR="00956F22">
        <w:t>s</w:t>
      </w:r>
      <w:r w:rsidR="00E61C3F" w:rsidRPr="00084557">
        <w:t xml:space="preserve"> affordable and longer-term financing to low-income and vulnerable middle-income countries</w:t>
      </w:r>
      <w:r w:rsidR="00456283" w:rsidRPr="00084557">
        <w:t xml:space="preserve"> facing </w:t>
      </w:r>
      <w:r w:rsidR="00E61C3F" w:rsidRPr="00084557">
        <w:t>longer-term challenges</w:t>
      </w:r>
      <w:r w:rsidR="00BC00DD">
        <w:t xml:space="preserve">, </w:t>
      </w:r>
      <w:r w:rsidR="00CB49CB">
        <w:t xml:space="preserve">funded through </w:t>
      </w:r>
      <w:r w:rsidR="00FA5AAD">
        <w:t>rechanneled</w:t>
      </w:r>
      <w:r w:rsidR="000B075E">
        <w:t xml:space="preserve"> </w:t>
      </w:r>
      <w:r w:rsidR="00CB49CB">
        <w:t>unused Special Drawing Rights</w:t>
      </w:r>
      <w:r w:rsidR="00BC00DD">
        <w:t xml:space="preserve"> </w:t>
      </w:r>
      <w:r w:rsidR="00CB49CB">
        <w:t>(SDRs</w:t>
      </w:r>
      <w:r w:rsidR="00E7518C">
        <w:t>)</w:t>
      </w:r>
      <w:r w:rsidR="00E61C3F" w:rsidRPr="00084557">
        <w:t>.</w:t>
      </w:r>
      <w:r w:rsidR="0050320A" w:rsidRPr="00084557">
        <w:t xml:space="preserve"> </w:t>
      </w:r>
      <w:r w:rsidR="00CD5CF6">
        <w:t xml:space="preserve"> </w:t>
      </w:r>
      <w:r w:rsidR="008E5029">
        <w:t>T</w:t>
      </w:r>
      <w:r w:rsidR="00794642" w:rsidRPr="00C1580E">
        <w:t>he amount</w:t>
      </w:r>
      <w:r w:rsidR="001B7924">
        <w:t>s</w:t>
      </w:r>
      <w:r w:rsidR="00794642" w:rsidRPr="00C1580E">
        <w:t xml:space="preserve"> received by developing countries through the RST </w:t>
      </w:r>
      <w:r>
        <w:t xml:space="preserve">by July 2024 </w:t>
      </w:r>
      <w:r w:rsidR="00794642" w:rsidRPr="00C1580E">
        <w:t>was US$2.8 billion, less than 3</w:t>
      </w:r>
      <w:r w:rsidR="00667632" w:rsidRPr="00C1580E">
        <w:t xml:space="preserve"> per cent</w:t>
      </w:r>
      <w:r w:rsidR="00794642" w:rsidRPr="00C1580E">
        <w:t xml:space="preserve"> of the total commitments </w:t>
      </w:r>
      <w:r>
        <w:t xml:space="preserve">of </w:t>
      </w:r>
      <w:r w:rsidR="00794642" w:rsidRPr="00C1580E">
        <w:t>US$108.7 billion</w:t>
      </w:r>
      <w:r w:rsidR="00F95466">
        <w:rPr>
          <w:rStyle w:val="FootnoteReference"/>
        </w:rPr>
        <w:footnoteReference w:id="3"/>
      </w:r>
      <w:r>
        <w:t xml:space="preserve">.  </w:t>
      </w:r>
      <w:r w:rsidR="000B49AD" w:rsidRPr="00084557">
        <w:t>Moreover,</w:t>
      </w:r>
      <w:r w:rsidR="00481DE9" w:rsidRPr="00084557">
        <w:t xml:space="preserve"> RST financing </w:t>
      </w:r>
      <w:r w:rsidR="00961C4A">
        <w:t>is offered at</w:t>
      </w:r>
      <w:r w:rsidR="00961C4A" w:rsidRPr="00084557">
        <w:t xml:space="preserve"> </w:t>
      </w:r>
      <w:r w:rsidR="00E65417">
        <w:t xml:space="preserve">the SDR </w:t>
      </w:r>
      <w:r w:rsidR="00F50C46" w:rsidRPr="00084557">
        <w:t>interest rate</w:t>
      </w:r>
      <w:r w:rsidR="00E65417">
        <w:t>, which</w:t>
      </w:r>
      <w:r w:rsidR="00B76669">
        <w:t xml:space="preserve"> is</w:t>
      </w:r>
      <w:r w:rsidR="007246FA" w:rsidRPr="00084557">
        <w:t xml:space="preserve"> </w:t>
      </w:r>
      <w:r w:rsidR="000B075E">
        <w:t>aligned</w:t>
      </w:r>
      <w:r w:rsidR="007246FA" w:rsidRPr="00084557">
        <w:t xml:space="preserve"> to the monetary policy stance in developed countries</w:t>
      </w:r>
      <w:r w:rsidR="00893DDB">
        <w:t xml:space="preserve">. </w:t>
      </w:r>
    </w:p>
    <w:p w14:paraId="5600FC6B" w14:textId="72F4FA2D" w:rsidR="00624463" w:rsidRDefault="008C0902" w:rsidP="003133BC">
      <w:pPr>
        <w:jc w:val="both"/>
      </w:pPr>
      <w:r w:rsidRPr="00084557">
        <w:t xml:space="preserve">IMF </w:t>
      </w:r>
      <w:r w:rsidR="00F00A36" w:rsidRPr="00084557">
        <w:t xml:space="preserve">non-concessional </w:t>
      </w:r>
      <w:r w:rsidR="00152D9C" w:rsidRPr="00084557">
        <w:t xml:space="preserve">lending facilities </w:t>
      </w:r>
      <w:r w:rsidRPr="00084557">
        <w:t xml:space="preserve">under the General Resources Account </w:t>
      </w:r>
      <w:r w:rsidR="0089047F">
        <w:t>(GRA)</w:t>
      </w:r>
      <w:r w:rsidR="00C1580E">
        <w:t xml:space="preserve"> </w:t>
      </w:r>
      <w:r w:rsidR="00603885">
        <w:t>represented</w:t>
      </w:r>
      <w:r w:rsidR="007043FC">
        <w:t xml:space="preserve"> 92 per cent of total IMF commitments </w:t>
      </w:r>
      <w:r w:rsidR="00603885">
        <w:t>in</w:t>
      </w:r>
      <w:r w:rsidR="007043FC">
        <w:t xml:space="preserve"> July 2024</w:t>
      </w:r>
      <w:r w:rsidR="00603885">
        <w:t>.  C</w:t>
      </w:r>
      <w:r w:rsidR="007043FC">
        <w:t xml:space="preserve">ountries </w:t>
      </w:r>
      <w:r w:rsidR="00603885">
        <w:t xml:space="preserve">using this facility </w:t>
      </w:r>
      <w:r w:rsidR="007043FC">
        <w:t>pay additional charges and, in some cases, surcharges</w:t>
      </w:r>
      <w:r w:rsidR="00F61C3B">
        <w:t>,</w:t>
      </w:r>
      <w:r w:rsidR="007043FC">
        <w:t xml:space="preserve"> in addition to the SDR interest rate</w:t>
      </w:r>
      <w:r w:rsidR="00202093">
        <w:t xml:space="preserve">. </w:t>
      </w:r>
    </w:p>
    <w:p w14:paraId="69314ADB" w14:textId="4C1DD52E" w:rsidR="00624463" w:rsidRPr="0005135B" w:rsidRDefault="009B554A" w:rsidP="00624463">
      <w:pPr>
        <w:jc w:val="both"/>
      </w:pPr>
      <w:r>
        <w:t>S</w:t>
      </w:r>
      <w:r w:rsidR="00FC3BF9" w:rsidRPr="0005135B">
        <w:t>urcharges were established in 1997</w:t>
      </w:r>
      <w:r w:rsidR="00F61C3B">
        <w:t xml:space="preserve"> to</w:t>
      </w:r>
      <w:r w:rsidR="0089047F" w:rsidRPr="0005135B">
        <w:t xml:space="preserve"> discourag</w:t>
      </w:r>
      <w:r w:rsidR="00F61C3B">
        <w:t>e</w:t>
      </w:r>
      <w:r w:rsidR="00FC3BF9" w:rsidRPr="0005135B">
        <w:t xml:space="preserve"> large and prolonged use of IMF resources. </w:t>
      </w:r>
      <w:r w:rsidR="00603885">
        <w:t xml:space="preserve"> </w:t>
      </w:r>
      <w:r w:rsidR="00D6213E">
        <w:t>However, the current surcharge policy is putting</w:t>
      </w:r>
      <w:r w:rsidR="00D6213E" w:rsidRPr="00D6213E">
        <w:rPr>
          <w:lang w:val="en-GB"/>
        </w:rPr>
        <w:t xml:space="preserve"> </w:t>
      </w:r>
      <w:r w:rsidR="00D6213E">
        <w:rPr>
          <w:lang w:val="en-GB"/>
        </w:rPr>
        <w:t xml:space="preserve">significant </w:t>
      </w:r>
      <w:r w:rsidR="00D6213E" w:rsidRPr="00D6213E">
        <w:rPr>
          <w:lang w:val="en-GB"/>
        </w:rPr>
        <w:t>pressure on financially distressed countrie</w:t>
      </w:r>
      <w:r w:rsidR="00D6213E">
        <w:rPr>
          <w:lang w:val="en-GB"/>
        </w:rPr>
        <w:t xml:space="preserve">s. </w:t>
      </w:r>
      <w:r w:rsidR="00D74C28" w:rsidRPr="0005135B">
        <w:t>Since 2017, the</w:t>
      </w:r>
      <w:r w:rsidR="00CA6DDC">
        <w:t xml:space="preserve"> GRA</w:t>
      </w:r>
      <w:r w:rsidR="00D74C28" w:rsidRPr="0005135B">
        <w:t xml:space="preserve"> outstanding balance has increased from US$54</w:t>
      </w:r>
      <w:r w:rsidR="0089047F" w:rsidRPr="0005135B">
        <w:t xml:space="preserve"> billion</w:t>
      </w:r>
      <w:r w:rsidR="00D74C28" w:rsidRPr="0005135B">
        <w:t xml:space="preserve"> to </w:t>
      </w:r>
      <w:r w:rsidR="0089047F" w:rsidRPr="0005135B">
        <w:t>US$</w:t>
      </w:r>
      <w:r w:rsidR="00D74C28" w:rsidRPr="0005135B">
        <w:t xml:space="preserve">121 billion, with the number of </w:t>
      </w:r>
      <w:r w:rsidR="006B7EF9">
        <w:t xml:space="preserve">GRA </w:t>
      </w:r>
      <w:r w:rsidR="00D74C28" w:rsidRPr="0005135B">
        <w:t>countries rising from 28 to 52</w:t>
      </w:r>
      <w:r w:rsidR="00A07351">
        <w:t xml:space="preserve"> and </w:t>
      </w:r>
      <w:r w:rsidR="002756E0">
        <w:t xml:space="preserve">those </w:t>
      </w:r>
      <w:r w:rsidR="00892AFF" w:rsidRPr="0005135B">
        <w:t>subject to surcharges</w:t>
      </w:r>
      <w:r w:rsidR="00723C02">
        <w:t xml:space="preserve"> </w:t>
      </w:r>
      <w:r w:rsidR="00892AFF" w:rsidRPr="0005135B">
        <w:t>from 8 to 19</w:t>
      </w:r>
      <w:r w:rsidR="00985371">
        <w:t xml:space="preserve"> </w:t>
      </w:r>
      <w:r w:rsidR="00494330" w:rsidRPr="0005135B">
        <w:t>(</w:t>
      </w:r>
      <w:r w:rsidR="0089047F" w:rsidRPr="0005135B">
        <w:t>F</w:t>
      </w:r>
      <w:r w:rsidR="00494330" w:rsidRPr="0005135B">
        <w:t xml:space="preserve">igure </w:t>
      </w:r>
      <w:r w:rsidR="00EC5283" w:rsidRPr="0005135B">
        <w:t>5</w:t>
      </w:r>
      <w:r w:rsidR="00494330" w:rsidRPr="0005135B">
        <w:t>).</w:t>
      </w:r>
      <w:r w:rsidR="00035A42" w:rsidRPr="0005135B">
        <w:t xml:space="preserve"> </w:t>
      </w:r>
      <w:r w:rsidR="00624463" w:rsidRPr="0005135B">
        <w:t>Between 2020 to 2024, the</w:t>
      </w:r>
      <w:r w:rsidR="007A3B92" w:rsidRPr="0005135B">
        <w:t>se</w:t>
      </w:r>
      <w:r w:rsidR="00702C8E">
        <w:t xml:space="preserve"> </w:t>
      </w:r>
      <w:r w:rsidR="00624463" w:rsidRPr="0005135B">
        <w:lastRenderedPageBreak/>
        <w:t xml:space="preserve">countries </w:t>
      </w:r>
      <w:r w:rsidR="00BC3998">
        <w:t>owed</w:t>
      </w:r>
      <w:r w:rsidR="00BC3998" w:rsidRPr="0005135B">
        <w:t xml:space="preserve"> 87</w:t>
      </w:r>
      <w:r w:rsidR="006A1537">
        <w:t xml:space="preserve"> per cent </w:t>
      </w:r>
      <w:r w:rsidR="00BC3998" w:rsidRPr="0005135B">
        <w:t xml:space="preserve">of the GRA outstanding balance </w:t>
      </w:r>
      <w:r w:rsidR="00BC3998">
        <w:t xml:space="preserve">and </w:t>
      </w:r>
      <w:r w:rsidR="00624463" w:rsidRPr="0005135B">
        <w:t xml:space="preserve">paid around US$8 billion in surcharges, which </w:t>
      </w:r>
      <w:r w:rsidR="00624463">
        <w:t>undermine</w:t>
      </w:r>
      <w:r w:rsidR="00624463" w:rsidRPr="0005135B">
        <w:t>s</w:t>
      </w:r>
      <w:r w:rsidR="00624463">
        <w:t xml:space="preserve"> their capacity to </w:t>
      </w:r>
      <w:r w:rsidR="00624463" w:rsidRPr="00A800C7">
        <w:t>restore economic stability and growth</w:t>
      </w:r>
      <w:r w:rsidR="00624463">
        <w:t>.</w:t>
      </w:r>
      <w:r w:rsidR="00624463" w:rsidRPr="0005135B">
        <w:t xml:space="preserve"> </w:t>
      </w:r>
    </w:p>
    <w:p w14:paraId="6BDA3C34" w14:textId="255E3FC3" w:rsidR="00EC27F8" w:rsidRDefault="00EC27F8" w:rsidP="00EC27F8">
      <w:pPr>
        <w:pStyle w:val="paragraph"/>
        <w:spacing w:before="0" w:beforeAutospacing="0" w:after="0" w:afterAutospacing="0"/>
        <w:textAlignment w:val="baseline"/>
        <w:rPr>
          <w:rFonts w:ascii="Segoe UI" w:hAnsi="Segoe UI" w:cs="Segoe UI"/>
          <w:color w:val="000000"/>
          <w:sz w:val="18"/>
          <w:szCs w:val="18"/>
        </w:rPr>
      </w:pPr>
      <w:r>
        <w:rPr>
          <w:rStyle w:val="normaltextrun"/>
          <w:rFonts w:ascii="Roboto" w:eastAsiaTheme="majorEastAsia" w:hAnsi="Roboto" w:cs="Segoe UI"/>
          <w:b/>
          <w:bCs/>
          <w:color w:val="000000"/>
          <w:sz w:val="22"/>
          <w:szCs w:val="22"/>
        </w:rPr>
        <w:t>Figure 5. IMF GRA lending is concentrated on its largest borrowers</w:t>
      </w:r>
      <w:r>
        <w:rPr>
          <w:rStyle w:val="eop"/>
          <w:rFonts w:ascii="Roboto" w:eastAsiaTheme="majorEastAsia" w:hAnsi="Roboto" w:cs="Segoe UI"/>
          <w:color w:val="000000"/>
          <w:sz w:val="22"/>
          <w:szCs w:val="22"/>
        </w:rPr>
        <w:t> </w:t>
      </w:r>
    </w:p>
    <w:p w14:paraId="2E447574" w14:textId="2F881210" w:rsidR="00EC27F8" w:rsidRDefault="00EC27F8" w:rsidP="00EC27F8">
      <w:pPr>
        <w:pStyle w:val="paragraph"/>
        <w:spacing w:before="0" w:beforeAutospacing="0" w:after="0" w:afterAutospacing="0"/>
        <w:textAlignment w:val="baseline"/>
        <w:rPr>
          <w:rFonts w:ascii="Segoe UI" w:hAnsi="Segoe UI" w:cs="Segoe UI"/>
          <w:sz w:val="18"/>
          <w:szCs w:val="18"/>
        </w:rPr>
      </w:pPr>
      <w:r>
        <w:rPr>
          <w:rStyle w:val="normaltextrun"/>
          <w:rFonts w:ascii="Roboto" w:eastAsiaTheme="majorEastAsia" w:hAnsi="Roboto" w:cs="Segoe UI"/>
          <w:sz w:val="22"/>
          <w:szCs w:val="22"/>
        </w:rPr>
        <w:t>Distribution of GRA lending by quota</w:t>
      </w:r>
      <w:r>
        <w:rPr>
          <w:rStyle w:val="eop"/>
          <w:rFonts w:ascii="Roboto" w:eastAsiaTheme="majorEastAsia" w:hAnsi="Roboto" w:cs="Segoe UI"/>
          <w:sz w:val="22"/>
          <w:szCs w:val="22"/>
        </w:rPr>
        <w:t> </w:t>
      </w:r>
    </w:p>
    <w:p w14:paraId="135A9F9C" w14:textId="77777777" w:rsidR="00EC27F8" w:rsidRDefault="00EC27F8" w:rsidP="00EC27F8">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149D3505" wp14:editId="6E07CBF8">
            <wp:extent cx="5810250" cy="3371850"/>
            <wp:effectExtent l="0" t="0" r="0" b="0"/>
            <wp:docPr id="1"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circle with white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0250" cy="3371850"/>
                    </a:xfrm>
                    <a:prstGeom prst="rect">
                      <a:avLst/>
                    </a:prstGeom>
                    <a:noFill/>
                    <a:ln>
                      <a:noFill/>
                    </a:ln>
                  </pic:spPr>
                </pic:pic>
              </a:graphicData>
            </a:graphic>
          </wp:inline>
        </w:drawing>
      </w:r>
      <w:r>
        <w:rPr>
          <w:rStyle w:val="eop"/>
          <w:rFonts w:ascii="Roboto" w:eastAsiaTheme="majorEastAsia" w:hAnsi="Roboto" w:cs="Segoe UI"/>
          <w:sz w:val="22"/>
          <w:szCs w:val="22"/>
        </w:rPr>
        <w:t> </w:t>
      </w:r>
    </w:p>
    <w:p w14:paraId="16A9ED8E" w14:textId="77777777" w:rsidR="00EC27F8" w:rsidRDefault="00EC27F8" w:rsidP="00EC27F8">
      <w:pPr>
        <w:pStyle w:val="paragraph"/>
        <w:spacing w:before="0" w:beforeAutospacing="0" w:after="0" w:afterAutospacing="0"/>
        <w:textAlignment w:val="baseline"/>
        <w:rPr>
          <w:rFonts w:ascii="Segoe UI" w:hAnsi="Segoe UI" w:cs="Segoe UI"/>
          <w:sz w:val="18"/>
          <w:szCs w:val="18"/>
        </w:rPr>
      </w:pPr>
      <w:r>
        <w:rPr>
          <w:rStyle w:val="normaltextrun"/>
          <w:rFonts w:ascii="Roboto" w:eastAsiaTheme="majorEastAsia" w:hAnsi="Roboto" w:cs="Segoe UI"/>
          <w:i/>
          <w:iCs/>
          <w:color w:val="808080"/>
          <w:sz w:val="21"/>
          <w:szCs w:val="21"/>
        </w:rPr>
        <w:t xml:space="preserve">Note: </w:t>
      </w:r>
      <w:r>
        <w:rPr>
          <w:rStyle w:val="normaltextrun"/>
          <w:rFonts w:ascii="Roboto" w:eastAsiaTheme="majorEastAsia" w:hAnsi="Roboto" w:cs="Segoe UI"/>
          <w:color w:val="808080"/>
          <w:sz w:val="21"/>
          <w:szCs w:val="21"/>
        </w:rPr>
        <w:t>Data as of September 2024. </w:t>
      </w:r>
      <w:r>
        <w:rPr>
          <w:rStyle w:val="eop"/>
          <w:rFonts w:ascii="Roboto" w:eastAsiaTheme="majorEastAsia" w:hAnsi="Roboto" w:cs="Segoe UI"/>
          <w:color w:val="808080"/>
          <w:sz w:val="21"/>
          <w:szCs w:val="21"/>
        </w:rPr>
        <w:t> </w:t>
      </w:r>
    </w:p>
    <w:p w14:paraId="100B17D0" w14:textId="77777777" w:rsidR="00EC27F8" w:rsidRDefault="00EC27F8" w:rsidP="00EC27F8">
      <w:pPr>
        <w:pStyle w:val="paragraph"/>
        <w:spacing w:before="0" w:beforeAutospacing="0" w:after="0" w:afterAutospacing="0"/>
        <w:textAlignment w:val="baseline"/>
        <w:rPr>
          <w:rFonts w:ascii="Segoe UI" w:hAnsi="Segoe UI" w:cs="Segoe UI"/>
          <w:sz w:val="18"/>
          <w:szCs w:val="18"/>
        </w:rPr>
      </w:pPr>
      <w:r>
        <w:rPr>
          <w:rStyle w:val="normaltextrun"/>
          <w:rFonts w:ascii="Roboto" w:eastAsiaTheme="majorEastAsia" w:hAnsi="Roboto" w:cs="Segoe UI"/>
          <w:i/>
          <w:iCs/>
          <w:color w:val="808080"/>
          <w:sz w:val="21"/>
          <w:szCs w:val="21"/>
        </w:rPr>
        <w:t>Source:</w:t>
      </w:r>
      <w:r>
        <w:rPr>
          <w:rStyle w:val="normaltextrun"/>
          <w:rFonts w:ascii="Roboto" w:eastAsiaTheme="majorEastAsia" w:hAnsi="Roboto" w:cs="Segoe UI"/>
          <w:color w:val="808080"/>
          <w:sz w:val="21"/>
          <w:szCs w:val="21"/>
        </w:rPr>
        <w:t xml:space="preserve"> UN GCRG – technical team calculations based on IMF data.</w:t>
      </w:r>
      <w:r>
        <w:rPr>
          <w:rStyle w:val="eop"/>
          <w:rFonts w:ascii="Roboto" w:eastAsiaTheme="majorEastAsia" w:hAnsi="Roboto" w:cs="Segoe UI"/>
          <w:color w:val="808080"/>
          <w:sz w:val="21"/>
          <w:szCs w:val="21"/>
        </w:rPr>
        <w:t> </w:t>
      </w:r>
    </w:p>
    <w:p w14:paraId="7BF5F77F" w14:textId="77777777" w:rsidR="00EC27F8" w:rsidRDefault="00EC27F8" w:rsidP="003133BC">
      <w:pPr>
        <w:jc w:val="both"/>
        <w:rPr>
          <w:rStyle w:val="normaltextrun"/>
          <w:rFonts w:ascii="Roboto" w:hAnsi="Roboto"/>
          <w:color w:val="000000"/>
          <w:sz w:val="22"/>
          <w:szCs w:val="22"/>
          <w:shd w:val="clear" w:color="auto" w:fill="FFFFFF"/>
        </w:rPr>
      </w:pPr>
    </w:p>
    <w:p w14:paraId="05E09A76" w14:textId="1F185E77" w:rsidR="00CB4BEF" w:rsidRPr="00EE518C" w:rsidRDefault="002976AB" w:rsidP="003133BC">
      <w:pPr>
        <w:jc w:val="both"/>
        <w:rPr>
          <w:b/>
          <w:bCs/>
        </w:rPr>
      </w:pPr>
      <w:r>
        <w:rPr>
          <w:b/>
          <w:bCs/>
        </w:rPr>
        <w:t>A PROPOSED APPROACH</w:t>
      </w:r>
    </w:p>
    <w:p w14:paraId="5CCEF9BE" w14:textId="68B0F742" w:rsidR="00BA12B0" w:rsidRPr="00BA12B0" w:rsidRDefault="00BA12B0" w:rsidP="00BA12B0">
      <w:pPr>
        <w:jc w:val="both"/>
      </w:pPr>
      <w:r>
        <w:t xml:space="preserve">The AAAA </w:t>
      </w:r>
      <w:r w:rsidR="000B5106">
        <w:t xml:space="preserve">calls for </w:t>
      </w:r>
      <w:r w:rsidR="00F02700">
        <w:t xml:space="preserve">MDBs </w:t>
      </w:r>
      <w:r w:rsidRPr="00BA12B0">
        <w:t xml:space="preserve">to adapt and be fully responsive to the sustainable development agenda. </w:t>
      </w:r>
      <w:r w:rsidR="007043FC">
        <w:t xml:space="preserve">Even </w:t>
      </w:r>
      <w:r w:rsidR="004874D6">
        <w:t xml:space="preserve">though </w:t>
      </w:r>
      <w:r w:rsidR="00F02700">
        <w:t xml:space="preserve">they </w:t>
      </w:r>
      <w:r w:rsidR="0064162C">
        <w:t>ha</w:t>
      </w:r>
      <w:r w:rsidR="00671602">
        <w:t>ve</w:t>
      </w:r>
      <w:r w:rsidR="0064162C">
        <w:t xml:space="preserve"> increased their net transfer</w:t>
      </w:r>
      <w:r w:rsidR="00671602">
        <w:t>s to developing countries</w:t>
      </w:r>
      <w:r w:rsidR="00BE461E">
        <w:t xml:space="preserve"> </w:t>
      </w:r>
      <w:r w:rsidR="00990CA1">
        <w:t>during</w:t>
      </w:r>
      <w:r w:rsidR="00BE461E">
        <w:t xml:space="preserve"> crises</w:t>
      </w:r>
      <w:r w:rsidR="00DC2B5E">
        <w:t xml:space="preserve">, </w:t>
      </w:r>
      <w:r w:rsidR="00C633D2">
        <w:t>the</w:t>
      </w:r>
      <w:r w:rsidR="007A3B92">
        <w:t>ir</w:t>
      </w:r>
      <w:r w:rsidR="00C633D2">
        <w:t xml:space="preserve"> efforts are still short of what is required</w:t>
      </w:r>
      <w:r w:rsidR="000F27D0">
        <w:t xml:space="preserve">. </w:t>
      </w:r>
    </w:p>
    <w:p w14:paraId="3C29FCFD" w14:textId="7A305D63" w:rsidR="00944291" w:rsidRDefault="00BE461E" w:rsidP="00944291">
      <w:pPr>
        <w:jc w:val="both"/>
      </w:pPr>
      <w:r>
        <w:t xml:space="preserve">To </w:t>
      </w:r>
      <w:r w:rsidR="00D16475">
        <w:t xml:space="preserve">address </w:t>
      </w:r>
      <w:r>
        <w:t xml:space="preserve">this implementation gap, it is </w:t>
      </w:r>
      <w:r w:rsidR="0038758D">
        <w:t>crucial</w:t>
      </w:r>
      <w:r w:rsidR="00944291">
        <w:t xml:space="preserve"> to </w:t>
      </w:r>
      <w:r w:rsidR="00102341">
        <w:t xml:space="preserve">boost </w:t>
      </w:r>
      <w:r>
        <w:t>MDBs</w:t>
      </w:r>
      <w:r w:rsidR="008C1954">
        <w:t>’</w:t>
      </w:r>
      <w:r w:rsidR="00944291" w:rsidRPr="00843AF2">
        <w:t xml:space="preserve"> </w:t>
      </w:r>
      <w:r>
        <w:t xml:space="preserve">lending </w:t>
      </w:r>
      <w:r w:rsidR="00944291" w:rsidRPr="00843AF2">
        <w:t>capacity</w:t>
      </w:r>
      <w:r w:rsidR="00944291">
        <w:t xml:space="preserve"> </w:t>
      </w:r>
      <w:r w:rsidR="00944291" w:rsidRPr="00843AF2">
        <w:rPr>
          <w:lang w:val="en-AU"/>
        </w:rPr>
        <w:t xml:space="preserve">while </w:t>
      </w:r>
      <w:r w:rsidR="00944291" w:rsidRPr="00843AF2">
        <w:rPr>
          <w:lang w:val="en-IE"/>
        </w:rPr>
        <w:t xml:space="preserve">safeguarding their </w:t>
      </w:r>
      <w:r w:rsidR="00944291" w:rsidRPr="00843AF2">
        <w:t>robust credit rating and preferred creditor status</w:t>
      </w:r>
      <w:r w:rsidR="00944291">
        <w:t xml:space="preserve">. </w:t>
      </w:r>
      <w:r w:rsidR="00C633D2">
        <w:t>T</w:t>
      </w:r>
      <w:r w:rsidR="00C633D2" w:rsidRPr="00843AF2">
        <w:t xml:space="preserve">he </w:t>
      </w:r>
      <w:r w:rsidR="00A01F77">
        <w:t xml:space="preserve">G20 </w:t>
      </w:r>
      <w:r w:rsidR="00944291">
        <w:t>work on the capital adequacy framework (</w:t>
      </w:r>
      <w:r w:rsidR="00944291" w:rsidRPr="00843AF2">
        <w:t>CAF</w:t>
      </w:r>
      <w:r w:rsidR="00944291">
        <w:t xml:space="preserve">) </w:t>
      </w:r>
      <w:r w:rsidR="00944291" w:rsidRPr="00843AF2">
        <w:t>has</w:t>
      </w:r>
      <w:r w:rsidR="00E519C6">
        <w:t xml:space="preserve"> </w:t>
      </w:r>
      <w:r w:rsidR="00C633D2">
        <w:t>unlock</w:t>
      </w:r>
      <w:r w:rsidR="007C7B1A">
        <w:t>ed</w:t>
      </w:r>
      <w:r w:rsidR="001F7223">
        <w:t xml:space="preserve"> </w:t>
      </w:r>
      <w:r w:rsidR="00944291" w:rsidRPr="00AA69E9">
        <w:t xml:space="preserve">around $215 billion in lending headroom across </w:t>
      </w:r>
      <w:r w:rsidR="00C633D2">
        <w:t>r</w:t>
      </w:r>
      <w:r w:rsidR="00944291" w:rsidRPr="00AA69E9">
        <w:t>eporting MDBs</w:t>
      </w:r>
      <w:r w:rsidR="00C633D2">
        <w:t>.  This</w:t>
      </w:r>
      <w:r w:rsidR="00944291">
        <w:t xml:space="preserve"> could increase to</w:t>
      </w:r>
      <w:r w:rsidR="00944291" w:rsidRPr="00AA69E9">
        <w:t xml:space="preserve"> </w:t>
      </w:r>
      <w:r w:rsidR="00944291">
        <w:t>US</w:t>
      </w:r>
      <w:r w:rsidR="00944291" w:rsidRPr="00AA69E9">
        <w:t xml:space="preserve">$300-400 billion across the major MDBs over </w:t>
      </w:r>
      <w:r w:rsidR="00C633D2">
        <w:t xml:space="preserve">the next </w:t>
      </w:r>
      <w:r w:rsidR="00944291" w:rsidRPr="00AA69E9">
        <w:t>10 years.</w:t>
      </w:r>
      <w:r w:rsidR="007043FC">
        <w:t xml:space="preserve"> </w:t>
      </w:r>
      <w:r w:rsidR="00944291">
        <w:t>However, shareholder</w:t>
      </w:r>
      <w:r w:rsidR="00F63C62">
        <w:t xml:space="preserve"> </w:t>
      </w:r>
      <w:r w:rsidR="00944291">
        <w:t xml:space="preserve">requirements that MDBs maintain AAA credit ratings from three global rating agencies impose unnecessary constraints on their lending </w:t>
      </w:r>
      <w:r w:rsidR="004B2098">
        <w:t>and do little to lower funding costs</w:t>
      </w:r>
      <w:r w:rsidR="0089047F">
        <w:t>.</w:t>
      </w:r>
      <w:r w:rsidR="00944291">
        <w:t xml:space="preserve">  An analysis of the average lending spreads of countries with A ratings indicates </w:t>
      </w:r>
      <w:r w:rsidR="00D93E47">
        <w:t xml:space="preserve">a tiny </w:t>
      </w:r>
      <w:r w:rsidR="00944291">
        <w:t>benefit to AAA ratings relative to other A-category ratings</w:t>
      </w:r>
      <w:r w:rsidR="00935395">
        <w:rPr>
          <w:rStyle w:val="FootnoteReference"/>
        </w:rPr>
        <w:footnoteReference w:id="4"/>
      </w:r>
      <w:r w:rsidR="00944291">
        <w:t xml:space="preserve">.  According to </w:t>
      </w:r>
      <w:r w:rsidR="00C44A82">
        <w:t>the I</w:t>
      </w:r>
      <w:r w:rsidR="00C44A82" w:rsidRPr="00C44A82">
        <w:t>ndependent Review of</w:t>
      </w:r>
      <w:r w:rsidR="00F02700">
        <w:t xml:space="preserve"> MDBs</w:t>
      </w:r>
      <w:r w:rsidR="00C44A82" w:rsidRPr="00C44A82">
        <w:t xml:space="preserve">’ </w:t>
      </w:r>
      <w:r w:rsidR="00C44A82" w:rsidRPr="00C44A82">
        <w:lastRenderedPageBreak/>
        <w:t>C</w:t>
      </w:r>
      <w:r w:rsidR="004D7E8B">
        <w:t xml:space="preserve">apital Adequacy </w:t>
      </w:r>
      <w:r w:rsidR="00D93E47">
        <w:t>F</w:t>
      </w:r>
      <w:r w:rsidR="004D7E8B">
        <w:t>rameworks</w:t>
      </w:r>
      <w:r w:rsidR="00C44A82">
        <w:t xml:space="preserve"> </w:t>
      </w:r>
      <w:r w:rsidR="00944291">
        <w:t>commissioned by the</w:t>
      </w:r>
      <w:r w:rsidR="00C44A82">
        <w:t xml:space="preserve"> G20</w:t>
      </w:r>
      <w:r w:rsidR="00944291">
        <w:t>, a more flexible shareholder approach to credit ratings could enabl</w:t>
      </w:r>
      <w:r w:rsidR="00F63C62">
        <w:t xml:space="preserve">e </w:t>
      </w:r>
      <w:r w:rsidR="00984A03">
        <w:t xml:space="preserve">some </w:t>
      </w:r>
      <w:r w:rsidR="00F63C62">
        <w:t>MDBs</w:t>
      </w:r>
      <w:r w:rsidR="00944291">
        <w:t xml:space="preserve"> </w:t>
      </w:r>
      <w:r w:rsidR="00B97A02">
        <w:t>to almost</w:t>
      </w:r>
      <w:r w:rsidR="00D80EE0">
        <w:t xml:space="preserve"> </w:t>
      </w:r>
      <w:r w:rsidR="00C633D2">
        <w:t>double their loan</w:t>
      </w:r>
      <w:r w:rsidR="00BB2965">
        <w:t>s</w:t>
      </w:r>
      <w:r w:rsidR="00944291" w:rsidRPr="00E14C6E">
        <w:t>.</w:t>
      </w:r>
      <w:r w:rsidR="00944291">
        <w:t xml:space="preserve">  </w:t>
      </w:r>
    </w:p>
    <w:p w14:paraId="4AAB77FB" w14:textId="59926282" w:rsidR="0025143A" w:rsidRDefault="004F4AA6" w:rsidP="00BF1981">
      <w:pPr>
        <w:jc w:val="both"/>
      </w:pPr>
      <w:r>
        <w:t xml:space="preserve">MDB’s lending capacity </w:t>
      </w:r>
      <w:r w:rsidR="0079187B">
        <w:t xml:space="preserve">could </w:t>
      </w:r>
      <w:r w:rsidR="007F1910">
        <w:t xml:space="preserve">be boosted through shareholders' </w:t>
      </w:r>
      <w:proofErr w:type="spellStart"/>
      <w:r w:rsidR="007F1910">
        <w:t>capitalisation</w:t>
      </w:r>
      <w:proofErr w:type="spellEnd"/>
      <w:r w:rsidR="000E21D1">
        <w:t xml:space="preserve"> and </w:t>
      </w:r>
      <w:r w:rsidR="00911A71">
        <w:t>SD</w:t>
      </w:r>
      <w:r w:rsidR="009A4218">
        <w:t xml:space="preserve">R </w:t>
      </w:r>
      <w:proofErr w:type="spellStart"/>
      <w:r w:rsidR="000E21D1">
        <w:t>r</w:t>
      </w:r>
      <w:r w:rsidR="00944291" w:rsidRPr="002D1DCB">
        <w:t>echannelling</w:t>
      </w:r>
      <w:proofErr w:type="spellEnd"/>
      <w:r w:rsidR="00E653D3">
        <w:t xml:space="preserve"> </w:t>
      </w:r>
      <w:r w:rsidR="00933050">
        <w:t xml:space="preserve">by prescribed MDB holders </w:t>
      </w:r>
      <w:r w:rsidR="00E653D3">
        <w:t>through using SDRs to acquire</w:t>
      </w:r>
      <w:r w:rsidR="00E653D3" w:rsidRPr="000A6B2F">
        <w:t xml:space="preserve"> hybrid capital instruments</w:t>
      </w:r>
      <w:r w:rsidR="0079187B">
        <w:t xml:space="preserve">. </w:t>
      </w:r>
      <w:r w:rsidR="00907C98">
        <w:t>I</w:t>
      </w:r>
      <w:r w:rsidR="002A477F">
        <w:t xml:space="preserve">n </w:t>
      </w:r>
      <w:r w:rsidR="00944291">
        <w:t>May 2024</w:t>
      </w:r>
      <w:r w:rsidR="00516FAE">
        <w:t>,</w:t>
      </w:r>
      <w:r w:rsidR="00944291">
        <w:t xml:space="preserve"> </w:t>
      </w:r>
      <w:r w:rsidR="00944291" w:rsidRPr="000A6B2F">
        <w:t>the IMF’s Executive Board</w:t>
      </w:r>
      <w:r w:rsidR="00944291">
        <w:t xml:space="preserve"> </w:t>
      </w:r>
      <w:r w:rsidR="00516FAE">
        <w:t xml:space="preserve">approved </w:t>
      </w:r>
      <w:r w:rsidR="00CB0F11">
        <w:t xml:space="preserve">this use of </w:t>
      </w:r>
      <w:r w:rsidR="00907C98">
        <w:t>SDRs up to a</w:t>
      </w:r>
      <w:r w:rsidR="00944291" w:rsidRPr="000A6B2F">
        <w:t xml:space="preserve"> cumulative limit of </w:t>
      </w:r>
      <w:r w:rsidR="00944291">
        <w:t>around US$20 billion</w:t>
      </w:r>
      <w:r w:rsidR="00A1320B">
        <w:t>, which,</w:t>
      </w:r>
      <w:r w:rsidR="00907C98">
        <w:t xml:space="preserve"> </w:t>
      </w:r>
      <w:r w:rsidR="00A1320B">
        <w:t>o</w:t>
      </w:r>
      <w:r w:rsidR="00907C98">
        <w:t xml:space="preserve">nce implemented, </w:t>
      </w:r>
      <w:r w:rsidR="006C279B">
        <w:t>could leverage</w:t>
      </w:r>
      <w:r w:rsidR="00944291">
        <w:t xml:space="preserve"> additional </w:t>
      </w:r>
      <w:r w:rsidR="00B10ED4">
        <w:t xml:space="preserve">financing </w:t>
      </w:r>
      <w:r w:rsidR="00907C98">
        <w:t xml:space="preserve">for </w:t>
      </w:r>
      <w:r w:rsidR="00944291">
        <w:t xml:space="preserve">developing countries.  </w:t>
      </w:r>
      <w:r w:rsidR="00621B49">
        <w:t xml:space="preserve"> MDBs c</w:t>
      </w:r>
      <w:r w:rsidR="005E1D62">
        <w:t>ould</w:t>
      </w:r>
      <w:r w:rsidR="00621B49">
        <w:t xml:space="preserve"> also sca</w:t>
      </w:r>
      <w:r w:rsidR="001A2947">
        <w:t>le</w:t>
      </w:r>
      <w:r w:rsidR="00621B49">
        <w:t xml:space="preserve"> up </w:t>
      </w:r>
      <w:r w:rsidR="00621B49" w:rsidRPr="0009109F">
        <w:rPr>
          <w:lang w:val="en-GB"/>
        </w:rPr>
        <w:t>catalytic investment</w:t>
      </w:r>
      <w:r w:rsidR="005E1D62">
        <w:rPr>
          <w:lang w:val="en-GB"/>
        </w:rPr>
        <w:t xml:space="preserve">s </w:t>
      </w:r>
      <w:r w:rsidR="00132FD4">
        <w:rPr>
          <w:lang w:val="en-GB"/>
        </w:rPr>
        <w:t>in</w:t>
      </w:r>
      <w:r w:rsidR="00132FD4" w:rsidRPr="0009109F">
        <w:rPr>
          <w:lang w:val="en-GB"/>
        </w:rPr>
        <w:t xml:space="preserve"> </w:t>
      </w:r>
      <w:r w:rsidR="00132FD4">
        <w:rPr>
          <w:lang w:val="en-GB"/>
        </w:rPr>
        <w:t xml:space="preserve">SDG-related </w:t>
      </w:r>
      <w:r w:rsidR="00132FD4" w:rsidRPr="0009109F">
        <w:rPr>
          <w:lang w:val="en-GB"/>
        </w:rPr>
        <w:t>projects</w:t>
      </w:r>
      <w:r w:rsidR="00132FD4">
        <w:rPr>
          <w:lang w:val="en-GB"/>
        </w:rPr>
        <w:t xml:space="preserve"> </w:t>
      </w:r>
      <w:r w:rsidR="005E1D62">
        <w:rPr>
          <w:lang w:val="en-GB"/>
        </w:rPr>
        <w:t xml:space="preserve">by </w:t>
      </w:r>
      <w:r w:rsidR="005E1D62" w:rsidRPr="0009109F">
        <w:rPr>
          <w:lang w:val="en-GB"/>
        </w:rPr>
        <w:t>provid</w:t>
      </w:r>
      <w:r w:rsidR="005E1D62">
        <w:rPr>
          <w:lang w:val="en-GB"/>
        </w:rPr>
        <w:t>ing</w:t>
      </w:r>
      <w:r w:rsidR="005E1D62" w:rsidRPr="0009109F">
        <w:rPr>
          <w:lang w:val="en-GB"/>
        </w:rPr>
        <w:t xml:space="preserve"> credit enhancements and guarantees</w:t>
      </w:r>
      <w:r w:rsidR="005E1D62">
        <w:rPr>
          <w:lang w:val="en-GB"/>
        </w:rPr>
        <w:t>.</w:t>
      </w:r>
    </w:p>
    <w:p w14:paraId="08C37AC4" w14:textId="5FD9FB94" w:rsidR="0049765F" w:rsidRDefault="00CD6226" w:rsidP="00907C98">
      <w:pPr>
        <w:jc w:val="both"/>
      </w:pPr>
      <w:r>
        <w:t>N</w:t>
      </w:r>
      <w:r w:rsidR="00486FC4">
        <w:t xml:space="preserve">ew eligibility criteria for determining access to MDB loans (such as the UN Multidimensional Vulnerability Index) </w:t>
      </w:r>
      <w:r w:rsidR="006C279B">
        <w:t>could</w:t>
      </w:r>
      <w:r>
        <w:t xml:space="preserve"> increase </w:t>
      </w:r>
      <w:r w:rsidRPr="00D01A4A">
        <w:t>developing countries</w:t>
      </w:r>
      <w:r>
        <w:t xml:space="preserve">’ access to </w:t>
      </w:r>
      <w:r w:rsidRPr="00D01A4A">
        <w:t>development finance</w:t>
      </w:r>
      <w:r w:rsidR="00486FC4">
        <w:t xml:space="preserve">. Reversing the trend of shortening maturities and addressing the procyclicality of non-concessional financing </w:t>
      </w:r>
      <w:r w:rsidR="00F55791">
        <w:t>charges</w:t>
      </w:r>
      <w:r w:rsidR="00486FC4">
        <w:t xml:space="preserve"> are also</w:t>
      </w:r>
      <w:r w:rsidR="00FE6F0E">
        <w:t xml:space="preserve"> essential</w:t>
      </w:r>
      <w:r w:rsidR="002D382C">
        <w:t>.</w:t>
      </w:r>
    </w:p>
    <w:p w14:paraId="433049D2" w14:textId="12E68D0E" w:rsidR="001348BE" w:rsidRDefault="00907C98" w:rsidP="000F429E">
      <w:pPr>
        <w:jc w:val="both"/>
      </w:pPr>
      <w:r>
        <w:t>The</w:t>
      </w:r>
      <w:r w:rsidR="002530F2">
        <w:t xml:space="preserve"> </w:t>
      </w:r>
      <w:r w:rsidR="002D37C3">
        <w:t xml:space="preserve">IMF’s </w:t>
      </w:r>
      <w:r w:rsidR="00D267BB">
        <w:t xml:space="preserve">capacity </w:t>
      </w:r>
      <w:r w:rsidR="002D382C">
        <w:t xml:space="preserve">to </w:t>
      </w:r>
      <w:r w:rsidR="00F55791">
        <w:t xml:space="preserve">complement development finance </w:t>
      </w:r>
      <w:r w:rsidR="000E6E84">
        <w:t xml:space="preserve">could </w:t>
      </w:r>
      <w:r w:rsidR="00BB4BCC">
        <w:t>be boosted</w:t>
      </w:r>
      <w:r w:rsidR="00A027A7">
        <w:t xml:space="preserve"> </w:t>
      </w:r>
      <w:r w:rsidR="00C70DD8">
        <w:t xml:space="preserve">through many channels, such as </w:t>
      </w:r>
      <w:r w:rsidR="00A027A7">
        <w:t>increas</w:t>
      </w:r>
      <w:r w:rsidR="002C303D">
        <w:t>ing</w:t>
      </w:r>
      <w:r w:rsidR="00A027A7">
        <w:t xml:space="preserve"> </w:t>
      </w:r>
      <w:r w:rsidR="0097486F">
        <w:t>PRGT</w:t>
      </w:r>
      <w:r w:rsidR="0094070F">
        <w:t xml:space="preserve"> </w:t>
      </w:r>
      <w:r w:rsidR="00817632">
        <w:t>resources</w:t>
      </w:r>
      <w:r w:rsidR="002D37C3">
        <w:t xml:space="preserve"> (including through SDR rechanneling</w:t>
      </w:r>
      <w:r w:rsidR="00F479FC">
        <w:t xml:space="preserve">, </w:t>
      </w:r>
      <w:r w:rsidR="00F479FC" w:rsidRPr="0009109F">
        <w:rPr>
          <w:lang w:val="en-GB"/>
        </w:rPr>
        <w:t>replenishing the PRGT subsidy account</w:t>
      </w:r>
      <w:r w:rsidR="00C70DD8">
        <w:t xml:space="preserve"> and </w:t>
      </w:r>
      <w:r w:rsidR="00C70DD8" w:rsidRPr="0009109F">
        <w:rPr>
          <w:lang w:val="en-GB"/>
        </w:rPr>
        <w:t>distributi</w:t>
      </w:r>
      <w:r w:rsidR="007A7339">
        <w:rPr>
          <w:lang w:val="en-GB"/>
        </w:rPr>
        <w:t>ng</w:t>
      </w:r>
      <w:r w:rsidR="00C70DD8" w:rsidRPr="0009109F">
        <w:rPr>
          <w:lang w:val="en-GB"/>
        </w:rPr>
        <w:t xml:space="preserve"> GRA reserves</w:t>
      </w:r>
      <w:r w:rsidR="002D37C3">
        <w:t>)</w:t>
      </w:r>
      <w:r w:rsidR="00D80EE0">
        <w:t xml:space="preserve">, </w:t>
      </w:r>
      <w:r w:rsidR="00D37050">
        <w:t xml:space="preserve">accelerating </w:t>
      </w:r>
      <w:r w:rsidR="00E31D42">
        <w:t>RST</w:t>
      </w:r>
      <w:r w:rsidR="000703C9">
        <w:t xml:space="preserve"> </w:t>
      </w:r>
      <w:r w:rsidR="00FD3BC2">
        <w:t>disbursement</w:t>
      </w:r>
      <w:r w:rsidR="00AC2218">
        <w:t>s</w:t>
      </w:r>
      <w:r w:rsidR="00083E34">
        <w:t xml:space="preserve"> and</w:t>
      </w:r>
      <w:r w:rsidR="001B515A">
        <w:t xml:space="preserve"> reviewing </w:t>
      </w:r>
      <w:r w:rsidR="001B515A" w:rsidRPr="0009109F">
        <w:rPr>
          <w:lang w:val="en-GB"/>
        </w:rPr>
        <w:t>the quota formula</w:t>
      </w:r>
      <w:r w:rsidR="001B515A">
        <w:rPr>
          <w:lang w:val="en-GB"/>
        </w:rPr>
        <w:t xml:space="preserve"> in the 17</w:t>
      </w:r>
      <w:r w:rsidR="001B515A" w:rsidRPr="006F18EE">
        <w:rPr>
          <w:vertAlign w:val="superscript"/>
          <w:lang w:val="en-GB"/>
        </w:rPr>
        <w:t>th</w:t>
      </w:r>
      <w:r w:rsidR="001B515A">
        <w:rPr>
          <w:lang w:val="en-GB"/>
        </w:rPr>
        <w:t xml:space="preserve"> </w:t>
      </w:r>
      <w:r w:rsidR="001B515A" w:rsidRPr="0009109F">
        <w:rPr>
          <w:lang w:val="en-GB"/>
        </w:rPr>
        <w:t>General Review of Quotas</w:t>
      </w:r>
      <w:r w:rsidR="00083E34">
        <w:rPr>
          <w:lang w:val="en-GB"/>
        </w:rPr>
        <w:t xml:space="preserve">. Regarding </w:t>
      </w:r>
      <w:r w:rsidR="00110F56">
        <w:t>IMF lending costs</w:t>
      </w:r>
      <w:r w:rsidR="00875A42">
        <w:t>’ procyclicalit</w:t>
      </w:r>
      <w:r w:rsidR="00083E34">
        <w:t>y, a</w:t>
      </w:r>
      <w:r w:rsidR="00291239">
        <w:t>lthough a</w:t>
      </w:r>
      <w:r w:rsidR="0001155C">
        <w:t xml:space="preserve"> </w:t>
      </w:r>
      <w:r w:rsidR="00C029C8">
        <w:t>reform of the surcharges</w:t>
      </w:r>
      <w:r w:rsidR="00EF0D35">
        <w:t xml:space="preserve"> policy </w:t>
      </w:r>
      <w:r w:rsidR="00F4396B">
        <w:t>may be announced shortl</w:t>
      </w:r>
      <w:r w:rsidR="00085A6C">
        <w:t>y</w:t>
      </w:r>
      <w:r w:rsidR="00291239">
        <w:t xml:space="preserve">, </w:t>
      </w:r>
      <w:r w:rsidR="00F4396B">
        <w:t xml:space="preserve">it is also </w:t>
      </w:r>
      <w:r w:rsidR="00085A6C">
        <w:t xml:space="preserve">crucial </w:t>
      </w:r>
      <w:r w:rsidR="00F4396B">
        <w:t xml:space="preserve">to </w:t>
      </w:r>
      <w:r w:rsidR="00B21B79">
        <w:t>reassess</w:t>
      </w:r>
      <w:r w:rsidR="00F4396B">
        <w:t xml:space="preserve"> the</w:t>
      </w:r>
      <w:r w:rsidR="00F76BD7">
        <w:t xml:space="preserve"> </w:t>
      </w:r>
      <w:r w:rsidR="003200C6">
        <w:t xml:space="preserve">other components </w:t>
      </w:r>
      <w:r w:rsidR="00A05AF0">
        <w:t xml:space="preserve">of </w:t>
      </w:r>
      <w:r w:rsidR="00094EF3">
        <w:t xml:space="preserve">these </w:t>
      </w:r>
      <w:r w:rsidR="00A05AF0">
        <w:t>costs</w:t>
      </w:r>
      <w:r w:rsidR="003200C6">
        <w:t xml:space="preserve"> that are also procyclical. </w:t>
      </w:r>
    </w:p>
    <w:p w14:paraId="38EBB4E2" w14:textId="46D6E3C7" w:rsidR="004A54E5" w:rsidRDefault="008A2FE2" w:rsidP="003133BC">
      <w:pPr>
        <w:jc w:val="both"/>
      </w:pPr>
      <w:r w:rsidRPr="008A2FE2">
        <w:rPr>
          <w:b/>
          <w:bCs/>
        </w:rPr>
        <w:t>CONCLUSION</w:t>
      </w:r>
    </w:p>
    <w:p w14:paraId="1A2B5DB2" w14:textId="6A22FC67" w:rsidR="009A3309" w:rsidRPr="007E1149" w:rsidRDefault="00F06B6E" w:rsidP="003133BC">
      <w:pPr>
        <w:jc w:val="both"/>
      </w:pPr>
      <w:r>
        <w:t xml:space="preserve">Since the AAAA, </w:t>
      </w:r>
      <w:r w:rsidR="004D1DD6">
        <w:t>developing countries' developing and climate finance need</w:t>
      </w:r>
      <w:r>
        <w:t>s ha</w:t>
      </w:r>
      <w:r w:rsidR="00F462B1">
        <w:t>ve</w:t>
      </w:r>
      <w:r>
        <w:t xml:space="preserve"> </w:t>
      </w:r>
      <w:r w:rsidR="00F462B1">
        <w:t xml:space="preserve">soared. </w:t>
      </w:r>
      <w:r w:rsidR="00A4684D">
        <w:t>S</w:t>
      </w:r>
      <w:r w:rsidR="00B436A1">
        <w:t>caling up the provision of official multilateral credit</w:t>
      </w:r>
      <w:r w:rsidR="00F462B1">
        <w:t xml:space="preserve"> is even more critical </w:t>
      </w:r>
      <w:r w:rsidR="00E81CB7">
        <w:t xml:space="preserve">on the eve of the FfD4 </w:t>
      </w:r>
      <w:r w:rsidR="00F462B1">
        <w:t>and</w:t>
      </w:r>
      <w:r w:rsidR="00E81CB7">
        <w:t xml:space="preserve"> will </w:t>
      </w:r>
      <w:r w:rsidR="00AD2100">
        <w:t xml:space="preserve">require </w:t>
      </w:r>
      <w:r w:rsidR="005511E7">
        <w:t xml:space="preserve">concerted </w:t>
      </w:r>
      <w:r w:rsidR="00AD2100">
        <w:t xml:space="preserve">action across a broad front </w:t>
      </w:r>
      <w:r w:rsidR="005511E7">
        <w:t xml:space="preserve">of </w:t>
      </w:r>
      <w:r w:rsidR="00AD2100">
        <w:t>institutions</w:t>
      </w:r>
      <w:r w:rsidR="001044A8">
        <w:t xml:space="preserve">. This </w:t>
      </w:r>
      <w:r w:rsidR="009C2BA4">
        <w:t>need</w:t>
      </w:r>
      <w:r>
        <w:t xml:space="preserve">s </w:t>
      </w:r>
      <w:r w:rsidR="009C2BA4">
        <w:t xml:space="preserve">to be </w:t>
      </w:r>
      <w:r w:rsidR="0067468D">
        <w:t>combined with</w:t>
      </w:r>
      <w:r w:rsidR="000E0574">
        <w:t xml:space="preserve"> improving </w:t>
      </w:r>
      <w:r w:rsidR="003C284D">
        <w:t>the</w:t>
      </w:r>
      <w:r w:rsidR="007D2AC2">
        <w:t xml:space="preserve"> terms </w:t>
      </w:r>
      <w:r w:rsidR="003C284D">
        <w:t>of such credit</w:t>
      </w:r>
      <w:r w:rsidR="000E0574">
        <w:t>.</w:t>
      </w:r>
    </w:p>
    <w:sectPr w:rsidR="009A3309" w:rsidRPr="007E11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7FC64" w14:textId="77777777" w:rsidR="00B037F0" w:rsidRDefault="00B037F0" w:rsidP="003133BC">
      <w:pPr>
        <w:spacing w:after="0" w:line="240" w:lineRule="auto"/>
      </w:pPr>
      <w:r>
        <w:separator/>
      </w:r>
    </w:p>
  </w:endnote>
  <w:endnote w:type="continuationSeparator" w:id="0">
    <w:p w14:paraId="4CF607B6" w14:textId="77777777" w:rsidR="00B037F0" w:rsidRDefault="00B037F0" w:rsidP="0031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0453D" w14:textId="77777777" w:rsidR="00B037F0" w:rsidRDefault="00B037F0" w:rsidP="003133BC">
      <w:pPr>
        <w:spacing w:after="0" w:line="240" w:lineRule="auto"/>
      </w:pPr>
      <w:r>
        <w:separator/>
      </w:r>
    </w:p>
  </w:footnote>
  <w:footnote w:type="continuationSeparator" w:id="0">
    <w:p w14:paraId="1E9ECC7E" w14:textId="77777777" w:rsidR="00B037F0" w:rsidRDefault="00B037F0" w:rsidP="003133BC">
      <w:pPr>
        <w:spacing w:after="0" w:line="240" w:lineRule="auto"/>
      </w:pPr>
      <w:r>
        <w:continuationSeparator/>
      </w:r>
    </w:p>
  </w:footnote>
  <w:footnote w:id="1">
    <w:p w14:paraId="580D2D4C" w14:textId="04456CBF" w:rsidR="004E4B53" w:rsidRPr="00755A32" w:rsidRDefault="004E4B53" w:rsidP="00B5793D">
      <w:pPr>
        <w:pStyle w:val="FootnoteText"/>
        <w:ind w:left="0" w:firstLine="0"/>
        <w:rPr>
          <w:rFonts w:asciiTheme="minorHAnsi" w:hAnsiTheme="minorHAnsi"/>
          <w:lang w:val="en-US"/>
        </w:rPr>
      </w:pPr>
      <w:r w:rsidRPr="00755A32">
        <w:rPr>
          <w:rStyle w:val="FootnoteReference"/>
          <w:rFonts w:asciiTheme="minorHAnsi" w:hAnsiTheme="minorHAnsi"/>
        </w:rPr>
        <w:footnoteRef/>
      </w:r>
      <w:r w:rsidRPr="00755A32">
        <w:rPr>
          <w:rFonts w:asciiTheme="minorHAnsi" w:hAnsiTheme="minorHAnsi"/>
        </w:rPr>
        <w:t xml:space="preserve"> </w:t>
      </w:r>
      <w:r w:rsidRPr="00755A32">
        <w:rPr>
          <w:rFonts w:asciiTheme="minorHAnsi" w:hAnsiTheme="minorHAnsi"/>
          <w:lang w:val="en-US"/>
        </w:rPr>
        <w:t>Th</w:t>
      </w:r>
      <w:r w:rsidR="004011AB">
        <w:rPr>
          <w:rFonts w:asciiTheme="minorHAnsi" w:hAnsiTheme="minorHAnsi"/>
          <w:lang w:val="en-US"/>
        </w:rPr>
        <w:t>ese</w:t>
      </w:r>
      <w:r w:rsidRPr="00755A32">
        <w:rPr>
          <w:rFonts w:asciiTheme="minorHAnsi" w:hAnsiTheme="minorHAnsi"/>
          <w:lang w:val="en-US"/>
        </w:rPr>
        <w:t xml:space="preserve"> flows also included </w:t>
      </w:r>
      <w:r w:rsidR="00755A32" w:rsidRPr="00755A32">
        <w:rPr>
          <w:rFonts w:asciiTheme="minorHAnsi" w:hAnsiTheme="minorHAnsi"/>
          <w:lang w:val="en-US"/>
        </w:rPr>
        <w:t xml:space="preserve">net transfers from </w:t>
      </w:r>
      <w:r w:rsidRPr="00755A32">
        <w:rPr>
          <w:rFonts w:asciiTheme="minorHAnsi" w:hAnsiTheme="minorHAnsi"/>
          <w:lang w:val="en-US"/>
        </w:rPr>
        <w:t xml:space="preserve">regional </w:t>
      </w:r>
      <w:r w:rsidR="00B5793D">
        <w:rPr>
          <w:rFonts w:asciiTheme="minorHAnsi" w:hAnsiTheme="minorHAnsi"/>
          <w:lang w:val="en-US"/>
        </w:rPr>
        <w:t xml:space="preserve">and sub-regional </w:t>
      </w:r>
      <w:r w:rsidRPr="00755A32">
        <w:rPr>
          <w:rFonts w:asciiTheme="minorHAnsi" w:hAnsiTheme="minorHAnsi"/>
          <w:lang w:val="en-US"/>
        </w:rPr>
        <w:t xml:space="preserve">development banks </w:t>
      </w:r>
      <w:r w:rsidR="00755A32" w:rsidRPr="00755A32">
        <w:rPr>
          <w:rFonts w:asciiTheme="minorHAnsi" w:hAnsiTheme="minorHAnsi"/>
          <w:lang w:val="en-US"/>
        </w:rPr>
        <w:t>and the IMF.</w:t>
      </w:r>
    </w:p>
  </w:footnote>
  <w:footnote w:id="2">
    <w:p w14:paraId="1E9E4599" w14:textId="77777777" w:rsidR="00F95466" w:rsidRPr="00447B44" w:rsidRDefault="00F95466" w:rsidP="00F95466">
      <w:pPr>
        <w:pStyle w:val="FootnoteText"/>
        <w:rPr>
          <w:rFonts w:asciiTheme="minorHAnsi" w:hAnsiTheme="minorHAnsi"/>
        </w:rPr>
      </w:pPr>
      <w:r w:rsidRPr="00447B44">
        <w:rPr>
          <w:rStyle w:val="FootnoteReference"/>
          <w:rFonts w:asciiTheme="minorHAnsi" w:hAnsiTheme="minorHAnsi"/>
        </w:rPr>
        <w:footnoteRef/>
      </w:r>
      <w:r w:rsidRPr="00447B44">
        <w:rPr>
          <w:rFonts w:asciiTheme="minorHAnsi" w:hAnsiTheme="minorHAnsi"/>
        </w:rPr>
        <w:t xml:space="preserve"> IMF, </w:t>
      </w:r>
      <w:r w:rsidRPr="00447B44">
        <w:rPr>
          <w:rFonts w:asciiTheme="minorHAnsi" w:hAnsiTheme="minorHAnsi"/>
          <w:i/>
          <w:iCs/>
        </w:rPr>
        <w:t>Weekly Report on Key Financial Statistics</w:t>
      </w:r>
      <w:r w:rsidRPr="00447B44">
        <w:rPr>
          <w:rFonts w:asciiTheme="minorHAnsi" w:hAnsiTheme="minorHAnsi"/>
        </w:rPr>
        <w:t>, 30</w:t>
      </w:r>
      <w:r>
        <w:rPr>
          <w:rFonts w:asciiTheme="minorHAnsi" w:hAnsiTheme="minorHAnsi"/>
        </w:rPr>
        <w:t xml:space="preserve"> July</w:t>
      </w:r>
      <w:r w:rsidRPr="00447B44">
        <w:rPr>
          <w:rFonts w:asciiTheme="minorHAnsi" w:hAnsiTheme="minorHAnsi"/>
        </w:rPr>
        <w:t xml:space="preserve"> 2024. </w:t>
      </w:r>
    </w:p>
  </w:footnote>
  <w:footnote w:id="3">
    <w:p w14:paraId="033EAC62" w14:textId="12681B1E" w:rsidR="00F95466" w:rsidRPr="00F95466" w:rsidRDefault="00F95466">
      <w:pPr>
        <w:pStyle w:val="FootnoteText"/>
      </w:pPr>
      <w:r>
        <w:rPr>
          <w:rStyle w:val="FootnoteReference"/>
        </w:rPr>
        <w:footnoteRef/>
      </w:r>
      <w:r>
        <w:t xml:space="preserve"> UN</w:t>
      </w:r>
      <w:r w:rsidR="005F5D7C">
        <w:t xml:space="preserve"> Trade and Development</w:t>
      </w:r>
      <w:r>
        <w:t xml:space="preserve"> secretariat calculations.</w:t>
      </w:r>
    </w:p>
  </w:footnote>
  <w:footnote w:id="4">
    <w:p w14:paraId="36A90E18" w14:textId="38D07AC4" w:rsidR="00DA0CAF" w:rsidRPr="00C100C4" w:rsidRDefault="00935395" w:rsidP="004A3661">
      <w:pPr>
        <w:pStyle w:val="FootnoteText"/>
        <w:ind w:left="0" w:firstLine="0"/>
        <w:rPr>
          <w:lang w:val="en-US"/>
        </w:rPr>
      </w:pPr>
      <w:r>
        <w:rPr>
          <w:rStyle w:val="FootnoteReference"/>
        </w:rPr>
        <w:footnoteRef/>
      </w:r>
      <w:r>
        <w:t xml:space="preserve"> </w:t>
      </w:r>
      <w:r w:rsidR="00DA0CAF" w:rsidRPr="00C100C4">
        <w:t>UN</w:t>
      </w:r>
      <w:r w:rsidR="005F5D7C">
        <w:t xml:space="preserve"> Trade and Development</w:t>
      </w:r>
      <w:r w:rsidR="00DA0CAF" w:rsidRPr="00C100C4">
        <w:t>, Sovereign credit ratings bias: Does it exist and how should it be addressed?</w:t>
      </w:r>
      <w:r w:rsidR="00CD6226" w:rsidRPr="00CD6226">
        <w:t xml:space="preserve"> </w:t>
      </w:r>
      <w:r w:rsidR="00CD6226">
        <w:t>F</w:t>
      </w:r>
      <w:r w:rsidR="00CD6226" w:rsidRPr="00C100C4">
        <w:t>orthcoming</w:t>
      </w:r>
      <w:r w:rsidR="00CD6226">
        <w:t>.</w:t>
      </w:r>
    </w:p>
    <w:p w14:paraId="031180F1" w14:textId="0E8E6DE3" w:rsidR="00935395" w:rsidRPr="00D80EE0" w:rsidRDefault="00935395">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2C406A"/>
    <w:multiLevelType w:val="hybridMultilevel"/>
    <w:tmpl w:val="6EEEFFEA"/>
    <w:lvl w:ilvl="0" w:tplc="ED5EC73A">
      <w:start w:val="1"/>
      <w:numFmt w:val="low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889686019">
    <w:abstractNumId w:val="0"/>
  </w:num>
  <w:num w:numId="2" w16cid:durableId="1438519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49"/>
    <w:rsid w:val="000035F2"/>
    <w:rsid w:val="0000484D"/>
    <w:rsid w:val="0000521B"/>
    <w:rsid w:val="00005686"/>
    <w:rsid w:val="00005D22"/>
    <w:rsid w:val="000072CF"/>
    <w:rsid w:val="0001101B"/>
    <w:rsid w:val="0001155C"/>
    <w:rsid w:val="00012F31"/>
    <w:rsid w:val="00012F76"/>
    <w:rsid w:val="0001526A"/>
    <w:rsid w:val="000157D6"/>
    <w:rsid w:val="00016E55"/>
    <w:rsid w:val="0001737E"/>
    <w:rsid w:val="000231CC"/>
    <w:rsid w:val="00023549"/>
    <w:rsid w:val="000272D8"/>
    <w:rsid w:val="00027972"/>
    <w:rsid w:val="00027F5A"/>
    <w:rsid w:val="00031034"/>
    <w:rsid w:val="0003331B"/>
    <w:rsid w:val="00035A42"/>
    <w:rsid w:val="00036CF3"/>
    <w:rsid w:val="00036E99"/>
    <w:rsid w:val="00041AC0"/>
    <w:rsid w:val="00041ED2"/>
    <w:rsid w:val="00042EFA"/>
    <w:rsid w:val="00043A9B"/>
    <w:rsid w:val="000454F4"/>
    <w:rsid w:val="0004575A"/>
    <w:rsid w:val="00045CDA"/>
    <w:rsid w:val="0005019D"/>
    <w:rsid w:val="0005025D"/>
    <w:rsid w:val="000506BB"/>
    <w:rsid w:val="00050916"/>
    <w:rsid w:val="0005113E"/>
    <w:rsid w:val="0005135B"/>
    <w:rsid w:val="000519AF"/>
    <w:rsid w:val="00051AB4"/>
    <w:rsid w:val="00051E20"/>
    <w:rsid w:val="00051F13"/>
    <w:rsid w:val="00051FCC"/>
    <w:rsid w:val="000521D4"/>
    <w:rsid w:val="000522C7"/>
    <w:rsid w:val="00054731"/>
    <w:rsid w:val="00055338"/>
    <w:rsid w:val="00060867"/>
    <w:rsid w:val="00061EFF"/>
    <w:rsid w:val="00066506"/>
    <w:rsid w:val="000668A8"/>
    <w:rsid w:val="00066D95"/>
    <w:rsid w:val="00067012"/>
    <w:rsid w:val="000703C9"/>
    <w:rsid w:val="00070880"/>
    <w:rsid w:val="00070D26"/>
    <w:rsid w:val="00073B19"/>
    <w:rsid w:val="00073E0E"/>
    <w:rsid w:val="00074134"/>
    <w:rsid w:val="00074535"/>
    <w:rsid w:val="000801FE"/>
    <w:rsid w:val="0008025D"/>
    <w:rsid w:val="0008037F"/>
    <w:rsid w:val="00080527"/>
    <w:rsid w:val="000810B2"/>
    <w:rsid w:val="00083551"/>
    <w:rsid w:val="00083A80"/>
    <w:rsid w:val="00083E34"/>
    <w:rsid w:val="00084557"/>
    <w:rsid w:val="0008457E"/>
    <w:rsid w:val="00084A5F"/>
    <w:rsid w:val="00085A6C"/>
    <w:rsid w:val="000861DE"/>
    <w:rsid w:val="000874F2"/>
    <w:rsid w:val="0008792A"/>
    <w:rsid w:val="00087E47"/>
    <w:rsid w:val="00090C6F"/>
    <w:rsid w:val="0009109F"/>
    <w:rsid w:val="00091381"/>
    <w:rsid w:val="00092A4C"/>
    <w:rsid w:val="00094EF3"/>
    <w:rsid w:val="00096B15"/>
    <w:rsid w:val="00097CDA"/>
    <w:rsid w:val="000A1A36"/>
    <w:rsid w:val="000A3457"/>
    <w:rsid w:val="000A6F95"/>
    <w:rsid w:val="000A7744"/>
    <w:rsid w:val="000B075E"/>
    <w:rsid w:val="000B0C44"/>
    <w:rsid w:val="000B1A5E"/>
    <w:rsid w:val="000B1D66"/>
    <w:rsid w:val="000B1F86"/>
    <w:rsid w:val="000B4327"/>
    <w:rsid w:val="000B44FD"/>
    <w:rsid w:val="000B49AD"/>
    <w:rsid w:val="000B5106"/>
    <w:rsid w:val="000B7413"/>
    <w:rsid w:val="000C2F7D"/>
    <w:rsid w:val="000C7214"/>
    <w:rsid w:val="000C7275"/>
    <w:rsid w:val="000D0F08"/>
    <w:rsid w:val="000D1070"/>
    <w:rsid w:val="000D15FC"/>
    <w:rsid w:val="000D1BEF"/>
    <w:rsid w:val="000D69E8"/>
    <w:rsid w:val="000E0574"/>
    <w:rsid w:val="000E21D1"/>
    <w:rsid w:val="000E2A4E"/>
    <w:rsid w:val="000E397B"/>
    <w:rsid w:val="000E4F8D"/>
    <w:rsid w:val="000E5073"/>
    <w:rsid w:val="000E5094"/>
    <w:rsid w:val="000E6E84"/>
    <w:rsid w:val="000E74D8"/>
    <w:rsid w:val="000E7C0F"/>
    <w:rsid w:val="000F01E2"/>
    <w:rsid w:val="000F14CA"/>
    <w:rsid w:val="000F1CE6"/>
    <w:rsid w:val="000F1F00"/>
    <w:rsid w:val="000F27D0"/>
    <w:rsid w:val="000F2827"/>
    <w:rsid w:val="000F2A3F"/>
    <w:rsid w:val="000F3813"/>
    <w:rsid w:val="000F429E"/>
    <w:rsid w:val="000F49BA"/>
    <w:rsid w:val="000F4F0F"/>
    <w:rsid w:val="000F5610"/>
    <w:rsid w:val="0010029A"/>
    <w:rsid w:val="00101ED6"/>
    <w:rsid w:val="00102341"/>
    <w:rsid w:val="00102B39"/>
    <w:rsid w:val="001044A8"/>
    <w:rsid w:val="00104CA1"/>
    <w:rsid w:val="00105AF3"/>
    <w:rsid w:val="00106647"/>
    <w:rsid w:val="00106B2E"/>
    <w:rsid w:val="00107E0A"/>
    <w:rsid w:val="00107E85"/>
    <w:rsid w:val="001108A2"/>
    <w:rsid w:val="00110F56"/>
    <w:rsid w:val="0011266A"/>
    <w:rsid w:val="00113706"/>
    <w:rsid w:val="001157CA"/>
    <w:rsid w:val="00115CCF"/>
    <w:rsid w:val="00117B57"/>
    <w:rsid w:val="00123457"/>
    <w:rsid w:val="00123D3D"/>
    <w:rsid w:val="00124B8E"/>
    <w:rsid w:val="00125C96"/>
    <w:rsid w:val="00127AFD"/>
    <w:rsid w:val="00132FD4"/>
    <w:rsid w:val="00133215"/>
    <w:rsid w:val="001334A4"/>
    <w:rsid w:val="001348BE"/>
    <w:rsid w:val="0013507F"/>
    <w:rsid w:val="001355E2"/>
    <w:rsid w:val="00135A5B"/>
    <w:rsid w:val="00135CD1"/>
    <w:rsid w:val="00140FAE"/>
    <w:rsid w:val="001415AD"/>
    <w:rsid w:val="00141B0C"/>
    <w:rsid w:val="00143169"/>
    <w:rsid w:val="00143D72"/>
    <w:rsid w:val="00145B57"/>
    <w:rsid w:val="00145CDF"/>
    <w:rsid w:val="00145CE2"/>
    <w:rsid w:val="00150260"/>
    <w:rsid w:val="00150919"/>
    <w:rsid w:val="00150B3C"/>
    <w:rsid w:val="00152B09"/>
    <w:rsid w:val="00152D9C"/>
    <w:rsid w:val="00154229"/>
    <w:rsid w:val="0015570C"/>
    <w:rsid w:val="00155FEA"/>
    <w:rsid w:val="00161407"/>
    <w:rsid w:val="00163264"/>
    <w:rsid w:val="00164852"/>
    <w:rsid w:val="00164D1D"/>
    <w:rsid w:val="00165B03"/>
    <w:rsid w:val="00167F57"/>
    <w:rsid w:val="001702E6"/>
    <w:rsid w:val="00170F0A"/>
    <w:rsid w:val="001733C2"/>
    <w:rsid w:val="00174607"/>
    <w:rsid w:val="00175BAA"/>
    <w:rsid w:val="00175D96"/>
    <w:rsid w:val="00176B61"/>
    <w:rsid w:val="00181583"/>
    <w:rsid w:val="00181F33"/>
    <w:rsid w:val="001841B0"/>
    <w:rsid w:val="00184D99"/>
    <w:rsid w:val="0018612B"/>
    <w:rsid w:val="0018716C"/>
    <w:rsid w:val="0019016F"/>
    <w:rsid w:val="00190D26"/>
    <w:rsid w:val="0019277D"/>
    <w:rsid w:val="00193245"/>
    <w:rsid w:val="00193279"/>
    <w:rsid w:val="001934E7"/>
    <w:rsid w:val="00193AB7"/>
    <w:rsid w:val="00195DAA"/>
    <w:rsid w:val="0019661F"/>
    <w:rsid w:val="001A0352"/>
    <w:rsid w:val="001A20C8"/>
    <w:rsid w:val="001A2947"/>
    <w:rsid w:val="001A29AD"/>
    <w:rsid w:val="001A400F"/>
    <w:rsid w:val="001A4302"/>
    <w:rsid w:val="001A5908"/>
    <w:rsid w:val="001A5F7E"/>
    <w:rsid w:val="001A6090"/>
    <w:rsid w:val="001B04B9"/>
    <w:rsid w:val="001B0F73"/>
    <w:rsid w:val="001B13E7"/>
    <w:rsid w:val="001B1AEA"/>
    <w:rsid w:val="001B1E11"/>
    <w:rsid w:val="001B2D63"/>
    <w:rsid w:val="001B43DA"/>
    <w:rsid w:val="001B515A"/>
    <w:rsid w:val="001B5522"/>
    <w:rsid w:val="001B7924"/>
    <w:rsid w:val="001B7935"/>
    <w:rsid w:val="001C01C3"/>
    <w:rsid w:val="001C0A28"/>
    <w:rsid w:val="001C0E81"/>
    <w:rsid w:val="001C1AC3"/>
    <w:rsid w:val="001C1FF8"/>
    <w:rsid w:val="001C422A"/>
    <w:rsid w:val="001C44A6"/>
    <w:rsid w:val="001C4DAF"/>
    <w:rsid w:val="001C62AD"/>
    <w:rsid w:val="001C687F"/>
    <w:rsid w:val="001C6CE8"/>
    <w:rsid w:val="001C740C"/>
    <w:rsid w:val="001C7B73"/>
    <w:rsid w:val="001D179E"/>
    <w:rsid w:val="001D43C3"/>
    <w:rsid w:val="001D4A82"/>
    <w:rsid w:val="001D5F4F"/>
    <w:rsid w:val="001D67E0"/>
    <w:rsid w:val="001D7CC1"/>
    <w:rsid w:val="001E041D"/>
    <w:rsid w:val="001E085C"/>
    <w:rsid w:val="001E1994"/>
    <w:rsid w:val="001E3715"/>
    <w:rsid w:val="001E4A76"/>
    <w:rsid w:val="001E74DA"/>
    <w:rsid w:val="001E7C7C"/>
    <w:rsid w:val="001F2930"/>
    <w:rsid w:val="001F2D7F"/>
    <w:rsid w:val="001F3F21"/>
    <w:rsid w:val="001F65FC"/>
    <w:rsid w:val="001F6E5E"/>
    <w:rsid w:val="001F7223"/>
    <w:rsid w:val="00201848"/>
    <w:rsid w:val="00202093"/>
    <w:rsid w:val="00203311"/>
    <w:rsid w:val="00203D05"/>
    <w:rsid w:val="0020426A"/>
    <w:rsid w:val="002049A1"/>
    <w:rsid w:val="002049A3"/>
    <w:rsid w:val="00205ABD"/>
    <w:rsid w:val="0021045D"/>
    <w:rsid w:val="00210975"/>
    <w:rsid w:val="00210C2A"/>
    <w:rsid w:val="00211EFD"/>
    <w:rsid w:val="002130D5"/>
    <w:rsid w:val="002131EA"/>
    <w:rsid w:val="002156F0"/>
    <w:rsid w:val="00215A72"/>
    <w:rsid w:val="00215EC0"/>
    <w:rsid w:val="0021645F"/>
    <w:rsid w:val="002164B2"/>
    <w:rsid w:val="00217476"/>
    <w:rsid w:val="00220032"/>
    <w:rsid w:val="002207F2"/>
    <w:rsid w:val="00220867"/>
    <w:rsid w:val="00220D7D"/>
    <w:rsid w:val="002221D4"/>
    <w:rsid w:val="00222B96"/>
    <w:rsid w:val="00225451"/>
    <w:rsid w:val="0023127C"/>
    <w:rsid w:val="00231EEA"/>
    <w:rsid w:val="00233E86"/>
    <w:rsid w:val="00235528"/>
    <w:rsid w:val="002418A1"/>
    <w:rsid w:val="002419AB"/>
    <w:rsid w:val="00242C98"/>
    <w:rsid w:val="00244807"/>
    <w:rsid w:val="00244910"/>
    <w:rsid w:val="00246A51"/>
    <w:rsid w:val="00246C3E"/>
    <w:rsid w:val="0025143A"/>
    <w:rsid w:val="002530F2"/>
    <w:rsid w:val="0025347D"/>
    <w:rsid w:val="0025476E"/>
    <w:rsid w:val="00255731"/>
    <w:rsid w:val="00261E35"/>
    <w:rsid w:val="00261E49"/>
    <w:rsid w:val="00261FCB"/>
    <w:rsid w:val="002629B9"/>
    <w:rsid w:val="00263070"/>
    <w:rsid w:val="00265114"/>
    <w:rsid w:val="00265168"/>
    <w:rsid w:val="00265820"/>
    <w:rsid w:val="0026609C"/>
    <w:rsid w:val="00270727"/>
    <w:rsid w:val="00270CCB"/>
    <w:rsid w:val="0027116F"/>
    <w:rsid w:val="00271CC3"/>
    <w:rsid w:val="00272968"/>
    <w:rsid w:val="002741FF"/>
    <w:rsid w:val="002749FE"/>
    <w:rsid w:val="00274FE5"/>
    <w:rsid w:val="002756E0"/>
    <w:rsid w:val="00275883"/>
    <w:rsid w:val="00275C87"/>
    <w:rsid w:val="0027765C"/>
    <w:rsid w:val="002832FE"/>
    <w:rsid w:val="00290FFF"/>
    <w:rsid w:val="00291239"/>
    <w:rsid w:val="0029266A"/>
    <w:rsid w:val="002935F6"/>
    <w:rsid w:val="00293ADC"/>
    <w:rsid w:val="002953FD"/>
    <w:rsid w:val="002976AB"/>
    <w:rsid w:val="0029775C"/>
    <w:rsid w:val="002A061A"/>
    <w:rsid w:val="002A0E6F"/>
    <w:rsid w:val="002A144A"/>
    <w:rsid w:val="002A25E2"/>
    <w:rsid w:val="002A286E"/>
    <w:rsid w:val="002A3780"/>
    <w:rsid w:val="002A3F96"/>
    <w:rsid w:val="002A423E"/>
    <w:rsid w:val="002A477F"/>
    <w:rsid w:val="002A5D30"/>
    <w:rsid w:val="002B00D6"/>
    <w:rsid w:val="002B0BD4"/>
    <w:rsid w:val="002B1664"/>
    <w:rsid w:val="002B1BC9"/>
    <w:rsid w:val="002B1C24"/>
    <w:rsid w:val="002B722C"/>
    <w:rsid w:val="002C1359"/>
    <w:rsid w:val="002C1B8B"/>
    <w:rsid w:val="002C303D"/>
    <w:rsid w:val="002C388D"/>
    <w:rsid w:val="002C563A"/>
    <w:rsid w:val="002C5870"/>
    <w:rsid w:val="002C5BA5"/>
    <w:rsid w:val="002C6036"/>
    <w:rsid w:val="002C748D"/>
    <w:rsid w:val="002C78B7"/>
    <w:rsid w:val="002D0E00"/>
    <w:rsid w:val="002D105B"/>
    <w:rsid w:val="002D29B0"/>
    <w:rsid w:val="002D322F"/>
    <w:rsid w:val="002D34F3"/>
    <w:rsid w:val="002D37C3"/>
    <w:rsid w:val="002D382C"/>
    <w:rsid w:val="002D4DD8"/>
    <w:rsid w:val="002E241D"/>
    <w:rsid w:val="002E2DE3"/>
    <w:rsid w:val="002E6FA8"/>
    <w:rsid w:val="002E7181"/>
    <w:rsid w:val="002F0D65"/>
    <w:rsid w:val="002F13A7"/>
    <w:rsid w:val="002F140D"/>
    <w:rsid w:val="002F2042"/>
    <w:rsid w:val="002F3BBC"/>
    <w:rsid w:val="002F696D"/>
    <w:rsid w:val="002F6BDE"/>
    <w:rsid w:val="00300850"/>
    <w:rsid w:val="003029D2"/>
    <w:rsid w:val="00303140"/>
    <w:rsid w:val="003035AA"/>
    <w:rsid w:val="00306776"/>
    <w:rsid w:val="0031049F"/>
    <w:rsid w:val="00311939"/>
    <w:rsid w:val="00311CE2"/>
    <w:rsid w:val="00311E72"/>
    <w:rsid w:val="00312ECC"/>
    <w:rsid w:val="003133BC"/>
    <w:rsid w:val="00314559"/>
    <w:rsid w:val="003147F9"/>
    <w:rsid w:val="00316B87"/>
    <w:rsid w:val="003175F8"/>
    <w:rsid w:val="0031775A"/>
    <w:rsid w:val="00320055"/>
    <w:rsid w:val="003200C6"/>
    <w:rsid w:val="00321EA5"/>
    <w:rsid w:val="0032203E"/>
    <w:rsid w:val="00322611"/>
    <w:rsid w:val="003235AA"/>
    <w:rsid w:val="00325A51"/>
    <w:rsid w:val="003267A7"/>
    <w:rsid w:val="00326A4F"/>
    <w:rsid w:val="00326DAF"/>
    <w:rsid w:val="003270B6"/>
    <w:rsid w:val="00330013"/>
    <w:rsid w:val="00330094"/>
    <w:rsid w:val="0033169A"/>
    <w:rsid w:val="003318AE"/>
    <w:rsid w:val="00331C69"/>
    <w:rsid w:val="00332333"/>
    <w:rsid w:val="00333A87"/>
    <w:rsid w:val="00333ED1"/>
    <w:rsid w:val="0033590D"/>
    <w:rsid w:val="00336BE6"/>
    <w:rsid w:val="00340BA1"/>
    <w:rsid w:val="00341B38"/>
    <w:rsid w:val="003437D2"/>
    <w:rsid w:val="00344258"/>
    <w:rsid w:val="00347F82"/>
    <w:rsid w:val="00351E4B"/>
    <w:rsid w:val="00354610"/>
    <w:rsid w:val="00356BBC"/>
    <w:rsid w:val="0036003E"/>
    <w:rsid w:val="00360892"/>
    <w:rsid w:val="0036204F"/>
    <w:rsid w:val="003634B9"/>
    <w:rsid w:val="00363D5B"/>
    <w:rsid w:val="00366BCA"/>
    <w:rsid w:val="003762D2"/>
    <w:rsid w:val="003765B6"/>
    <w:rsid w:val="00382D9C"/>
    <w:rsid w:val="00383D76"/>
    <w:rsid w:val="0038534A"/>
    <w:rsid w:val="0038758D"/>
    <w:rsid w:val="00390F67"/>
    <w:rsid w:val="003912E8"/>
    <w:rsid w:val="00391D0B"/>
    <w:rsid w:val="00392178"/>
    <w:rsid w:val="003924D6"/>
    <w:rsid w:val="00392967"/>
    <w:rsid w:val="003941C1"/>
    <w:rsid w:val="00395A36"/>
    <w:rsid w:val="003A1353"/>
    <w:rsid w:val="003A21D8"/>
    <w:rsid w:val="003A2435"/>
    <w:rsid w:val="003A46CF"/>
    <w:rsid w:val="003A4F80"/>
    <w:rsid w:val="003A6E61"/>
    <w:rsid w:val="003B09F0"/>
    <w:rsid w:val="003B5906"/>
    <w:rsid w:val="003B5C8A"/>
    <w:rsid w:val="003B5E70"/>
    <w:rsid w:val="003B6A60"/>
    <w:rsid w:val="003B6DC9"/>
    <w:rsid w:val="003B77DF"/>
    <w:rsid w:val="003B7D76"/>
    <w:rsid w:val="003C0DB2"/>
    <w:rsid w:val="003C276D"/>
    <w:rsid w:val="003C284D"/>
    <w:rsid w:val="003C341E"/>
    <w:rsid w:val="003C3E05"/>
    <w:rsid w:val="003C4678"/>
    <w:rsid w:val="003D00E4"/>
    <w:rsid w:val="003D2497"/>
    <w:rsid w:val="003D30F8"/>
    <w:rsid w:val="003D3A49"/>
    <w:rsid w:val="003D5DFC"/>
    <w:rsid w:val="003E128C"/>
    <w:rsid w:val="003E20C7"/>
    <w:rsid w:val="003E370E"/>
    <w:rsid w:val="003E492C"/>
    <w:rsid w:val="003E4A3B"/>
    <w:rsid w:val="003E4B8D"/>
    <w:rsid w:val="003E584C"/>
    <w:rsid w:val="003E58DF"/>
    <w:rsid w:val="003E5C2C"/>
    <w:rsid w:val="003F1BD5"/>
    <w:rsid w:val="003F2036"/>
    <w:rsid w:val="003F2043"/>
    <w:rsid w:val="003F2217"/>
    <w:rsid w:val="003F36CF"/>
    <w:rsid w:val="003F464B"/>
    <w:rsid w:val="003F503F"/>
    <w:rsid w:val="003F582B"/>
    <w:rsid w:val="003F6FC8"/>
    <w:rsid w:val="003F7088"/>
    <w:rsid w:val="003F756A"/>
    <w:rsid w:val="003F78EB"/>
    <w:rsid w:val="004011AB"/>
    <w:rsid w:val="00402FAE"/>
    <w:rsid w:val="00403932"/>
    <w:rsid w:val="00403FEF"/>
    <w:rsid w:val="004052AA"/>
    <w:rsid w:val="00405B15"/>
    <w:rsid w:val="00410BB1"/>
    <w:rsid w:val="004126A4"/>
    <w:rsid w:val="00413005"/>
    <w:rsid w:val="0041436F"/>
    <w:rsid w:val="004143C4"/>
    <w:rsid w:val="00416B22"/>
    <w:rsid w:val="004179F3"/>
    <w:rsid w:val="00417B4C"/>
    <w:rsid w:val="0042015B"/>
    <w:rsid w:val="004235EA"/>
    <w:rsid w:val="00426903"/>
    <w:rsid w:val="00430606"/>
    <w:rsid w:val="00430D2B"/>
    <w:rsid w:val="00432BCA"/>
    <w:rsid w:val="004336E2"/>
    <w:rsid w:val="004352A3"/>
    <w:rsid w:val="00435304"/>
    <w:rsid w:val="0043549A"/>
    <w:rsid w:val="00436EEE"/>
    <w:rsid w:val="00437DF7"/>
    <w:rsid w:val="00440D75"/>
    <w:rsid w:val="00440F68"/>
    <w:rsid w:val="00441550"/>
    <w:rsid w:val="004426CC"/>
    <w:rsid w:val="004427E9"/>
    <w:rsid w:val="004429A5"/>
    <w:rsid w:val="004438DD"/>
    <w:rsid w:val="00444C34"/>
    <w:rsid w:val="00444EDA"/>
    <w:rsid w:val="00445AC0"/>
    <w:rsid w:val="00447B37"/>
    <w:rsid w:val="00447B44"/>
    <w:rsid w:val="004513F0"/>
    <w:rsid w:val="004519B2"/>
    <w:rsid w:val="0045356C"/>
    <w:rsid w:val="00453A01"/>
    <w:rsid w:val="00453C26"/>
    <w:rsid w:val="00454458"/>
    <w:rsid w:val="00456283"/>
    <w:rsid w:val="00457FB7"/>
    <w:rsid w:val="00461557"/>
    <w:rsid w:val="00465915"/>
    <w:rsid w:val="00465A9E"/>
    <w:rsid w:val="00466AE1"/>
    <w:rsid w:val="00466E86"/>
    <w:rsid w:val="004719B1"/>
    <w:rsid w:val="00471AF5"/>
    <w:rsid w:val="00471FB1"/>
    <w:rsid w:val="0047242E"/>
    <w:rsid w:val="0047289D"/>
    <w:rsid w:val="0047351B"/>
    <w:rsid w:val="004739E2"/>
    <w:rsid w:val="00473BB5"/>
    <w:rsid w:val="00475FB6"/>
    <w:rsid w:val="00475FCC"/>
    <w:rsid w:val="00480F72"/>
    <w:rsid w:val="004810A7"/>
    <w:rsid w:val="00481B72"/>
    <w:rsid w:val="00481DE9"/>
    <w:rsid w:val="00481F5C"/>
    <w:rsid w:val="0048267B"/>
    <w:rsid w:val="004841B3"/>
    <w:rsid w:val="00484472"/>
    <w:rsid w:val="00484C29"/>
    <w:rsid w:val="004851F9"/>
    <w:rsid w:val="004853F5"/>
    <w:rsid w:val="004859D2"/>
    <w:rsid w:val="00486997"/>
    <w:rsid w:val="00486FC4"/>
    <w:rsid w:val="0048718F"/>
    <w:rsid w:val="004874D6"/>
    <w:rsid w:val="004878C3"/>
    <w:rsid w:val="00487FDC"/>
    <w:rsid w:val="004933EE"/>
    <w:rsid w:val="00494330"/>
    <w:rsid w:val="004952F2"/>
    <w:rsid w:val="00496859"/>
    <w:rsid w:val="0049765F"/>
    <w:rsid w:val="00497671"/>
    <w:rsid w:val="004A239C"/>
    <w:rsid w:val="004A2E24"/>
    <w:rsid w:val="004A3376"/>
    <w:rsid w:val="004A3661"/>
    <w:rsid w:val="004A4A7F"/>
    <w:rsid w:val="004A54E5"/>
    <w:rsid w:val="004A695D"/>
    <w:rsid w:val="004B13ED"/>
    <w:rsid w:val="004B1699"/>
    <w:rsid w:val="004B2098"/>
    <w:rsid w:val="004B42AD"/>
    <w:rsid w:val="004B467C"/>
    <w:rsid w:val="004B4B77"/>
    <w:rsid w:val="004B4CF8"/>
    <w:rsid w:val="004B5295"/>
    <w:rsid w:val="004B5866"/>
    <w:rsid w:val="004B7A9F"/>
    <w:rsid w:val="004C08F4"/>
    <w:rsid w:val="004C25C0"/>
    <w:rsid w:val="004C4AF1"/>
    <w:rsid w:val="004C4B82"/>
    <w:rsid w:val="004C537A"/>
    <w:rsid w:val="004C6B3C"/>
    <w:rsid w:val="004C6F3A"/>
    <w:rsid w:val="004C7CE0"/>
    <w:rsid w:val="004D1DD6"/>
    <w:rsid w:val="004D4ABF"/>
    <w:rsid w:val="004D518D"/>
    <w:rsid w:val="004D6346"/>
    <w:rsid w:val="004D7955"/>
    <w:rsid w:val="004D7E8B"/>
    <w:rsid w:val="004E2C18"/>
    <w:rsid w:val="004E3634"/>
    <w:rsid w:val="004E47C5"/>
    <w:rsid w:val="004E4B53"/>
    <w:rsid w:val="004E6256"/>
    <w:rsid w:val="004E6843"/>
    <w:rsid w:val="004E7CCF"/>
    <w:rsid w:val="004F0B62"/>
    <w:rsid w:val="004F0D86"/>
    <w:rsid w:val="004F4AA6"/>
    <w:rsid w:val="004F5051"/>
    <w:rsid w:val="004F557E"/>
    <w:rsid w:val="004F5B22"/>
    <w:rsid w:val="004F63F3"/>
    <w:rsid w:val="005001A8"/>
    <w:rsid w:val="00501730"/>
    <w:rsid w:val="0050320A"/>
    <w:rsid w:val="00504038"/>
    <w:rsid w:val="0050538B"/>
    <w:rsid w:val="00505FBC"/>
    <w:rsid w:val="005063FC"/>
    <w:rsid w:val="0050682B"/>
    <w:rsid w:val="0051208B"/>
    <w:rsid w:val="00513FD7"/>
    <w:rsid w:val="0051469E"/>
    <w:rsid w:val="00516FAE"/>
    <w:rsid w:val="00517323"/>
    <w:rsid w:val="00517A8E"/>
    <w:rsid w:val="00520884"/>
    <w:rsid w:val="00521289"/>
    <w:rsid w:val="00523906"/>
    <w:rsid w:val="00523FA5"/>
    <w:rsid w:val="0052501E"/>
    <w:rsid w:val="00526288"/>
    <w:rsid w:val="00526406"/>
    <w:rsid w:val="005268B2"/>
    <w:rsid w:val="00530DF7"/>
    <w:rsid w:val="0053164B"/>
    <w:rsid w:val="00531946"/>
    <w:rsid w:val="00532B99"/>
    <w:rsid w:val="00532CB0"/>
    <w:rsid w:val="005338F3"/>
    <w:rsid w:val="005374F1"/>
    <w:rsid w:val="0054058A"/>
    <w:rsid w:val="00540720"/>
    <w:rsid w:val="0054077E"/>
    <w:rsid w:val="0054108C"/>
    <w:rsid w:val="00542478"/>
    <w:rsid w:val="005425A3"/>
    <w:rsid w:val="00544C23"/>
    <w:rsid w:val="0054654A"/>
    <w:rsid w:val="00550501"/>
    <w:rsid w:val="005511E7"/>
    <w:rsid w:val="00552860"/>
    <w:rsid w:val="005547B3"/>
    <w:rsid w:val="00554A86"/>
    <w:rsid w:val="00555232"/>
    <w:rsid w:val="005601DD"/>
    <w:rsid w:val="00560B57"/>
    <w:rsid w:val="00561BC5"/>
    <w:rsid w:val="00561EF4"/>
    <w:rsid w:val="00563975"/>
    <w:rsid w:val="0056471B"/>
    <w:rsid w:val="0056505E"/>
    <w:rsid w:val="00565842"/>
    <w:rsid w:val="0056595E"/>
    <w:rsid w:val="00566B74"/>
    <w:rsid w:val="00572E04"/>
    <w:rsid w:val="00574641"/>
    <w:rsid w:val="005747B7"/>
    <w:rsid w:val="0057507F"/>
    <w:rsid w:val="0057601E"/>
    <w:rsid w:val="00581014"/>
    <w:rsid w:val="005848B2"/>
    <w:rsid w:val="00584BF0"/>
    <w:rsid w:val="0058624B"/>
    <w:rsid w:val="00586E83"/>
    <w:rsid w:val="00592C3C"/>
    <w:rsid w:val="0059406D"/>
    <w:rsid w:val="005A0A1E"/>
    <w:rsid w:val="005A3248"/>
    <w:rsid w:val="005A3563"/>
    <w:rsid w:val="005A399C"/>
    <w:rsid w:val="005A4E00"/>
    <w:rsid w:val="005A568B"/>
    <w:rsid w:val="005A616A"/>
    <w:rsid w:val="005A69CA"/>
    <w:rsid w:val="005A75FD"/>
    <w:rsid w:val="005B0B1A"/>
    <w:rsid w:val="005B1415"/>
    <w:rsid w:val="005B3306"/>
    <w:rsid w:val="005B586F"/>
    <w:rsid w:val="005B5C45"/>
    <w:rsid w:val="005B79A2"/>
    <w:rsid w:val="005C08FD"/>
    <w:rsid w:val="005C3051"/>
    <w:rsid w:val="005C5319"/>
    <w:rsid w:val="005C736F"/>
    <w:rsid w:val="005D0EA8"/>
    <w:rsid w:val="005D287B"/>
    <w:rsid w:val="005D2B93"/>
    <w:rsid w:val="005D3817"/>
    <w:rsid w:val="005D5423"/>
    <w:rsid w:val="005D5D47"/>
    <w:rsid w:val="005D7458"/>
    <w:rsid w:val="005D74CD"/>
    <w:rsid w:val="005D7C53"/>
    <w:rsid w:val="005D7F7F"/>
    <w:rsid w:val="005E0116"/>
    <w:rsid w:val="005E1D62"/>
    <w:rsid w:val="005E244A"/>
    <w:rsid w:val="005E2901"/>
    <w:rsid w:val="005E3A36"/>
    <w:rsid w:val="005E49DD"/>
    <w:rsid w:val="005E6CE7"/>
    <w:rsid w:val="005E75B4"/>
    <w:rsid w:val="005E7B83"/>
    <w:rsid w:val="005F0548"/>
    <w:rsid w:val="005F29B0"/>
    <w:rsid w:val="005F3BA9"/>
    <w:rsid w:val="005F46BA"/>
    <w:rsid w:val="005F4C95"/>
    <w:rsid w:val="005F5166"/>
    <w:rsid w:val="005F5831"/>
    <w:rsid w:val="005F5D7C"/>
    <w:rsid w:val="005F61C3"/>
    <w:rsid w:val="005F6BC1"/>
    <w:rsid w:val="0060128B"/>
    <w:rsid w:val="00603029"/>
    <w:rsid w:val="00603885"/>
    <w:rsid w:val="00603C40"/>
    <w:rsid w:val="006049B3"/>
    <w:rsid w:val="00605F67"/>
    <w:rsid w:val="00606132"/>
    <w:rsid w:val="00606A05"/>
    <w:rsid w:val="006105FA"/>
    <w:rsid w:val="006119FF"/>
    <w:rsid w:val="0061209B"/>
    <w:rsid w:val="0061262D"/>
    <w:rsid w:val="00612782"/>
    <w:rsid w:val="006142C0"/>
    <w:rsid w:val="0061517E"/>
    <w:rsid w:val="00617A66"/>
    <w:rsid w:val="006211B7"/>
    <w:rsid w:val="00621B49"/>
    <w:rsid w:val="00621D2A"/>
    <w:rsid w:val="00621E0E"/>
    <w:rsid w:val="00622F92"/>
    <w:rsid w:val="00624463"/>
    <w:rsid w:val="00625414"/>
    <w:rsid w:val="0062604C"/>
    <w:rsid w:val="00626691"/>
    <w:rsid w:val="006267D0"/>
    <w:rsid w:val="0063037C"/>
    <w:rsid w:val="00632B60"/>
    <w:rsid w:val="00633C64"/>
    <w:rsid w:val="00634B15"/>
    <w:rsid w:val="00637582"/>
    <w:rsid w:val="00637D3D"/>
    <w:rsid w:val="00637FF0"/>
    <w:rsid w:val="006407CE"/>
    <w:rsid w:val="00640F0E"/>
    <w:rsid w:val="00641345"/>
    <w:rsid w:val="0064162C"/>
    <w:rsid w:val="00641B0A"/>
    <w:rsid w:val="00644587"/>
    <w:rsid w:val="00644671"/>
    <w:rsid w:val="0064559B"/>
    <w:rsid w:val="006458E9"/>
    <w:rsid w:val="00645DA4"/>
    <w:rsid w:val="00646117"/>
    <w:rsid w:val="006526CC"/>
    <w:rsid w:val="00654A8E"/>
    <w:rsid w:val="00655CDC"/>
    <w:rsid w:val="0065623B"/>
    <w:rsid w:val="006564E2"/>
    <w:rsid w:val="00656D71"/>
    <w:rsid w:val="00657CE2"/>
    <w:rsid w:val="00660401"/>
    <w:rsid w:val="00660E3A"/>
    <w:rsid w:val="006615A0"/>
    <w:rsid w:val="00661607"/>
    <w:rsid w:val="00661F1F"/>
    <w:rsid w:val="006640E9"/>
    <w:rsid w:val="006651B1"/>
    <w:rsid w:val="0066555C"/>
    <w:rsid w:val="0066632E"/>
    <w:rsid w:val="00667632"/>
    <w:rsid w:val="00671602"/>
    <w:rsid w:val="00673EF0"/>
    <w:rsid w:val="0067468D"/>
    <w:rsid w:val="00675F7A"/>
    <w:rsid w:val="006763B9"/>
    <w:rsid w:val="0067744A"/>
    <w:rsid w:val="00680188"/>
    <w:rsid w:val="0068063B"/>
    <w:rsid w:val="00680C93"/>
    <w:rsid w:val="00681685"/>
    <w:rsid w:val="00681D1F"/>
    <w:rsid w:val="00687A48"/>
    <w:rsid w:val="00690BAB"/>
    <w:rsid w:val="00691F97"/>
    <w:rsid w:val="0069546A"/>
    <w:rsid w:val="00695765"/>
    <w:rsid w:val="00696845"/>
    <w:rsid w:val="00696A11"/>
    <w:rsid w:val="00696B31"/>
    <w:rsid w:val="00696FE0"/>
    <w:rsid w:val="006A1496"/>
    <w:rsid w:val="006A1537"/>
    <w:rsid w:val="006A218B"/>
    <w:rsid w:val="006A268C"/>
    <w:rsid w:val="006A43D7"/>
    <w:rsid w:val="006A536B"/>
    <w:rsid w:val="006A5B00"/>
    <w:rsid w:val="006A5D57"/>
    <w:rsid w:val="006B13C6"/>
    <w:rsid w:val="006B3F02"/>
    <w:rsid w:val="006B5013"/>
    <w:rsid w:val="006B5DDF"/>
    <w:rsid w:val="006B629C"/>
    <w:rsid w:val="006B7EF9"/>
    <w:rsid w:val="006C0FFE"/>
    <w:rsid w:val="006C1AA5"/>
    <w:rsid w:val="006C279B"/>
    <w:rsid w:val="006C692F"/>
    <w:rsid w:val="006C7A88"/>
    <w:rsid w:val="006D3505"/>
    <w:rsid w:val="006D61BD"/>
    <w:rsid w:val="006D684B"/>
    <w:rsid w:val="006E1A04"/>
    <w:rsid w:val="006E2580"/>
    <w:rsid w:val="006E4072"/>
    <w:rsid w:val="006E5326"/>
    <w:rsid w:val="006E60AF"/>
    <w:rsid w:val="006E6317"/>
    <w:rsid w:val="006E6975"/>
    <w:rsid w:val="006E7C4E"/>
    <w:rsid w:val="006F061D"/>
    <w:rsid w:val="006F28E5"/>
    <w:rsid w:val="006F3234"/>
    <w:rsid w:val="006F5E0C"/>
    <w:rsid w:val="006F7E80"/>
    <w:rsid w:val="00701C3A"/>
    <w:rsid w:val="007026B8"/>
    <w:rsid w:val="00702BCA"/>
    <w:rsid w:val="00702C8E"/>
    <w:rsid w:val="007043FC"/>
    <w:rsid w:val="007053CB"/>
    <w:rsid w:val="007062FB"/>
    <w:rsid w:val="007070A8"/>
    <w:rsid w:val="00712C02"/>
    <w:rsid w:val="007131E6"/>
    <w:rsid w:val="00713812"/>
    <w:rsid w:val="00714A9E"/>
    <w:rsid w:val="00715A05"/>
    <w:rsid w:val="00717DF4"/>
    <w:rsid w:val="00717FFA"/>
    <w:rsid w:val="00720DE6"/>
    <w:rsid w:val="00721677"/>
    <w:rsid w:val="00721DCB"/>
    <w:rsid w:val="007228C8"/>
    <w:rsid w:val="00722C87"/>
    <w:rsid w:val="00723C02"/>
    <w:rsid w:val="007246FA"/>
    <w:rsid w:val="007248FC"/>
    <w:rsid w:val="0072614C"/>
    <w:rsid w:val="007268FC"/>
    <w:rsid w:val="00726C61"/>
    <w:rsid w:val="0072730F"/>
    <w:rsid w:val="00727495"/>
    <w:rsid w:val="00727F2B"/>
    <w:rsid w:val="007346B0"/>
    <w:rsid w:val="00736E83"/>
    <w:rsid w:val="0074032C"/>
    <w:rsid w:val="00741345"/>
    <w:rsid w:val="00742903"/>
    <w:rsid w:val="00743077"/>
    <w:rsid w:val="007431B3"/>
    <w:rsid w:val="00743B3E"/>
    <w:rsid w:val="007452E6"/>
    <w:rsid w:val="007458DA"/>
    <w:rsid w:val="00745B1E"/>
    <w:rsid w:val="007462A5"/>
    <w:rsid w:val="00750421"/>
    <w:rsid w:val="00751190"/>
    <w:rsid w:val="00755A32"/>
    <w:rsid w:val="00755F37"/>
    <w:rsid w:val="00756A81"/>
    <w:rsid w:val="0075792F"/>
    <w:rsid w:val="00760927"/>
    <w:rsid w:val="00760982"/>
    <w:rsid w:val="00761A42"/>
    <w:rsid w:val="00763B12"/>
    <w:rsid w:val="00763C87"/>
    <w:rsid w:val="00764566"/>
    <w:rsid w:val="00765954"/>
    <w:rsid w:val="007713F8"/>
    <w:rsid w:val="00772D67"/>
    <w:rsid w:val="00772E00"/>
    <w:rsid w:val="007742F8"/>
    <w:rsid w:val="007745A4"/>
    <w:rsid w:val="00775EEE"/>
    <w:rsid w:val="00776744"/>
    <w:rsid w:val="00776925"/>
    <w:rsid w:val="00776E04"/>
    <w:rsid w:val="00777F42"/>
    <w:rsid w:val="0078040B"/>
    <w:rsid w:val="0078113A"/>
    <w:rsid w:val="00781736"/>
    <w:rsid w:val="00783037"/>
    <w:rsid w:val="00784773"/>
    <w:rsid w:val="00786883"/>
    <w:rsid w:val="00786C20"/>
    <w:rsid w:val="007874B3"/>
    <w:rsid w:val="00787D87"/>
    <w:rsid w:val="00790778"/>
    <w:rsid w:val="0079187B"/>
    <w:rsid w:val="00792AC6"/>
    <w:rsid w:val="00793FCE"/>
    <w:rsid w:val="00794642"/>
    <w:rsid w:val="00794F3C"/>
    <w:rsid w:val="0079688D"/>
    <w:rsid w:val="007A052F"/>
    <w:rsid w:val="007A2467"/>
    <w:rsid w:val="007A2D08"/>
    <w:rsid w:val="007A340A"/>
    <w:rsid w:val="007A3A7C"/>
    <w:rsid w:val="007A3B92"/>
    <w:rsid w:val="007A4590"/>
    <w:rsid w:val="007A61EE"/>
    <w:rsid w:val="007A7339"/>
    <w:rsid w:val="007B0FC9"/>
    <w:rsid w:val="007B15A0"/>
    <w:rsid w:val="007B3409"/>
    <w:rsid w:val="007B3CCD"/>
    <w:rsid w:val="007B43F0"/>
    <w:rsid w:val="007B4BA7"/>
    <w:rsid w:val="007B5B55"/>
    <w:rsid w:val="007B6073"/>
    <w:rsid w:val="007B6C69"/>
    <w:rsid w:val="007B77E4"/>
    <w:rsid w:val="007C0211"/>
    <w:rsid w:val="007C2147"/>
    <w:rsid w:val="007C2BA8"/>
    <w:rsid w:val="007C5382"/>
    <w:rsid w:val="007C7B1A"/>
    <w:rsid w:val="007C7FDB"/>
    <w:rsid w:val="007D0594"/>
    <w:rsid w:val="007D2AC2"/>
    <w:rsid w:val="007D2D47"/>
    <w:rsid w:val="007D3645"/>
    <w:rsid w:val="007D48B7"/>
    <w:rsid w:val="007D5C46"/>
    <w:rsid w:val="007D7C42"/>
    <w:rsid w:val="007D7E0C"/>
    <w:rsid w:val="007E0FE4"/>
    <w:rsid w:val="007E1035"/>
    <w:rsid w:val="007E1149"/>
    <w:rsid w:val="007E2F4C"/>
    <w:rsid w:val="007E40C3"/>
    <w:rsid w:val="007E4534"/>
    <w:rsid w:val="007E5CA3"/>
    <w:rsid w:val="007E5E11"/>
    <w:rsid w:val="007E719E"/>
    <w:rsid w:val="007E71F3"/>
    <w:rsid w:val="007E7CA2"/>
    <w:rsid w:val="007F1910"/>
    <w:rsid w:val="007F6A06"/>
    <w:rsid w:val="007F7892"/>
    <w:rsid w:val="0080099C"/>
    <w:rsid w:val="008012E1"/>
    <w:rsid w:val="008017F4"/>
    <w:rsid w:val="00803BE6"/>
    <w:rsid w:val="008055A7"/>
    <w:rsid w:val="00805667"/>
    <w:rsid w:val="00805C9F"/>
    <w:rsid w:val="00806199"/>
    <w:rsid w:val="00807DB1"/>
    <w:rsid w:val="00812178"/>
    <w:rsid w:val="00812D26"/>
    <w:rsid w:val="00814058"/>
    <w:rsid w:val="008141E1"/>
    <w:rsid w:val="0081429D"/>
    <w:rsid w:val="00814418"/>
    <w:rsid w:val="00815EB6"/>
    <w:rsid w:val="00816289"/>
    <w:rsid w:val="00817632"/>
    <w:rsid w:val="008206EF"/>
    <w:rsid w:val="00820A13"/>
    <w:rsid w:val="00822486"/>
    <w:rsid w:val="008225EC"/>
    <w:rsid w:val="00823928"/>
    <w:rsid w:val="00827368"/>
    <w:rsid w:val="00830CF0"/>
    <w:rsid w:val="00834062"/>
    <w:rsid w:val="00834233"/>
    <w:rsid w:val="00834C79"/>
    <w:rsid w:val="0083538F"/>
    <w:rsid w:val="008369BA"/>
    <w:rsid w:val="0083731F"/>
    <w:rsid w:val="008421F7"/>
    <w:rsid w:val="0084229C"/>
    <w:rsid w:val="00843BFF"/>
    <w:rsid w:val="00845D7E"/>
    <w:rsid w:val="00847ED6"/>
    <w:rsid w:val="00847FAA"/>
    <w:rsid w:val="0085074A"/>
    <w:rsid w:val="00851932"/>
    <w:rsid w:val="00852512"/>
    <w:rsid w:val="00855AFB"/>
    <w:rsid w:val="00857A35"/>
    <w:rsid w:val="00860765"/>
    <w:rsid w:val="00860978"/>
    <w:rsid w:val="00861BFA"/>
    <w:rsid w:val="00863497"/>
    <w:rsid w:val="008641F7"/>
    <w:rsid w:val="00864416"/>
    <w:rsid w:val="00866FF7"/>
    <w:rsid w:val="00873F0B"/>
    <w:rsid w:val="00875A42"/>
    <w:rsid w:val="00876739"/>
    <w:rsid w:val="00877380"/>
    <w:rsid w:val="008800DE"/>
    <w:rsid w:val="00880899"/>
    <w:rsid w:val="00880C3D"/>
    <w:rsid w:val="00880ED7"/>
    <w:rsid w:val="008829C6"/>
    <w:rsid w:val="008829EC"/>
    <w:rsid w:val="00883EB3"/>
    <w:rsid w:val="008853E5"/>
    <w:rsid w:val="00887169"/>
    <w:rsid w:val="008871C1"/>
    <w:rsid w:val="0089047F"/>
    <w:rsid w:val="008912C8"/>
    <w:rsid w:val="00892595"/>
    <w:rsid w:val="00892AFF"/>
    <w:rsid w:val="00893079"/>
    <w:rsid w:val="008931B6"/>
    <w:rsid w:val="00893B52"/>
    <w:rsid w:val="00893DDB"/>
    <w:rsid w:val="00894F6E"/>
    <w:rsid w:val="00896C1E"/>
    <w:rsid w:val="0089785B"/>
    <w:rsid w:val="008A0270"/>
    <w:rsid w:val="008A1C27"/>
    <w:rsid w:val="008A2FE2"/>
    <w:rsid w:val="008A30DB"/>
    <w:rsid w:val="008A38B7"/>
    <w:rsid w:val="008A397D"/>
    <w:rsid w:val="008A4DAD"/>
    <w:rsid w:val="008A7A42"/>
    <w:rsid w:val="008B14D9"/>
    <w:rsid w:val="008B2CF3"/>
    <w:rsid w:val="008B47A4"/>
    <w:rsid w:val="008B684C"/>
    <w:rsid w:val="008B6A35"/>
    <w:rsid w:val="008B7EB4"/>
    <w:rsid w:val="008C05EC"/>
    <w:rsid w:val="008C0902"/>
    <w:rsid w:val="008C0CBE"/>
    <w:rsid w:val="008C1954"/>
    <w:rsid w:val="008C1F28"/>
    <w:rsid w:val="008C5D61"/>
    <w:rsid w:val="008D1888"/>
    <w:rsid w:val="008D67BF"/>
    <w:rsid w:val="008D7A13"/>
    <w:rsid w:val="008D7B8C"/>
    <w:rsid w:val="008E1CA4"/>
    <w:rsid w:val="008E2DC8"/>
    <w:rsid w:val="008E320A"/>
    <w:rsid w:val="008E37A3"/>
    <w:rsid w:val="008E5029"/>
    <w:rsid w:val="008E53C3"/>
    <w:rsid w:val="008E5429"/>
    <w:rsid w:val="008E5BC4"/>
    <w:rsid w:val="008E6483"/>
    <w:rsid w:val="008F0054"/>
    <w:rsid w:val="008F152C"/>
    <w:rsid w:val="008F2FDF"/>
    <w:rsid w:val="008F314E"/>
    <w:rsid w:val="008F5350"/>
    <w:rsid w:val="008F5F47"/>
    <w:rsid w:val="008F6B24"/>
    <w:rsid w:val="008F6BCE"/>
    <w:rsid w:val="008F6E48"/>
    <w:rsid w:val="008F7197"/>
    <w:rsid w:val="009008D9"/>
    <w:rsid w:val="00901F83"/>
    <w:rsid w:val="00902C96"/>
    <w:rsid w:val="00905764"/>
    <w:rsid w:val="00907C98"/>
    <w:rsid w:val="009110CE"/>
    <w:rsid w:val="00911A71"/>
    <w:rsid w:val="009126FE"/>
    <w:rsid w:val="0091390F"/>
    <w:rsid w:val="00914A42"/>
    <w:rsid w:val="0091505A"/>
    <w:rsid w:val="00915DF2"/>
    <w:rsid w:val="00916486"/>
    <w:rsid w:val="0091671A"/>
    <w:rsid w:val="00917B59"/>
    <w:rsid w:val="00920755"/>
    <w:rsid w:val="0092084A"/>
    <w:rsid w:val="00922807"/>
    <w:rsid w:val="00923B2A"/>
    <w:rsid w:val="0092403E"/>
    <w:rsid w:val="00925700"/>
    <w:rsid w:val="00925EA8"/>
    <w:rsid w:val="0092717F"/>
    <w:rsid w:val="00930B4A"/>
    <w:rsid w:val="00931002"/>
    <w:rsid w:val="00931404"/>
    <w:rsid w:val="0093188B"/>
    <w:rsid w:val="00932782"/>
    <w:rsid w:val="00933050"/>
    <w:rsid w:val="009345D2"/>
    <w:rsid w:val="009347D2"/>
    <w:rsid w:val="00935395"/>
    <w:rsid w:val="00935606"/>
    <w:rsid w:val="0093621E"/>
    <w:rsid w:val="009370AA"/>
    <w:rsid w:val="0094070F"/>
    <w:rsid w:val="00940FE9"/>
    <w:rsid w:val="009410EB"/>
    <w:rsid w:val="00941B54"/>
    <w:rsid w:val="00942899"/>
    <w:rsid w:val="00942FC5"/>
    <w:rsid w:val="009432BB"/>
    <w:rsid w:val="00943CAB"/>
    <w:rsid w:val="00944291"/>
    <w:rsid w:val="009452E2"/>
    <w:rsid w:val="00947409"/>
    <w:rsid w:val="00951D17"/>
    <w:rsid w:val="0095260C"/>
    <w:rsid w:val="009539ED"/>
    <w:rsid w:val="00954B22"/>
    <w:rsid w:val="00954DE1"/>
    <w:rsid w:val="0095648B"/>
    <w:rsid w:val="0095691A"/>
    <w:rsid w:val="00956E9E"/>
    <w:rsid w:val="00956F22"/>
    <w:rsid w:val="009600BC"/>
    <w:rsid w:val="00961858"/>
    <w:rsid w:val="00961C4A"/>
    <w:rsid w:val="00963A45"/>
    <w:rsid w:val="00963F46"/>
    <w:rsid w:val="00964B3F"/>
    <w:rsid w:val="009716AB"/>
    <w:rsid w:val="00971D9C"/>
    <w:rsid w:val="00971F6A"/>
    <w:rsid w:val="009741A5"/>
    <w:rsid w:val="009743B6"/>
    <w:rsid w:val="0097486F"/>
    <w:rsid w:val="00974DCF"/>
    <w:rsid w:val="00975BE6"/>
    <w:rsid w:val="009773FE"/>
    <w:rsid w:val="00977BE3"/>
    <w:rsid w:val="00981EC7"/>
    <w:rsid w:val="00983250"/>
    <w:rsid w:val="00984A03"/>
    <w:rsid w:val="00985371"/>
    <w:rsid w:val="00986AD3"/>
    <w:rsid w:val="00990CA1"/>
    <w:rsid w:val="00993904"/>
    <w:rsid w:val="00993A00"/>
    <w:rsid w:val="00994BD8"/>
    <w:rsid w:val="00994E26"/>
    <w:rsid w:val="009975DD"/>
    <w:rsid w:val="009A043D"/>
    <w:rsid w:val="009A1CFA"/>
    <w:rsid w:val="009A3309"/>
    <w:rsid w:val="009A3937"/>
    <w:rsid w:val="009A3E7D"/>
    <w:rsid w:val="009A4218"/>
    <w:rsid w:val="009A4F3F"/>
    <w:rsid w:val="009A7D7F"/>
    <w:rsid w:val="009B0B2F"/>
    <w:rsid w:val="009B0D24"/>
    <w:rsid w:val="009B0F44"/>
    <w:rsid w:val="009B1096"/>
    <w:rsid w:val="009B4939"/>
    <w:rsid w:val="009B4C1F"/>
    <w:rsid w:val="009B554A"/>
    <w:rsid w:val="009B686B"/>
    <w:rsid w:val="009B75E9"/>
    <w:rsid w:val="009B786A"/>
    <w:rsid w:val="009C0991"/>
    <w:rsid w:val="009C0A82"/>
    <w:rsid w:val="009C1537"/>
    <w:rsid w:val="009C2BA4"/>
    <w:rsid w:val="009C3378"/>
    <w:rsid w:val="009C4058"/>
    <w:rsid w:val="009C4703"/>
    <w:rsid w:val="009C57A0"/>
    <w:rsid w:val="009C5937"/>
    <w:rsid w:val="009C5A38"/>
    <w:rsid w:val="009C7C67"/>
    <w:rsid w:val="009D00C1"/>
    <w:rsid w:val="009D29DE"/>
    <w:rsid w:val="009D2DE4"/>
    <w:rsid w:val="009D34CE"/>
    <w:rsid w:val="009D4CDB"/>
    <w:rsid w:val="009E0860"/>
    <w:rsid w:val="009E2BE1"/>
    <w:rsid w:val="009E3454"/>
    <w:rsid w:val="009E41FD"/>
    <w:rsid w:val="009E420C"/>
    <w:rsid w:val="009E5C97"/>
    <w:rsid w:val="009E714B"/>
    <w:rsid w:val="009F1825"/>
    <w:rsid w:val="009F3DAE"/>
    <w:rsid w:val="009F406A"/>
    <w:rsid w:val="009F4362"/>
    <w:rsid w:val="009F567B"/>
    <w:rsid w:val="009F72B5"/>
    <w:rsid w:val="00A01F77"/>
    <w:rsid w:val="00A027A7"/>
    <w:rsid w:val="00A03599"/>
    <w:rsid w:val="00A05286"/>
    <w:rsid w:val="00A05AF0"/>
    <w:rsid w:val="00A06AEB"/>
    <w:rsid w:val="00A06D27"/>
    <w:rsid w:val="00A07351"/>
    <w:rsid w:val="00A0790C"/>
    <w:rsid w:val="00A11AAE"/>
    <w:rsid w:val="00A1320B"/>
    <w:rsid w:val="00A13DA7"/>
    <w:rsid w:val="00A15522"/>
    <w:rsid w:val="00A171C7"/>
    <w:rsid w:val="00A20C68"/>
    <w:rsid w:val="00A2213B"/>
    <w:rsid w:val="00A23790"/>
    <w:rsid w:val="00A23FC8"/>
    <w:rsid w:val="00A2579E"/>
    <w:rsid w:val="00A273BE"/>
    <w:rsid w:val="00A32289"/>
    <w:rsid w:val="00A33447"/>
    <w:rsid w:val="00A33469"/>
    <w:rsid w:val="00A34470"/>
    <w:rsid w:val="00A347D4"/>
    <w:rsid w:val="00A34C03"/>
    <w:rsid w:val="00A36411"/>
    <w:rsid w:val="00A37C5E"/>
    <w:rsid w:val="00A41B5F"/>
    <w:rsid w:val="00A42B11"/>
    <w:rsid w:val="00A43C87"/>
    <w:rsid w:val="00A4684D"/>
    <w:rsid w:val="00A46880"/>
    <w:rsid w:val="00A46B35"/>
    <w:rsid w:val="00A51CD8"/>
    <w:rsid w:val="00A51D58"/>
    <w:rsid w:val="00A534D6"/>
    <w:rsid w:val="00A53605"/>
    <w:rsid w:val="00A54982"/>
    <w:rsid w:val="00A559D6"/>
    <w:rsid w:val="00A55D7D"/>
    <w:rsid w:val="00A56F1B"/>
    <w:rsid w:val="00A603B2"/>
    <w:rsid w:val="00A60D5D"/>
    <w:rsid w:val="00A612F5"/>
    <w:rsid w:val="00A621C8"/>
    <w:rsid w:val="00A6270B"/>
    <w:rsid w:val="00A63BB0"/>
    <w:rsid w:val="00A6427E"/>
    <w:rsid w:val="00A6556B"/>
    <w:rsid w:val="00A658B7"/>
    <w:rsid w:val="00A7029E"/>
    <w:rsid w:val="00A70392"/>
    <w:rsid w:val="00A70CA0"/>
    <w:rsid w:val="00A7120F"/>
    <w:rsid w:val="00A7141D"/>
    <w:rsid w:val="00A72106"/>
    <w:rsid w:val="00A72494"/>
    <w:rsid w:val="00A76063"/>
    <w:rsid w:val="00A7661B"/>
    <w:rsid w:val="00A77D50"/>
    <w:rsid w:val="00A800C7"/>
    <w:rsid w:val="00A81CC9"/>
    <w:rsid w:val="00A835FE"/>
    <w:rsid w:val="00A83C1D"/>
    <w:rsid w:val="00A84685"/>
    <w:rsid w:val="00A8517A"/>
    <w:rsid w:val="00A86A4F"/>
    <w:rsid w:val="00A902CF"/>
    <w:rsid w:val="00A90CF1"/>
    <w:rsid w:val="00A9173D"/>
    <w:rsid w:val="00A949D5"/>
    <w:rsid w:val="00A9658D"/>
    <w:rsid w:val="00A96794"/>
    <w:rsid w:val="00A9766E"/>
    <w:rsid w:val="00A97BE7"/>
    <w:rsid w:val="00AA1962"/>
    <w:rsid w:val="00AA1EB7"/>
    <w:rsid w:val="00AA20D7"/>
    <w:rsid w:val="00AA2135"/>
    <w:rsid w:val="00AB2F2B"/>
    <w:rsid w:val="00AB36E2"/>
    <w:rsid w:val="00AB5A68"/>
    <w:rsid w:val="00AC19F7"/>
    <w:rsid w:val="00AC2218"/>
    <w:rsid w:val="00AC2881"/>
    <w:rsid w:val="00AC2F4F"/>
    <w:rsid w:val="00AC3C59"/>
    <w:rsid w:val="00AC4910"/>
    <w:rsid w:val="00AC5762"/>
    <w:rsid w:val="00AC633E"/>
    <w:rsid w:val="00AD2100"/>
    <w:rsid w:val="00AD28AE"/>
    <w:rsid w:val="00AD2EFA"/>
    <w:rsid w:val="00AD4582"/>
    <w:rsid w:val="00AD4639"/>
    <w:rsid w:val="00AD5067"/>
    <w:rsid w:val="00AD667C"/>
    <w:rsid w:val="00AD6A2B"/>
    <w:rsid w:val="00AE0033"/>
    <w:rsid w:val="00AE15CD"/>
    <w:rsid w:val="00AE26B1"/>
    <w:rsid w:val="00AE3545"/>
    <w:rsid w:val="00AE44D1"/>
    <w:rsid w:val="00AE450D"/>
    <w:rsid w:val="00AE54EE"/>
    <w:rsid w:val="00AE7CD7"/>
    <w:rsid w:val="00AF341E"/>
    <w:rsid w:val="00AF35DB"/>
    <w:rsid w:val="00AF6893"/>
    <w:rsid w:val="00AF6C25"/>
    <w:rsid w:val="00AF6D07"/>
    <w:rsid w:val="00B01BCC"/>
    <w:rsid w:val="00B029FB"/>
    <w:rsid w:val="00B037F0"/>
    <w:rsid w:val="00B05F2A"/>
    <w:rsid w:val="00B0757E"/>
    <w:rsid w:val="00B10ED4"/>
    <w:rsid w:val="00B11C32"/>
    <w:rsid w:val="00B1520C"/>
    <w:rsid w:val="00B15359"/>
    <w:rsid w:val="00B15C3C"/>
    <w:rsid w:val="00B17BEA"/>
    <w:rsid w:val="00B17E9A"/>
    <w:rsid w:val="00B21495"/>
    <w:rsid w:val="00B215E9"/>
    <w:rsid w:val="00B216A6"/>
    <w:rsid w:val="00B21B79"/>
    <w:rsid w:val="00B22F45"/>
    <w:rsid w:val="00B26613"/>
    <w:rsid w:val="00B26AAD"/>
    <w:rsid w:val="00B2733B"/>
    <w:rsid w:val="00B27981"/>
    <w:rsid w:val="00B315C8"/>
    <w:rsid w:val="00B31BA2"/>
    <w:rsid w:val="00B32849"/>
    <w:rsid w:val="00B3306E"/>
    <w:rsid w:val="00B34337"/>
    <w:rsid w:val="00B35276"/>
    <w:rsid w:val="00B35A24"/>
    <w:rsid w:val="00B43599"/>
    <w:rsid w:val="00B436A1"/>
    <w:rsid w:val="00B45073"/>
    <w:rsid w:val="00B4555E"/>
    <w:rsid w:val="00B4737C"/>
    <w:rsid w:val="00B47BA0"/>
    <w:rsid w:val="00B50B26"/>
    <w:rsid w:val="00B510C1"/>
    <w:rsid w:val="00B510E2"/>
    <w:rsid w:val="00B51A1A"/>
    <w:rsid w:val="00B5352A"/>
    <w:rsid w:val="00B53C6F"/>
    <w:rsid w:val="00B5481C"/>
    <w:rsid w:val="00B55F6E"/>
    <w:rsid w:val="00B56F62"/>
    <w:rsid w:val="00B57144"/>
    <w:rsid w:val="00B5764C"/>
    <w:rsid w:val="00B5793D"/>
    <w:rsid w:val="00B61C65"/>
    <w:rsid w:val="00B63133"/>
    <w:rsid w:val="00B6486A"/>
    <w:rsid w:val="00B64C00"/>
    <w:rsid w:val="00B65738"/>
    <w:rsid w:val="00B67DB5"/>
    <w:rsid w:val="00B7090C"/>
    <w:rsid w:val="00B718BB"/>
    <w:rsid w:val="00B72D3F"/>
    <w:rsid w:val="00B73CD6"/>
    <w:rsid w:val="00B746E7"/>
    <w:rsid w:val="00B763A6"/>
    <w:rsid w:val="00B76669"/>
    <w:rsid w:val="00B76F96"/>
    <w:rsid w:val="00B7728F"/>
    <w:rsid w:val="00B80158"/>
    <w:rsid w:val="00B81D07"/>
    <w:rsid w:val="00B82FE7"/>
    <w:rsid w:val="00B83649"/>
    <w:rsid w:val="00B83C40"/>
    <w:rsid w:val="00B83D68"/>
    <w:rsid w:val="00B870FD"/>
    <w:rsid w:val="00B90075"/>
    <w:rsid w:val="00B93B16"/>
    <w:rsid w:val="00B94DCD"/>
    <w:rsid w:val="00B95E7F"/>
    <w:rsid w:val="00B97A02"/>
    <w:rsid w:val="00BA12B0"/>
    <w:rsid w:val="00BA1802"/>
    <w:rsid w:val="00BA367C"/>
    <w:rsid w:val="00BA39B9"/>
    <w:rsid w:val="00BA3C6C"/>
    <w:rsid w:val="00BA78D0"/>
    <w:rsid w:val="00BB0FFE"/>
    <w:rsid w:val="00BB16ED"/>
    <w:rsid w:val="00BB1760"/>
    <w:rsid w:val="00BB17A2"/>
    <w:rsid w:val="00BB2965"/>
    <w:rsid w:val="00BB3657"/>
    <w:rsid w:val="00BB4BCC"/>
    <w:rsid w:val="00BB62C8"/>
    <w:rsid w:val="00BB70ED"/>
    <w:rsid w:val="00BB74CE"/>
    <w:rsid w:val="00BC00DD"/>
    <w:rsid w:val="00BC2268"/>
    <w:rsid w:val="00BC2C50"/>
    <w:rsid w:val="00BC3998"/>
    <w:rsid w:val="00BC3EC7"/>
    <w:rsid w:val="00BC4ECB"/>
    <w:rsid w:val="00BC71E6"/>
    <w:rsid w:val="00BC7990"/>
    <w:rsid w:val="00BD01ED"/>
    <w:rsid w:val="00BD17BD"/>
    <w:rsid w:val="00BD1BE6"/>
    <w:rsid w:val="00BD2550"/>
    <w:rsid w:val="00BD583D"/>
    <w:rsid w:val="00BD6047"/>
    <w:rsid w:val="00BD6B78"/>
    <w:rsid w:val="00BD6DC8"/>
    <w:rsid w:val="00BD7981"/>
    <w:rsid w:val="00BE14A7"/>
    <w:rsid w:val="00BE24CA"/>
    <w:rsid w:val="00BE3E7E"/>
    <w:rsid w:val="00BE461E"/>
    <w:rsid w:val="00BE5D81"/>
    <w:rsid w:val="00BE619A"/>
    <w:rsid w:val="00BF0560"/>
    <w:rsid w:val="00BF108B"/>
    <w:rsid w:val="00BF120F"/>
    <w:rsid w:val="00BF1407"/>
    <w:rsid w:val="00BF1981"/>
    <w:rsid w:val="00BF19EF"/>
    <w:rsid w:val="00BF2EF6"/>
    <w:rsid w:val="00BF6EBC"/>
    <w:rsid w:val="00BF758F"/>
    <w:rsid w:val="00C00462"/>
    <w:rsid w:val="00C009C3"/>
    <w:rsid w:val="00C01A28"/>
    <w:rsid w:val="00C029C8"/>
    <w:rsid w:val="00C03C83"/>
    <w:rsid w:val="00C04513"/>
    <w:rsid w:val="00C04581"/>
    <w:rsid w:val="00C05669"/>
    <w:rsid w:val="00C0570E"/>
    <w:rsid w:val="00C06CEC"/>
    <w:rsid w:val="00C07826"/>
    <w:rsid w:val="00C11553"/>
    <w:rsid w:val="00C1346F"/>
    <w:rsid w:val="00C14222"/>
    <w:rsid w:val="00C14D83"/>
    <w:rsid w:val="00C156A8"/>
    <w:rsid w:val="00C1580E"/>
    <w:rsid w:val="00C165B8"/>
    <w:rsid w:val="00C16E93"/>
    <w:rsid w:val="00C17C7E"/>
    <w:rsid w:val="00C22860"/>
    <w:rsid w:val="00C23990"/>
    <w:rsid w:val="00C260DF"/>
    <w:rsid w:val="00C27B3D"/>
    <w:rsid w:val="00C31354"/>
    <w:rsid w:val="00C314B2"/>
    <w:rsid w:val="00C314D1"/>
    <w:rsid w:val="00C31FA7"/>
    <w:rsid w:val="00C34593"/>
    <w:rsid w:val="00C36F1C"/>
    <w:rsid w:val="00C374A2"/>
    <w:rsid w:val="00C37884"/>
    <w:rsid w:val="00C41A26"/>
    <w:rsid w:val="00C43358"/>
    <w:rsid w:val="00C44A82"/>
    <w:rsid w:val="00C45C1B"/>
    <w:rsid w:val="00C460DD"/>
    <w:rsid w:val="00C46C88"/>
    <w:rsid w:val="00C477EA"/>
    <w:rsid w:val="00C50EE4"/>
    <w:rsid w:val="00C5138A"/>
    <w:rsid w:val="00C51EC9"/>
    <w:rsid w:val="00C54133"/>
    <w:rsid w:val="00C54467"/>
    <w:rsid w:val="00C547A0"/>
    <w:rsid w:val="00C54834"/>
    <w:rsid w:val="00C55C75"/>
    <w:rsid w:val="00C56045"/>
    <w:rsid w:val="00C56A29"/>
    <w:rsid w:val="00C60CD7"/>
    <w:rsid w:val="00C6234B"/>
    <w:rsid w:val="00C627F2"/>
    <w:rsid w:val="00C62E22"/>
    <w:rsid w:val="00C633A7"/>
    <w:rsid w:val="00C633D2"/>
    <w:rsid w:val="00C63AE7"/>
    <w:rsid w:val="00C64B7F"/>
    <w:rsid w:val="00C64BCF"/>
    <w:rsid w:val="00C661C2"/>
    <w:rsid w:val="00C66A32"/>
    <w:rsid w:val="00C6709A"/>
    <w:rsid w:val="00C67C03"/>
    <w:rsid w:val="00C67DD7"/>
    <w:rsid w:val="00C67E91"/>
    <w:rsid w:val="00C704DE"/>
    <w:rsid w:val="00C707D6"/>
    <w:rsid w:val="00C70DD8"/>
    <w:rsid w:val="00C72813"/>
    <w:rsid w:val="00C7659C"/>
    <w:rsid w:val="00C76EED"/>
    <w:rsid w:val="00C8014D"/>
    <w:rsid w:val="00C815D6"/>
    <w:rsid w:val="00C83956"/>
    <w:rsid w:val="00C84B42"/>
    <w:rsid w:val="00C8567F"/>
    <w:rsid w:val="00C92CF1"/>
    <w:rsid w:val="00CA05D3"/>
    <w:rsid w:val="00CA134D"/>
    <w:rsid w:val="00CA41BA"/>
    <w:rsid w:val="00CA62B5"/>
    <w:rsid w:val="00CA6DDC"/>
    <w:rsid w:val="00CA7381"/>
    <w:rsid w:val="00CB08C1"/>
    <w:rsid w:val="00CB0F11"/>
    <w:rsid w:val="00CB1D25"/>
    <w:rsid w:val="00CB33F1"/>
    <w:rsid w:val="00CB49CB"/>
    <w:rsid w:val="00CB4BEF"/>
    <w:rsid w:val="00CB534A"/>
    <w:rsid w:val="00CB72E7"/>
    <w:rsid w:val="00CC29F3"/>
    <w:rsid w:val="00CC56AA"/>
    <w:rsid w:val="00CC5E26"/>
    <w:rsid w:val="00CC6554"/>
    <w:rsid w:val="00CC707B"/>
    <w:rsid w:val="00CD00F1"/>
    <w:rsid w:val="00CD01C9"/>
    <w:rsid w:val="00CD2728"/>
    <w:rsid w:val="00CD4A2D"/>
    <w:rsid w:val="00CD5C7F"/>
    <w:rsid w:val="00CD5CF6"/>
    <w:rsid w:val="00CD6226"/>
    <w:rsid w:val="00CD631F"/>
    <w:rsid w:val="00CD66F6"/>
    <w:rsid w:val="00CD72D7"/>
    <w:rsid w:val="00CD77FC"/>
    <w:rsid w:val="00CD7D17"/>
    <w:rsid w:val="00CE13CD"/>
    <w:rsid w:val="00CE3756"/>
    <w:rsid w:val="00CE5C0C"/>
    <w:rsid w:val="00CE5C6D"/>
    <w:rsid w:val="00CE66A0"/>
    <w:rsid w:val="00CE6B2A"/>
    <w:rsid w:val="00CE78E8"/>
    <w:rsid w:val="00CF04F3"/>
    <w:rsid w:val="00CF1112"/>
    <w:rsid w:val="00CF52E8"/>
    <w:rsid w:val="00CF5341"/>
    <w:rsid w:val="00CF6215"/>
    <w:rsid w:val="00CF726F"/>
    <w:rsid w:val="00CF76E3"/>
    <w:rsid w:val="00D0366C"/>
    <w:rsid w:val="00D03DC8"/>
    <w:rsid w:val="00D044CC"/>
    <w:rsid w:val="00D0614C"/>
    <w:rsid w:val="00D0709C"/>
    <w:rsid w:val="00D10F88"/>
    <w:rsid w:val="00D13BE9"/>
    <w:rsid w:val="00D13EB5"/>
    <w:rsid w:val="00D14491"/>
    <w:rsid w:val="00D15530"/>
    <w:rsid w:val="00D16475"/>
    <w:rsid w:val="00D17FBD"/>
    <w:rsid w:val="00D20FF8"/>
    <w:rsid w:val="00D23695"/>
    <w:rsid w:val="00D25AB5"/>
    <w:rsid w:val="00D25D52"/>
    <w:rsid w:val="00D267BB"/>
    <w:rsid w:val="00D27B2C"/>
    <w:rsid w:val="00D27E73"/>
    <w:rsid w:val="00D3149F"/>
    <w:rsid w:val="00D34972"/>
    <w:rsid w:val="00D34A10"/>
    <w:rsid w:val="00D34C2E"/>
    <w:rsid w:val="00D35FC3"/>
    <w:rsid w:val="00D37050"/>
    <w:rsid w:val="00D372FA"/>
    <w:rsid w:val="00D4082F"/>
    <w:rsid w:val="00D40AE9"/>
    <w:rsid w:val="00D41CEA"/>
    <w:rsid w:val="00D45B95"/>
    <w:rsid w:val="00D5060A"/>
    <w:rsid w:val="00D5183B"/>
    <w:rsid w:val="00D518A3"/>
    <w:rsid w:val="00D52C38"/>
    <w:rsid w:val="00D55C2F"/>
    <w:rsid w:val="00D55E0E"/>
    <w:rsid w:val="00D568B1"/>
    <w:rsid w:val="00D56B80"/>
    <w:rsid w:val="00D57E41"/>
    <w:rsid w:val="00D618C2"/>
    <w:rsid w:val="00D6213E"/>
    <w:rsid w:val="00D62375"/>
    <w:rsid w:val="00D623FD"/>
    <w:rsid w:val="00D630F1"/>
    <w:rsid w:val="00D6383C"/>
    <w:rsid w:val="00D649B6"/>
    <w:rsid w:val="00D64B5B"/>
    <w:rsid w:val="00D6661D"/>
    <w:rsid w:val="00D66D58"/>
    <w:rsid w:val="00D71A85"/>
    <w:rsid w:val="00D74583"/>
    <w:rsid w:val="00D74C28"/>
    <w:rsid w:val="00D758C1"/>
    <w:rsid w:val="00D76D3D"/>
    <w:rsid w:val="00D77BD8"/>
    <w:rsid w:val="00D802EA"/>
    <w:rsid w:val="00D80EE0"/>
    <w:rsid w:val="00D83730"/>
    <w:rsid w:val="00D8523C"/>
    <w:rsid w:val="00D86EBB"/>
    <w:rsid w:val="00D87DE7"/>
    <w:rsid w:val="00D91C9D"/>
    <w:rsid w:val="00D92947"/>
    <w:rsid w:val="00D93E47"/>
    <w:rsid w:val="00D94C94"/>
    <w:rsid w:val="00D963A8"/>
    <w:rsid w:val="00D96DC0"/>
    <w:rsid w:val="00D970BE"/>
    <w:rsid w:val="00DA043A"/>
    <w:rsid w:val="00DA0933"/>
    <w:rsid w:val="00DA0A75"/>
    <w:rsid w:val="00DA0CAF"/>
    <w:rsid w:val="00DA12F6"/>
    <w:rsid w:val="00DA352B"/>
    <w:rsid w:val="00DA37D7"/>
    <w:rsid w:val="00DA3EB5"/>
    <w:rsid w:val="00DA42F3"/>
    <w:rsid w:val="00DA4332"/>
    <w:rsid w:val="00DA49CA"/>
    <w:rsid w:val="00DA59DB"/>
    <w:rsid w:val="00DA78FC"/>
    <w:rsid w:val="00DB096D"/>
    <w:rsid w:val="00DB1E6B"/>
    <w:rsid w:val="00DB1F95"/>
    <w:rsid w:val="00DB204E"/>
    <w:rsid w:val="00DB243D"/>
    <w:rsid w:val="00DB2CF0"/>
    <w:rsid w:val="00DB53A1"/>
    <w:rsid w:val="00DB7FC4"/>
    <w:rsid w:val="00DC096C"/>
    <w:rsid w:val="00DC2B5E"/>
    <w:rsid w:val="00DC2F09"/>
    <w:rsid w:val="00DC37E0"/>
    <w:rsid w:val="00DC4889"/>
    <w:rsid w:val="00DD0F34"/>
    <w:rsid w:val="00DD1EAD"/>
    <w:rsid w:val="00DD4222"/>
    <w:rsid w:val="00DE053E"/>
    <w:rsid w:val="00DE5532"/>
    <w:rsid w:val="00DE6366"/>
    <w:rsid w:val="00DE6853"/>
    <w:rsid w:val="00DE6F99"/>
    <w:rsid w:val="00DE7178"/>
    <w:rsid w:val="00DE7A7F"/>
    <w:rsid w:val="00DE7B1F"/>
    <w:rsid w:val="00DF0661"/>
    <w:rsid w:val="00DF1E6F"/>
    <w:rsid w:val="00DF293D"/>
    <w:rsid w:val="00DF332D"/>
    <w:rsid w:val="00DF53D3"/>
    <w:rsid w:val="00DF627B"/>
    <w:rsid w:val="00DF69AA"/>
    <w:rsid w:val="00DF733E"/>
    <w:rsid w:val="00DF7F5D"/>
    <w:rsid w:val="00E04456"/>
    <w:rsid w:val="00E0483D"/>
    <w:rsid w:val="00E0623D"/>
    <w:rsid w:val="00E07BE8"/>
    <w:rsid w:val="00E12A6D"/>
    <w:rsid w:val="00E142C2"/>
    <w:rsid w:val="00E14CEC"/>
    <w:rsid w:val="00E16DB9"/>
    <w:rsid w:val="00E17916"/>
    <w:rsid w:val="00E21307"/>
    <w:rsid w:val="00E2302D"/>
    <w:rsid w:val="00E245AB"/>
    <w:rsid w:val="00E24B27"/>
    <w:rsid w:val="00E2589E"/>
    <w:rsid w:val="00E274B9"/>
    <w:rsid w:val="00E27503"/>
    <w:rsid w:val="00E301A2"/>
    <w:rsid w:val="00E3098E"/>
    <w:rsid w:val="00E30D87"/>
    <w:rsid w:val="00E31B1F"/>
    <w:rsid w:val="00E31D42"/>
    <w:rsid w:val="00E33A09"/>
    <w:rsid w:val="00E355AC"/>
    <w:rsid w:val="00E355DA"/>
    <w:rsid w:val="00E378A4"/>
    <w:rsid w:val="00E37A8B"/>
    <w:rsid w:val="00E4072B"/>
    <w:rsid w:val="00E40824"/>
    <w:rsid w:val="00E40910"/>
    <w:rsid w:val="00E41FE1"/>
    <w:rsid w:val="00E42382"/>
    <w:rsid w:val="00E437C6"/>
    <w:rsid w:val="00E44761"/>
    <w:rsid w:val="00E45FD0"/>
    <w:rsid w:val="00E519C6"/>
    <w:rsid w:val="00E541A3"/>
    <w:rsid w:val="00E54588"/>
    <w:rsid w:val="00E55E1B"/>
    <w:rsid w:val="00E56D26"/>
    <w:rsid w:val="00E5710E"/>
    <w:rsid w:val="00E5731C"/>
    <w:rsid w:val="00E61793"/>
    <w:rsid w:val="00E61C3F"/>
    <w:rsid w:val="00E64939"/>
    <w:rsid w:val="00E653D3"/>
    <w:rsid w:val="00E65417"/>
    <w:rsid w:val="00E72C94"/>
    <w:rsid w:val="00E72E8F"/>
    <w:rsid w:val="00E73E2C"/>
    <w:rsid w:val="00E744D8"/>
    <w:rsid w:val="00E7474A"/>
    <w:rsid w:val="00E7518C"/>
    <w:rsid w:val="00E762DD"/>
    <w:rsid w:val="00E776FB"/>
    <w:rsid w:val="00E77BEA"/>
    <w:rsid w:val="00E80C65"/>
    <w:rsid w:val="00E81565"/>
    <w:rsid w:val="00E81CB7"/>
    <w:rsid w:val="00E831A4"/>
    <w:rsid w:val="00E8382F"/>
    <w:rsid w:val="00E8402B"/>
    <w:rsid w:val="00E84418"/>
    <w:rsid w:val="00E86FDC"/>
    <w:rsid w:val="00E87B06"/>
    <w:rsid w:val="00E9058E"/>
    <w:rsid w:val="00E905B0"/>
    <w:rsid w:val="00E90A28"/>
    <w:rsid w:val="00E92087"/>
    <w:rsid w:val="00E953D5"/>
    <w:rsid w:val="00E95B6D"/>
    <w:rsid w:val="00E9624E"/>
    <w:rsid w:val="00E96252"/>
    <w:rsid w:val="00E9637E"/>
    <w:rsid w:val="00EA01BE"/>
    <w:rsid w:val="00EA1CA8"/>
    <w:rsid w:val="00EA1F7F"/>
    <w:rsid w:val="00EA2226"/>
    <w:rsid w:val="00EA5707"/>
    <w:rsid w:val="00EA5E06"/>
    <w:rsid w:val="00EA6419"/>
    <w:rsid w:val="00EA7E1B"/>
    <w:rsid w:val="00EB00B2"/>
    <w:rsid w:val="00EB074B"/>
    <w:rsid w:val="00EB0A10"/>
    <w:rsid w:val="00EB0D8D"/>
    <w:rsid w:val="00EB1881"/>
    <w:rsid w:val="00EB1CDF"/>
    <w:rsid w:val="00EB2235"/>
    <w:rsid w:val="00EB2492"/>
    <w:rsid w:val="00EB6AA6"/>
    <w:rsid w:val="00EC12AB"/>
    <w:rsid w:val="00EC27F8"/>
    <w:rsid w:val="00EC5283"/>
    <w:rsid w:val="00EC62B1"/>
    <w:rsid w:val="00EC65F5"/>
    <w:rsid w:val="00ED0FB0"/>
    <w:rsid w:val="00ED35BE"/>
    <w:rsid w:val="00ED78DB"/>
    <w:rsid w:val="00EE0E86"/>
    <w:rsid w:val="00EE137B"/>
    <w:rsid w:val="00EE2254"/>
    <w:rsid w:val="00EE2C55"/>
    <w:rsid w:val="00EE518C"/>
    <w:rsid w:val="00EE563F"/>
    <w:rsid w:val="00EF0D35"/>
    <w:rsid w:val="00EF1F86"/>
    <w:rsid w:val="00EF416D"/>
    <w:rsid w:val="00EF53DF"/>
    <w:rsid w:val="00EF6A82"/>
    <w:rsid w:val="00EF70D1"/>
    <w:rsid w:val="00EF73CA"/>
    <w:rsid w:val="00EF7CBA"/>
    <w:rsid w:val="00F000C8"/>
    <w:rsid w:val="00F00A36"/>
    <w:rsid w:val="00F01F1B"/>
    <w:rsid w:val="00F02700"/>
    <w:rsid w:val="00F03B47"/>
    <w:rsid w:val="00F03D02"/>
    <w:rsid w:val="00F05725"/>
    <w:rsid w:val="00F06092"/>
    <w:rsid w:val="00F06B6E"/>
    <w:rsid w:val="00F071DF"/>
    <w:rsid w:val="00F10180"/>
    <w:rsid w:val="00F1076C"/>
    <w:rsid w:val="00F11285"/>
    <w:rsid w:val="00F11C12"/>
    <w:rsid w:val="00F128B0"/>
    <w:rsid w:val="00F135A1"/>
    <w:rsid w:val="00F21555"/>
    <w:rsid w:val="00F21E2D"/>
    <w:rsid w:val="00F22186"/>
    <w:rsid w:val="00F2218F"/>
    <w:rsid w:val="00F24E5E"/>
    <w:rsid w:val="00F3105A"/>
    <w:rsid w:val="00F32078"/>
    <w:rsid w:val="00F33083"/>
    <w:rsid w:val="00F375EF"/>
    <w:rsid w:val="00F4013F"/>
    <w:rsid w:val="00F420F3"/>
    <w:rsid w:val="00F4396B"/>
    <w:rsid w:val="00F44191"/>
    <w:rsid w:val="00F462B1"/>
    <w:rsid w:val="00F479FC"/>
    <w:rsid w:val="00F50C46"/>
    <w:rsid w:val="00F522EE"/>
    <w:rsid w:val="00F52654"/>
    <w:rsid w:val="00F53055"/>
    <w:rsid w:val="00F530E6"/>
    <w:rsid w:val="00F55791"/>
    <w:rsid w:val="00F5647E"/>
    <w:rsid w:val="00F579CE"/>
    <w:rsid w:val="00F60C85"/>
    <w:rsid w:val="00F61886"/>
    <w:rsid w:val="00F61C3B"/>
    <w:rsid w:val="00F62D1D"/>
    <w:rsid w:val="00F63C62"/>
    <w:rsid w:val="00F647C5"/>
    <w:rsid w:val="00F66223"/>
    <w:rsid w:val="00F673C7"/>
    <w:rsid w:val="00F71AA9"/>
    <w:rsid w:val="00F753B3"/>
    <w:rsid w:val="00F76BD7"/>
    <w:rsid w:val="00F7716D"/>
    <w:rsid w:val="00F8038E"/>
    <w:rsid w:val="00F8100D"/>
    <w:rsid w:val="00F81B8E"/>
    <w:rsid w:val="00F8604C"/>
    <w:rsid w:val="00F86C1B"/>
    <w:rsid w:val="00F8756C"/>
    <w:rsid w:val="00F9009B"/>
    <w:rsid w:val="00F904C6"/>
    <w:rsid w:val="00F91413"/>
    <w:rsid w:val="00F91FAC"/>
    <w:rsid w:val="00F92698"/>
    <w:rsid w:val="00F947CA"/>
    <w:rsid w:val="00F95466"/>
    <w:rsid w:val="00F954BF"/>
    <w:rsid w:val="00F95944"/>
    <w:rsid w:val="00F96C9E"/>
    <w:rsid w:val="00FA0F67"/>
    <w:rsid w:val="00FA1981"/>
    <w:rsid w:val="00FA3234"/>
    <w:rsid w:val="00FA3A01"/>
    <w:rsid w:val="00FA4FFF"/>
    <w:rsid w:val="00FA560F"/>
    <w:rsid w:val="00FA5AAD"/>
    <w:rsid w:val="00FB01F6"/>
    <w:rsid w:val="00FB52F1"/>
    <w:rsid w:val="00FB5868"/>
    <w:rsid w:val="00FB72A3"/>
    <w:rsid w:val="00FB7FEB"/>
    <w:rsid w:val="00FC0C3D"/>
    <w:rsid w:val="00FC37C8"/>
    <w:rsid w:val="00FC3BF9"/>
    <w:rsid w:val="00FC4C38"/>
    <w:rsid w:val="00FC6A01"/>
    <w:rsid w:val="00FD244F"/>
    <w:rsid w:val="00FD350D"/>
    <w:rsid w:val="00FD3BC2"/>
    <w:rsid w:val="00FD3D1E"/>
    <w:rsid w:val="00FD3E95"/>
    <w:rsid w:val="00FD43D0"/>
    <w:rsid w:val="00FD65EB"/>
    <w:rsid w:val="00FD7D29"/>
    <w:rsid w:val="00FE2106"/>
    <w:rsid w:val="00FE3A9F"/>
    <w:rsid w:val="00FE3CFE"/>
    <w:rsid w:val="00FE5F40"/>
    <w:rsid w:val="00FE68C8"/>
    <w:rsid w:val="00FE69B7"/>
    <w:rsid w:val="00FE6F0E"/>
    <w:rsid w:val="00FE72A6"/>
    <w:rsid w:val="00FE74E3"/>
    <w:rsid w:val="00FF00FD"/>
    <w:rsid w:val="00FF1B17"/>
    <w:rsid w:val="00FF36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C9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1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1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1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1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1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1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1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1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1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1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1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1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149"/>
    <w:rPr>
      <w:rFonts w:eastAsiaTheme="majorEastAsia" w:cstheme="majorBidi"/>
      <w:color w:val="272727" w:themeColor="text1" w:themeTint="D8"/>
    </w:rPr>
  </w:style>
  <w:style w:type="paragraph" w:styleId="Title">
    <w:name w:val="Title"/>
    <w:basedOn w:val="Normal"/>
    <w:next w:val="Normal"/>
    <w:link w:val="TitleChar"/>
    <w:uiPriority w:val="10"/>
    <w:qFormat/>
    <w:rsid w:val="007E1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1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149"/>
    <w:pPr>
      <w:spacing w:before="160"/>
      <w:jc w:val="center"/>
    </w:pPr>
    <w:rPr>
      <w:i/>
      <w:iCs/>
      <w:color w:val="404040" w:themeColor="text1" w:themeTint="BF"/>
    </w:rPr>
  </w:style>
  <w:style w:type="character" w:customStyle="1" w:styleId="QuoteChar">
    <w:name w:val="Quote Char"/>
    <w:basedOn w:val="DefaultParagraphFont"/>
    <w:link w:val="Quote"/>
    <w:uiPriority w:val="29"/>
    <w:rsid w:val="007E1149"/>
    <w:rPr>
      <w:i/>
      <w:iCs/>
      <w:color w:val="404040" w:themeColor="text1" w:themeTint="BF"/>
    </w:rPr>
  </w:style>
  <w:style w:type="paragraph" w:styleId="ListParagraph">
    <w:name w:val="List Paragraph"/>
    <w:basedOn w:val="Normal"/>
    <w:uiPriority w:val="34"/>
    <w:qFormat/>
    <w:rsid w:val="007E1149"/>
    <w:pPr>
      <w:ind w:left="720"/>
      <w:contextualSpacing/>
    </w:pPr>
  </w:style>
  <w:style w:type="character" w:styleId="IntenseEmphasis">
    <w:name w:val="Intense Emphasis"/>
    <w:basedOn w:val="DefaultParagraphFont"/>
    <w:uiPriority w:val="21"/>
    <w:qFormat/>
    <w:rsid w:val="007E1149"/>
    <w:rPr>
      <w:i/>
      <w:iCs/>
      <w:color w:val="0F4761" w:themeColor="accent1" w:themeShade="BF"/>
    </w:rPr>
  </w:style>
  <w:style w:type="paragraph" w:styleId="IntenseQuote">
    <w:name w:val="Intense Quote"/>
    <w:basedOn w:val="Normal"/>
    <w:next w:val="Normal"/>
    <w:link w:val="IntenseQuoteChar"/>
    <w:uiPriority w:val="30"/>
    <w:qFormat/>
    <w:rsid w:val="007E1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149"/>
    <w:rPr>
      <w:i/>
      <w:iCs/>
      <w:color w:val="0F4761" w:themeColor="accent1" w:themeShade="BF"/>
    </w:rPr>
  </w:style>
  <w:style w:type="character" w:styleId="IntenseReference">
    <w:name w:val="Intense Reference"/>
    <w:basedOn w:val="DefaultParagraphFont"/>
    <w:uiPriority w:val="32"/>
    <w:qFormat/>
    <w:rsid w:val="007E1149"/>
    <w:rPr>
      <w:b/>
      <w:bCs/>
      <w:smallCaps/>
      <w:color w:val="0F4761" w:themeColor="accent1" w:themeShade="BF"/>
      <w:spacing w:val="5"/>
    </w:rPr>
  </w:style>
  <w:style w:type="table" w:styleId="TableGrid">
    <w:name w:val="Table Grid"/>
    <w:basedOn w:val="TableNormal"/>
    <w:uiPriority w:val="39"/>
    <w:rsid w:val="00BC4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83250"/>
    <w:pPr>
      <w:spacing w:after="200" w:line="240" w:lineRule="auto"/>
    </w:pPr>
    <w:rPr>
      <w:i/>
      <w:iCs/>
      <w:color w:val="0E2841" w:themeColor="text2"/>
      <w:sz w:val="18"/>
      <w:szCs w:val="18"/>
    </w:rPr>
  </w:style>
  <w:style w:type="paragraph" w:customStyle="1" w:styleId="ParaNoG">
    <w:name w:val="_ParaNo._G"/>
    <w:basedOn w:val="Normal"/>
    <w:rsid w:val="003133BC"/>
    <w:pPr>
      <w:numPr>
        <w:numId w:val="1"/>
      </w:numPr>
      <w:suppressAutoHyphens/>
      <w:kinsoku w:val="0"/>
      <w:overflowPunct w:val="0"/>
      <w:autoSpaceDE w:val="0"/>
      <w:autoSpaceDN w:val="0"/>
      <w:adjustRightInd w:val="0"/>
      <w:snapToGrid w:val="0"/>
      <w:spacing w:after="120" w:line="240" w:lineRule="atLeast"/>
      <w:ind w:right="1134"/>
      <w:jc w:val="both"/>
    </w:pPr>
    <w:rPr>
      <w:rFonts w:ascii="Times New Roman" w:hAnsi="Times New Roman" w:cs="Times New Roman"/>
      <w:kern w:val="0"/>
      <w:sz w:val="20"/>
      <w:szCs w:val="20"/>
      <w:lang w:val="en-GB"/>
      <w14:ligatures w14:val="none"/>
    </w:rPr>
  </w:style>
  <w:style w:type="paragraph" w:styleId="FootnoteText">
    <w:name w:val="footnote text"/>
    <w:aliases w:val="5_G,ADB,single space,fn,ft,Footnote Text Char1,Footnote Text Char Char,FOOTNOTES,Schriftart: 9 pt,Schriftart: 10 pt,Schriftart: 8 pt,Footnotes,Footnote ak,Footnote Text Char1 Char1 Char,Footnote Text Char Char Char1 Char,footnote text Char"/>
    <w:basedOn w:val="Normal"/>
    <w:link w:val="FootnoteTextChar"/>
    <w:uiPriority w:val="99"/>
    <w:qFormat/>
    <w:rsid w:val="003133BC"/>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hAnsi="Times New Roman" w:cs="Times New Roman"/>
      <w:kern w:val="0"/>
      <w:sz w:val="18"/>
      <w:szCs w:val="20"/>
      <w:lang w:val="en-GB"/>
      <w14:ligatures w14:val="none"/>
    </w:rPr>
  </w:style>
  <w:style w:type="character" w:customStyle="1" w:styleId="FootnoteTextChar">
    <w:name w:val="Footnote Text Char"/>
    <w:aliases w:val="5_G Char,ADB Char,single space Char,fn Char,ft Char,Footnote Text Char1 Char,Footnote Text Char Char Char,FOOTNOTES Char,Schriftart: 9 pt Char,Schriftart: 10 pt Char,Schriftart: 8 pt Char,Footnotes Char,Footnote ak Char"/>
    <w:basedOn w:val="DefaultParagraphFont"/>
    <w:link w:val="FootnoteText"/>
    <w:uiPriority w:val="99"/>
    <w:qFormat/>
    <w:rsid w:val="003133BC"/>
    <w:rPr>
      <w:rFonts w:ascii="Times New Roman" w:hAnsi="Times New Roman" w:cs="Times New Roman"/>
      <w:kern w:val="0"/>
      <w:sz w:val="18"/>
      <w:szCs w:val="20"/>
      <w:lang w:val="en-GB"/>
      <w14:ligatures w14:val="none"/>
    </w:rPr>
  </w:style>
  <w:style w:type="character" w:styleId="FootnoteReference">
    <w:name w:val="footnote reference"/>
    <w:aliases w:val="4_G,Ref,de nota al pie,ftref, BVI fnr,16 Point,Superscript 6 Point,(Diplomarbeit FZ),BVI fnr,Знак сноски 1,FNRefe Char Char Char,BVI fnr Char Char Char,BVI fnr Char Char Char Char,BVI fnr Car Car Char Char Char Char,Style 12,FR,Style "/>
    <w:link w:val="Char2"/>
    <w:uiPriority w:val="99"/>
    <w:qFormat/>
    <w:rsid w:val="003133BC"/>
    <w:rPr>
      <w:rFonts w:ascii="Times New Roman" w:hAnsi="Times New Roman"/>
      <w:sz w:val="18"/>
      <w:vertAlign w:val="superscript"/>
    </w:rPr>
  </w:style>
  <w:style w:type="paragraph" w:customStyle="1" w:styleId="Char2">
    <w:name w:val="Char2"/>
    <w:basedOn w:val="Normal"/>
    <w:link w:val="FootnoteReference"/>
    <w:uiPriority w:val="99"/>
    <w:rsid w:val="003133BC"/>
    <w:pPr>
      <w:spacing w:line="240" w:lineRule="exact"/>
      <w:jc w:val="both"/>
    </w:pPr>
    <w:rPr>
      <w:rFonts w:ascii="Times New Roman" w:hAnsi="Times New Roman"/>
      <w:sz w:val="18"/>
      <w:vertAlign w:val="superscript"/>
    </w:rPr>
  </w:style>
  <w:style w:type="paragraph" w:styleId="Revision">
    <w:name w:val="Revision"/>
    <w:hidden/>
    <w:uiPriority w:val="99"/>
    <w:semiHidden/>
    <w:rsid w:val="0010029A"/>
    <w:pPr>
      <w:spacing w:after="0" w:line="240" w:lineRule="auto"/>
    </w:pPr>
  </w:style>
  <w:style w:type="character" w:styleId="CommentReference">
    <w:name w:val="annotation reference"/>
    <w:basedOn w:val="DefaultParagraphFont"/>
    <w:uiPriority w:val="99"/>
    <w:semiHidden/>
    <w:unhideWhenUsed/>
    <w:rsid w:val="0010029A"/>
    <w:rPr>
      <w:sz w:val="16"/>
      <w:szCs w:val="16"/>
    </w:rPr>
  </w:style>
  <w:style w:type="paragraph" w:styleId="CommentText">
    <w:name w:val="annotation text"/>
    <w:basedOn w:val="Normal"/>
    <w:link w:val="CommentTextChar"/>
    <w:uiPriority w:val="99"/>
    <w:unhideWhenUsed/>
    <w:rsid w:val="0010029A"/>
    <w:pPr>
      <w:spacing w:line="240" w:lineRule="auto"/>
    </w:pPr>
    <w:rPr>
      <w:sz w:val="20"/>
      <w:szCs w:val="20"/>
    </w:rPr>
  </w:style>
  <w:style w:type="character" w:customStyle="1" w:styleId="CommentTextChar">
    <w:name w:val="Comment Text Char"/>
    <w:basedOn w:val="DefaultParagraphFont"/>
    <w:link w:val="CommentText"/>
    <w:uiPriority w:val="99"/>
    <w:rsid w:val="0010029A"/>
    <w:rPr>
      <w:sz w:val="20"/>
      <w:szCs w:val="20"/>
    </w:rPr>
  </w:style>
  <w:style w:type="paragraph" w:styleId="CommentSubject">
    <w:name w:val="annotation subject"/>
    <w:basedOn w:val="CommentText"/>
    <w:next w:val="CommentText"/>
    <w:link w:val="CommentSubjectChar"/>
    <w:uiPriority w:val="99"/>
    <w:semiHidden/>
    <w:unhideWhenUsed/>
    <w:rsid w:val="0010029A"/>
    <w:rPr>
      <w:b/>
      <w:bCs/>
    </w:rPr>
  </w:style>
  <w:style w:type="character" w:customStyle="1" w:styleId="CommentSubjectChar">
    <w:name w:val="Comment Subject Char"/>
    <w:basedOn w:val="CommentTextChar"/>
    <w:link w:val="CommentSubject"/>
    <w:uiPriority w:val="99"/>
    <w:semiHidden/>
    <w:rsid w:val="0010029A"/>
    <w:rPr>
      <w:b/>
      <w:bCs/>
      <w:sz w:val="20"/>
      <w:szCs w:val="20"/>
    </w:rPr>
  </w:style>
  <w:style w:type="paragraph" w:customStyle="1" w:styleId="Default">
    <w:name w:val="Default"/>
    <w:rsid w:val="005D3817"/>
    <w:pPr>
      <w:autoSpaceDE w:val="0"/>
      <w:autoSpaceDN w:val="0"/>
      <w:adjustRightInd w:val="0"/>
      <w:spacing w:after="0" w:line="240" w:lineRule="auto"/>
    </w:pPr>
    <w:rPr>
      <w:rFonts w:ascii="Arial" w:hAnsi="Arial" w:cs="Arial"/>
      <w:color w:val="000000"/>
      <w:kern w:val="0"/>
    </w:rPr>
  </w:style>
  <w:style w:type="paragraph" w:styleId="NormalWeb">
    <w:name w:val="Normal (Web)"/>
    <w:basedOn w:val="Normal"/>
    <w:uiPriority w:val="99"/>
    <w:unhideWhenUsed/>
    <w:rsid w:val="00BA12B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FC3BF9"/>
  </w:style>
  <w:style w:type="character" w:customStyle="1" w:styleId="eop">
    <w:name w:val="eop"/>
    <w:basedOn w:val="DefaultParagraphFont"/>
    <w:rsid w:val="00D74C28"/>
  </w:style>
  <w:style w:type="paragraph" w:customStyle="1" w:styleId="paragraph">
    <w:name w:val="paragraph"/>
    <w:basedOn w:val="Normal"/>
    <w:rsid w:val="00EC27F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acimagecontainer">
    <w:name w:val="wacimagecontainer"/>
    <w:basedOn w:val="DefaultParagraphFont"/>
    <w:rsid w:val="00EC27F8"/>
  </w:style>
  <w:style w:type="paragraph" w:styleId="Header">
    <w:name w:val="header"/>
    <w:basedOn w:val="Normal"/>
    <w:link w:val="HeaderChar"/>
    <w:uiPriority w:val="99"/>
    <w:unhideWhenUsed/>
    <w:rsid w:val="00FE3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A9F"/>
  </w:style>
  <w:style w:type="paragraph" w:styleId="Footer">
    <w:name w:val="footer"/>
    <w:basedOn w:val="Normal"/>
    <w:link w:val="FooterChar"/>
    <w:uiPriority w:val="99"/>
    <w:unhideWhenUsed/>
    <w:rsid w:val="00FE3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A9F"/>
  </w:style>
  <w:style w:type="character" w:customStyle="1" w:styleId="cf01">
    <w:name w:val="cf01"/>
    <w:basedOn w:val="DefaultParagraphFont"/>
    <w:rsid w:val="00645DA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560058">
      <w:bodyDiv w:val="1"/>
      <w:marLeft w:val="0"/>
      <w:marRight w:val="0"/>
      <w:marTop w:val="0"/>
      <w:marBottom w:val="0"/>
      <w:divBdr>
        <w:top w:val="none" w:sz="0" w:space="0" w:color="auto"/>
        <w:left w:val="none" w:sz="0" w:space="0" w:color="auto"/>
        <w:bottom w:val="none" w:sz="0" w:space="0" w:color="auto"/>
        <w:right w:val="none" w:sz="0" w:space="0" w:color="auto"/>
      </w:divBdr>
      <w:divsChild>
        <w:div w:id="620764996">
          <w:marLeft w:val="0"/>
          <w:marRight w:val="0"/>
          <w:marTop w:val="0"/>
          <w:marBottom w:val="0"/>
          <w:divBdr>
            <w:top w:val="none" w:sz="0" w:space="0" w:color="auto"/>
            <w:left w:val="none" w:sz="0" w:space="0" w:color="auto"/>
            <w:bottom w:val="none" w:sz="0" w:space="0" w:color="auto"/>
            <w:right w:val="none" w:sz="0" w:space="0" w:color="auto"/>
          </w:divBdr>
        </w:div>
        <w:div w:id="278686886">
          <w:marLeft w:val="0"/>
          <w:marRight w:val="0"/>
          <w:marTop w:val="0"/>
          <w:marBottom w:val="0"/>
          <w:divBdr>
            <w:top w:val="none" w:sz="0" w:space="0" w:color="auto"/>
            <w:left w:val="none" w:sz="0" w:space="0" w:color="auto"/>
            <w:bottom w:val="none" w:sz="0" w:space="0" w:color="auto"/>
            <w:right w:val="none" w:sz="0" w:space="0" w:color="auto"/>
          </w:divBdr>
        </w:div>
        <w:div w:id="1191720310">
          <w:marLeft w:val="0"/>
          <w:marRight w:val="0"/>
          <w:marTop w:val="0"/>
          <w:marBottom w:val="0"/>
          <w:divBdr>
            <w:top w:val="none" w:sz="0" w:space="0" w:color="auto"/>
            <w:left w:val="none" w:sz="0" w:space="0" w:color="auto"/>
            <w:bottom w:val="none" w:sz="0" w:space="0" w:color="auto"/>
            <w:right w:val="none" w:sz="0" w:space="0" w:color="auto"/>
          </w:divBdr>
        </w:div>
        <w:div w:id="45643521">
          <w:marLeft w:val="0"/>
          <w:marRight w:val="0"/>
          <w:marTop w:val="0"/>
          <w:marBottom w:val="0"/>
          <w:divBdr>
            <w:top w:val="none" w:sz="0" w:space="0" w:color="auto"/>
            <w:left w:val="none" w:sz="0" w:space="0" w:color="auto"/>
            <w:bottom w:val="none" w:sz="0" w:space="0" w:color="auto"/>
            <w:right w:val="none" w:sz="0" w:space="0" w:color="auto"/>
          </w:divBdr>
        </w:div>
        <w:div w:id="211577421">
          <w:marLeft w:val="0"/>
          <w:marRight w:val="0"/>
          <w:marTop w:val="0"/>
          <w:marBottom w:val="0"/>
          <w:divBdr>
            <w:top w:val="none" w:sz="0" w:space="0" w:color="auto"/>
            <w:left w:val="none" w:sz="0" w:space="0" w:color="auto"/>
            <w:bottom w:val="none" w:sz="0" w:space="0" w:color="auto"/>
            <w:right w:val="none" w:sz="0" w:space="0" w:color="auto"/>
          </w:divBdr>
        </w:div>
      </w:divsChild>
    </w:div>
    <w:div w:id="1267955852">
      <w:bodyDiv w:val="1"/>
      <w:marLeft w:val="0"/>
      <w:marRight w:val="0"/>
      <w:marTop w:val="0"/>
      <w:marBottom w:val="0"/>
      <w:divBdr>
        <w:top w:val="none" w:sz="0" w:space="0" w:color="auto"/>
        <w:left w:val="none" w:sz="0" w:space="0" w:color="auto"/>
        <w:bottom w:val="none" w:sz="0" w:space="0" w:color="auto"/>
        <w:right w:val="none" w:sz="0" w:space="0" w:color="auto"/>
      </w:divBdr>
      <w:divsChild>
        <w:div w:id="1644773989">
          <w:marLeft w:val="0"/>
          <w:marRight w:val="0"/>
          <w:marTop w:val="0"/>
          <w:marBottom w:val="0"/>
          <w:divBdr>
            <w:top w:val="none" w:sz="0" w:space="0" w:color="auto"/>
            <w:left w:val="none" w:sz="0" w:space="0" w:color="auto"/>
            <w:bottom w:val="none" w:sz="0" w:space="0" w:color="auto"/>
            <w:right w:val="none" w:sz="0" w:space="0" w:color="auto"/>
          </w:divBdr>
          <w:divsChild>
            <w:div w:id="2065063505">
              <w:marLeft w:val="0"/>
              <w:marRight w:val="0"/>
              <w:marTop w:val="0"/>
              <w:marBottom w:val="0"/>
              <w:divBdr>
                <w:top w:val="none" w:sz="0" w:space="0" w:color="auto"/>
                <w:left w:val="none" w:sz="0" w:space="0" w:color="auto"/>
                <w:bottom w:val="none" w:sz="0" w:space="0" w:color="auto"/>
                <w:right w:val="none" w:sz="0" w:space="0" w:color="auto"/>
              </w:divBdr>
              <w:divsChild>
                <w:div w:id="9833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https://unitednations-my.sharepoint.com/personal/keith_lockwood_un_org/Documents/FfD4/Policy%20Briefs/External%20Debt%20Sustainability%20Analysis%20and%20Creditor%20Composition%2011%20Sept%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https://unitednations-my.sharepoint.com/personal/xinyuan_cui_un_org/Documents/World%20bank%20IDS/Average%20interest%20and%20maturity/Average%20interest%20in%20developing%20countri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eith.lockwood\AppData\Local\Microsoft\Windows\INetCache\Content.Outlook\8O8C9P3H\Average%20maturity%20in%20developing%20countir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eith.lockwood\AppData\Local\Microsoft\Windows\INetCache\Content.Outlook\8O8C9P3H\Average%20maturity%20in%20developing%20countire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dPt>
            <c:idx val="0"/>
            <c:bubble3D val="0"/>
            <c:spPr>
              <a:solidFill>
                <a:schemeClr val="tx2"/>
              </a:solidFill>
              <a:ln w="19050">
                <a:solidFill>
                  <a:schemeClr val="lt1"/>
                </a:solidFill>
              </a:ln>
              <a:effectLst/>
            </c:spPr>
            <c:extLst>
              <c:ext xmlns:c16="http://schemas.microsoft.com/office/drawing/2014/chart" uri="{C3380CC4-5D6E-409C-BE32-E72D297353CC}">
                <c16:uniqueId val="{00000001-1CDC-48B4-AA9E-22EEBFBE6D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CDC-48B4-AA9E-22EEBFBE6D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CDC-48B4-AA9E-22EEBFBE6DB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CDC-48B4-AA9E-22EEBFBE6DB2}"/>
              </c:ext>
            </c:extLst>
          </c:dPt>
          <c:dPt>
            <c:idx val="4"/>
            <c:bubble3D val="0"/>
            <c:spPr>
              <a:solidFill>
                <a:schemeClr val="accent2"/>
              </a:solidFill>
              <a:ln w="19050">
                <a:solidFill>
                  <a:schemeClr val="lt1"/>
                </a:solidFill>
              </a:ln>
              <a:effectLst/>
            </c:spPr>
            <c:extLst>
              <c:ext xmlns:c16="http://schemas.microsoft.com/office/drawing/2014/chart" uri="{C3380CC4-5D6E-409C-BE32-E72D297353CC}">
                <c16:uniqueId val="{00000009-1CDC-48B4-AA9E-22EEBFBE6DB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CDC-48B4-AA9E-22EEBFBE6DB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CDC-48B4-AA9E-22EEBFBE6DB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CDC-48B4-AA9E-22EEBFBE6DB2}"/>
              </c:ext>
            </c:extLst>
          </c:dPt>
          <c:dPt>
            <c:idx val="8"/>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11-1CDC-48B4-AA9E-22EEBFBE6DB2}"/>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1CDC-48B4-AA9E-22EEBFBE6DB2}"/>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1CDC-48B4-AA9E-22EEBFBE6DB2}"/>
              </c:ext>
            </c:extLst>
          </c:dPt>
          <c:dLbls>
            <c:dLbl>
              <c:idx val="4"/>
              <c:layout>
                <c:manualLayout>
                  <c:x val="2.5000000000000001E-2"/>
                  <c:y val="2.0623872131992783E-2"/>
                </c:manualLayout>
              </c:layout>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1CDC-48B4-AA9E-22EEBFBE6D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Sheet4!$N$185:$N$195</c:f>
              <c:strCache>
                <c:ptCount val="11"/>
                <c:pt idx="0">
                  <c:v>Multilateral</c:v>
                </c:pt>
                <c:pt idx="1">
                  <c:v>IMF</c:v>
                </c:pt>
                <c:pt idx="2">
                  <c:v>World Bank</c:v>
                </c:pt>
                <c:pt idx="3">
                  <c:v>Other MDBs</c:v>
                </c:pt>
                <c:pt idx="4">
                  <c:v>Bilateral</c:v>
                </c:pt>
                <c:pt idx="5">
                  <c:v>Paris Club</c:v>
                </c:pt>
                <c:pt idx="6">
                  <c:v>Non-Paris Club Excluding China</c:v>
                </c:pt>
                <c:pt idx="7">
                  <c:v>China</c:v>
                </c:pt>
                <c:pt idx="8">
                  <c:v>Private</c:v>
                </c:pt>
                <c:pt idx="9">
                  <c:v>Bondholders</c:v>
                </c:pt>
                <c:pt idx="10">
                  <c:v>Other Lenders</c:v>
                </c:pt>
              </c:strCache>
            </c:strRef>
          </c:cat>
          <c:val>
            <c:numRef>
              <c:f>Sheet4!$O$185:$O$195</c:f>
              <c:numCache>
                <c:formatCode>General</c:formatCode>
                <c:ptCount val="11"/>
                <c:pt idx="0" formatCode="_ * #,##0.0_ ;_ * \-#,##0.0_ ;_ * &quot;-&quot;??_ ;_ @_ ">
                  <c:v>33.157576344652945</c:v>
                </c:pt>
                <c:pt idx="4" formatCode="_ * #,##0.0_ ;_ * \-#,##0.0_ ;_ * &quot;-&quot;??_ ;_ @_ ">
                  <c:v>12.301031282668585</c:v>
                </c:pt>
                <c:pt idx="8" formatCode="_ * #,##0.0_ ;_ * \-#,##0.0_ ;_ * &quot;-&quot;??_ ;_ @_ ">
                  <c:v>54.541392372678459</c:v>
                </c:pt>
              </c:numCache>
            </c:numRef>
          </c:val>
          <c:extLst>
            <c:ext xmlns:c16="http://schemas.microsoft.com/office/drawing/2014/chart" uri="{C3380CC4-5D6E-409C-BE32-E72D297353CC}">
              <c16:uniqueId val="{00000016-1CDC-48B4-AA9E-22EEBFBE6DB2}"/>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8-1CDC-48B4-AA9E-22EEBFBE6DB2}"/>
              </c:ext>
            </c:extLst>
          </c:dPt>
          <c:dPt>
            <c:idx val="1"/>
            <c:bubble3D val="0"/>
            <c:spPr>
              <a:solidFill>
                <a:schemeClr val="tx2">
                  <a:alpha val="40000"/>
                </a:schemeClr>
              </a:solidFill>
              <a:ln w="19050">
                <a:solidFill>
                  <a:schemeClr val="lt1"/>
                </a:solidFill>
              </a:ln>
              <a:effectLst/>
            </c:spPr>
            <c:extLst>
              <c:ext xmlns:c16="http://schemas.microsoft.com/office/drawing/2014/chart" uri="{C3380CC4-5D6E-409C-BE32-E72D297353CC}">
                <c16:uniqueId val="{0000001A-1CDC-48B4-AA9E-22EEBFBE6DB2}"/>
              </c:ext>
            </c:extLst>
          </c:dPt>
          <c:dPt>
            <c:idx val="2"/>
            <c:bubble3D val="0"/>
            <c:spPr>
              <a:solidFill>
                <a:schemeClr val="tx2">
                  <a:alpha val="60000"/>
                </a:schemeClr>
              </a:solidFill>
              <a:ln w="19050">
                <a:solidFill>
                  <a:schemeClr val="lt1"/>
                </a:solidFill>
              </a:ln>
              <a:effectLst/>
            </c:spPr>
            <c:extLst>
              <c:ext xmlns:c16="http://schemas.microsoft.com/office/drawing/2014/chart" uri="{C3380CC4-5D6E-409C-BE32-E72D297353CC}">
                <c16:uniqueId val="{0000001C-1CDC-48B4-AA9E-22EEBFBE6DB2}"/>
              </c:ext>
            </c:extLst>
          </c:dPt>
          <c:dPt>
            <c:idx val="3"/>
            <c:bubble3D val="0"/>
            <c:spPr>
              <a:solidFill>
                <a:schemeClr val="tx2">
                  <a:alpha val="80000"/>
                </a:schemeClr>
              </a:solidFill>
              <a:ln w="19050">
                <a:solidFill>
                  <a:schemeClr val="lt1"/>
                </a:solidFill>
              </a:ln>
              <a:effectLst/>
            </c:spPr>
            <c:extLst>
              <c:ext xmlns:c16="http://schemas.microsoft.com/office/drawing/2014/chart" uri="{C3380CC4-5D6E-409C-BE32-E72D297353CC}">
                <c16:uniqueId val="{0000001E-1CDC-48B4-AA9E-22EEBFBE6DB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0-1CDC-48B4-AA9E-22EEBFBE6DB2}"/>
              </c:ext>
            </c:extLst>
          </c:dPt>
          <c:dPt>
            <c:idx val="5"/>
            <c:bubble3D val="0"/>
            <c:spPr>
              <a:solidFill>
                <a:schemeClr val="accent2">
                  <a:alpha val="80000"/>
                </a:schemeClr>
              </a:solidFill>
              <a:ln w="19050">
                <a:solidFill>
                  <a:schemeClr val="lt1"/>
                </a:solidFill>
              </a:ln>
              <a:effectLst/>
            </c:spPr>
            <c:extLst>
              <c:ext xmlns:c16="http://schemas.microsoft.com/office/drawing/2014/chart" uri="{C3380CC4-5D6E-409C-BE32-E72D297353CC}">
                <c16:uniqueId val="{00000022-1CDC-48B4-AA9E-22EEBFBE6DB2}"/>
              </c:ext>
            </c:extLst>
          </c:dPt>
          <c:dPt>
            <c:idx val="6"/>
            <c:bubble3D val="0"/>
            <c:spPr>
              <a:solidFill>
                <a:schemeClr val="accent2">
                  <a:alpha val="60000"/>
                </a:schemeClr>
              </a:solidFill>
              <a:ln w="19050">
                <a:solidFill>
                  <a:schemeClr val="lt1"/>
                </a:solidFill>
              </a:ln>
              <a:effectLst/>
            </c:spPr>
            <c:extLst>
              <c:ext xmlns:c16="http://schemas.microsoft.com/office/drawing/2014/chart" uri="{C3380CC4-5D6E-409C-BE32-E72D297353CC}">
                <c16:uniqueId val="{00000024-1CDC-48B4-AA9E-22EEBFBE6DB2}"/>
              </c:ext>
            </c:extLst>
          </c:dPt>
          <c:dPt>
            <c:idx val="7"/>
            <c:bubble3D val="0"/>
            <c:spPr>
              <a:solidFill>
                <a:schemeClr val="accent2">
                  <a:alpha val="40000"/>
                </a:schemeClr>
              </a:solidFill>
              <a:ln w="19050">
                <a:solidFill>
                  <a:schemeClr val="lt1"/>
                </a:solidFill>
              </a:ln>
              <a:effectLst/>
            </c:spPr>
            <c:extLst>
              <c:ext xmlns:c16="http://schemas.microsoft.com/office/drawing/2014/chart" uri="{C3380CC4-5D6E-409C-BE32-E72D297353CC}">
                <c16:uniqueId val="{00000026-1CDC-48B4-AA9E-22EEBFBE6DB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8-1CDC-48B4-AA9E-22EEBFBE6DB2}"/>
              </c:ext>
            </c:extLst>
          </c:dPt>
          <c:dPt>
            <c:idx val="9"/>
            <c:bubble3D val="0"/>
            <c:spPr>
              <a:solidFill>
                <a:schemeClr val="accent3">
                  <a:lumMod val="50000"/>
                  <a:alpha val="80000"/>
                </a:schemeClr>
              </a:solidFill>
              <a:ln w="19050">
                <a:solidFill>
                  <a:schemeClr val="lt1"/>
                </a:solidFill>
              </a:ln>
              <a:effectLst/>
            </c:spPr>
            <c:extLst>
              <c:ext xmlns:c16="http://schemas.microsoft.com/office/drawing/2014/chart" uri="{C3380CC4-5D6E-409C-BE32-E72D297353CC}">
                <c16:uniqueId val="{0000002A-1CDC-48B4-AA9E-22EEBFBE6DB2}"/>
              </c:ext>
            </c:extLst>
          </c:dPt>
          <c:dPt>
            <c:idx val="10"/>
            <c:bubble3D val="0"/>
            <c:spPr>
              <a:solidFill>
                <a:schemeClr val="accent3">
                  <a:lumMod val="50000"/>
                  <a:alpha val="60000"/>
                </a:schemeClr>
              </a:solidFill>
              <a:ln w="19050">
                <a:solidFill>
                  <a:schemeClr val="lt1"/>
                </a:solidFill>
              </a:ln>
              <a:effectLst/>
            </c:spPr>
            <c:extLst>
              <c:ext xmlns:c16="http://schemas.microsoft.com/office/drawing/2014/chart" uri="{C3380CC4-5D6E-409C-BE32-E72D297353CC}">
                <c16:uniqueId val="{0000002C-1CDC-48B4-AA9E-22EEBFBE6DB2}"/>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CDC-48B4-AA9E-22EEBFBE6DB2}"/>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E-1CDC-48B4-AA9E-22EEBFBE6DB2}"/>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2-1CDC-48B4-AA9E-22EEBFBE6DB2}"/>
                </c:ext>
              </c:extLst>
            </c:dLbl>
            <c:dLbl>
              <c:idx val="6"/>
              <c:layout>
                <c:manualLayout>
                  <c:x val="0.17499999999999991"/>
                  <c:y val="0.12889920082495487"/>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24-1CDC-48B4-AA9E-22EEBFBE6DB2}"/>
                </c:ext>
              </c:extLst>
            </c:dLbl>
            <c:dLbl>
              <c:idx val="7"/>
              <c:layout>
                <c:manualLayout>
                  <c:x val="1.9444444444444445E-2"/>
                  <c:y val="3.8669760247486466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26-1CDC-48B4-AA9E-22EEBFBE6DB2}"/>
                </c:ext>
              </c:extLst>
            </c:dLbl>
            <c:dLbl>
              <c:idx val="9"/>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A-1CDC-48B4-AA9E-22EEBFBE6DB2}"/>
                </c:ext>
              </c:extLst>
            </c:dLbl>
            <c:dLbl>
              <c:idx val="1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C-1CDC-48B4-AA9E-22EEBFBE6D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Sheet4!$N$185:$N$195</c:f>
              <c:strCache>
                <c:ptCount val="11"/>
                <c:pt idx="0">
                  <c:v>Multilateral</c:v>
                </c:pt>
                <c:pt idx="1">
                  <c:v>IMF</c:v>
                </c:pt>
                <c:pt idx="2">
                  <c:v>World Bank</c:v>
                </c:pt>
                <c:pt idx="3">
                  <c:v>Other MDBs</c:v>
                </c:pt>
                <c:pt idx="4">
                  <c:v>Bilateral</c:v>
                </c:pt>
                <c:pt idx="5">
                  <c:v>Paris Club</c:v>
                </c:pt>
                <c:pt idx="6">
                  <c:v>Non-Paris Club Excluding China</c:v>
                </c:pt>
                <c:pt idx="7">
                  <c:v>China</c:v>
                </c:pt>
                <c:pt idx="8">
                  <c:v>Private</c:v>
                </c:pt>
                <c:pt idx="9">
                  <c:v>Bondholders</c:v>
                </c:pt>
                <c:pt idx="10">
                  <c:v>Other Lenders</c:v>
                </c:pt>
              </c:strCache>
            </c:strRef>
          </c:cat>
          <c:val>
            <c:numRef>
              <c:f>Sheet4!$P$185:$P$195</c:f>
              <c:numCache>
                <c:formatCode>_ * #,##0.0_ ;_ * \-#,##0.0_ ;_ * "-"??_ ;_ @_ </c:formatCode>
                <c:ptCount val="11"/>
                <c:pt idx="1">
                  <c:v>10.204037003865233</c:v>
                </c:pt>
                <c:pt idx="2">
                  <c:v>10.428456329102177</c:v>
                </c:pt>
                <c:pt idx="3">
                  <c:v>12.525083011685537</c:v>
                </c:pt>
                <c:pt idx="5">
                  <c:v>6.1888837915578829</c:v>
                </c:pt>
                <c:pt idx="6">
                  <c:v>2.1232294885623997</c:v>
                </c:pt>
                <c:pt idx="7">
                  <c:v>3.9889180025483029</c:v>
                </c:pt>
                <c:pt idx="9">
                  <c:v>43.158637382725352</c:v>
                </c:pt>
                <c:pt idx="10">
                  <c:v>11.382754989953105</c:v>
                </c:pt>
              </c:numCache>
            </c:numRef>
          </c:val>
          <c:extLst>
            <c:ext xmlns:c16="http://schemas.microsoft.com/office/drawing/2014/chart" uri="{C3380CC4-5D6E-409C-BE32-E72D297353CC}">
              <c16:uniqueId val="{0000002D-1CDC-48B4-AA9E-22EEBFBE6DB2}"/>
            </c:ext>
          </c:extLst>
        </c:ser>
        <c:dLbls>
          <c:showLegendKey val="0"/>
          <c:showVal val="0"/>
          <c:showCatName val="0"/>
          <c:showSerName val="0"/>
          <c:showPercent val="0"/>
          <c:showBubbleSize val="0"/>
          <c:showLeaderLines val="1"/>
        </c:dLbls>
        <c:firstSliceAng val="0"/>
        <c:holeSize val="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67103755973863"/>
          <c:y val="0.15683277179005109"/>
          <c:w val="0.8514808692796163"/>
          <c:h val="0.72652469454715618"/>
        </c:manualLayout>
      </c:layout>
      <c:lineChart>
        <c:grouping val="standard"/>
        <c:varyColors val="0"/>
        <c:ser>
          <c:idx val="0"/>
          <c:order val="0"/>
          <c:tx>
            <c:strRef>
              <c:f>Sheet1!$B$1</c:f>
              <c:strCache>
                <c:ptCount val="1"/>
                <c:pt idx="0">
                  <c:v>Official</c:v>
                </c:pt>
              </c:strCache>
            </c:strRef>
          </c:tx>
          <c:spPr>
            <a:ln w="28575" cap="rnd">
              <a:solidFill>
                <a:schemeClr val="accent1"/>
              </a:solidFill>
              <a:round/>
            </a:ln>
            <a:effectLst/>
          </c:spPr>
          <c:marker>
            <c:symbol val="none"/>
          </c:marker>
          <c:cat>
            <c:numRef>
              <c:f>Sheet1!$A$2:$A$14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Sheet1!$B$2:$B$14</c:f>
              <c:numCache>
                <c:formatCode>0.0_);[Red]\(0.0\)</c:formatCode>
                <c:ptCount val="13"/>
                <c:pt idx="0">
                  <c:v>1.8943396226414999</c:v>
                </c:pt>
                <c:pt idx="1">
                  <c:v>1.6654285714285699</c:v>
                </c:pt>
                <c:pt idx="2">
                  <c:v>1.58669902912621</c:v>
                </c:pt>
                <c:pt idx="3">
                  <c:v>1.55810526315789</c:v>
                </c:pt>
                <c:pt idx="4">
                  <c:v>1.4819801980198</c:v>
                </c:pt>
                <c:pt idx="5">
                  <c:v>1.78640776699029</c:v>
                </c:pt>
                <c:pt idx="6">
                  <c:v>1.7311881188118801</c:v>
                </c:pt>
                <c:pt idx="7">
                  <c:v>1.93742574257425</c:v>
                </c:pt>
                <c:pt idx="8">
                  <c:v>2.3258000000000001</c:v>
                </c:pt>
                <c:pt idx="9">
                  <c:v>2.0696938775510199</c:v>
                </c:pt>
                <c:pt idx="10">
                  <c:v>1.6837894736842101</c:v>
                </c:pt>
                <c:pt idx="11">
                  <c:v>1.4113684210526301</c:v>
                </c:pt>
                <c:pt idx="12">
                  <c:v>1.6401063829787199</c:v>
                </c:pt>
              </c:numCache>
            </c:numRef>
          </c:val>
          <c:smooth val="0"/>
          <c:extLst>
            <c:ext xmlns:c16="http://schemas.microsoft.com/office/drawing/2014/chart" uri="{C3380CC4-5D6E-409C-BE32-E72D297353CC}">
              <c16:uniqueId val="{00000000-5246-42B2-A98E-EE0DFF9F017A}"/>
            </c:ext>
          </c:extLst>
        </c:ser>
        <c:ser>
          <c:idx val="1"/>
          <c:order val="1"/>
          <c:tx>
            <c:strRef>
              <c:f>Sheet1!$C$1</c:f>
              <c:strCache>
                <c:ptCount val="1"/>
                <c:pt idx="0">
                  <c:v>Private</c:v>
                </c:pt>
              </c:strCache>
            </c:strRef>
          </c:tx>
          <c:spPr>
            <a:ln w="28575" cap="rnd">
              <a:solidFill>
                <a:srgbClr val="0F9ED5"/>
              </a:solidFill>
              <a:round/>
            </a:ln>
            <a:effectLst/>
          </c:spPr>
          <c:marker>
            <c:symbol val="none"/>
          </c:marker>
          <c:cat>
            <c:numRef>
              <c:f>Sheet1!$A$2:$A$14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Sheet1!$C$2:$C$14</c:f>
              <c:numCache>
                <c:formatCode>0.0_);[Red]\(0.0\)</c:formatCode>
                <c:ptCount val="13"/>
                <c:pt idx="0">
                  <c:v>3.7636363636363601</c:v>
                </c:pt>
                <c:pt idx="1">
                  <c:v>4.6361363636363597</c:v>
                </c:pt>
                <c:pt idx="2">
                  <c:v>3.8091111111111098</c:v>
                </c:pt>
                <c:pt idx="3">
                  <c:v>3.9144230769230699</c:v>
                </c:pt>
                <c:pt idx="4">
                  <c:v>4.2229629629629599</c:v>
                </c:pt>
                <c:pt idx="5">
                  <c:v>4.3174545454545399</c:v>
                </c:pt>
                <c:pt idx="6">
                  <c:v>4.2269387755101997</c:v>
                </c:pt>
                <c:pt idx="7">
                  <c:v>4.5788524590163897</c:v>
                </c:pt>
                <c:pt idx="8">
                  <c:v>4.5</c:v>
                </c:pt>
                <c:pt idx="9">
                  <c:v>4.7477777777777703</c:v>
                </c:pt>
                <c:pt idx="10">
                  <c:v>4.1672549019607796</c:v>
                </c:pt>
                <c:pt idx="11">
                  <c:v>3.7351063829787199</c:v>
                </c:pt>
                <c:pt idx="12">
                  <c:v>4.1995121951219501</c:v>
                </c:pt>
              </c:numCache>
            </c:numRef>
          </c:val>
          <c:smooth val="0"/>
          <c:extLst>
            <c:ext xmlns:c16="http://schemas.microsoft.com/office/drawing/2014/chart" uri="{C3380CC4-5D6E-409C-BE32-E72D297353CC}">
              <c16:uniqueId val="{00000001-5246-42B2-A98E-EE0DFF9F017A}"/>
            </c:ext>
          </c:extLst>
        </c:ser>
        <c:ser>
          <c:idx val="2"/>
          <c:order val="2"/>
          <c:tx>
            <c:strRef>
              <c:f>Sheet1!$D$1</c:f>
              <c:strCache>
                <c:ptCount val="1"/>
                <c:pt idx="0">
                  <c:v>Bilateral</c:v>
                </c:pt>
              </c:strCache>
            </c:strRef>
          </c:tx>
          <c:spPr>
            <a:ln w="28575" cap="rnd">
              <a:solidFill>
                <a:srgbClr val="E8E8E8">
                  <a:lumMod val="90000"/>
                </a:srgbClr>
              </a:solidFill>
              <a:round/>
            </a:ln>
            <a:effectLst/>
          </c:spPr>
          <c:marker>
            <c:symbol val="none"/>
          </c:marker>
          <c:val>
            <c:numRef>
              <c:f>Sheet1!$D$2:$D$14</c:f>
              <c:numCache>
                <c:formatCode>0.0_);[Red]\(0.0\)</c:formatCode>
                <c:ptCount val="13"/>
                <c:pt idx="0">
                  <c:v>2.26231038961039</c:v>
                </c:pt>
                <c:pt idx="1">
                  <c:v>2.3392761904761898</c:v>
                </c:pt>
                <c:pt idx="2">
                  <c:v>2.0145327510916999</c:v>
                </c:pt>
                <c:pt idx="3">
                  <c:v>2.0411325892857102</c:v>
                </c:pt>
                <c:pt idx="4">
                  <c:v>2.38510986547085</c:v>
                </c:pt>
                <c:pt idx="5">
                  <c:v>2.14539833333333</c:v>
                </c:pt>
                <c:pt idx="6">
                  <c:v>1.9724630541871899</c:v>
                </c:pt>
                <c:pt idx="7">
                  <c:v>2.2529693023255799</c:v>
                </c:pt>
                <c:pt idx="8">
                  <c:v>2.4769725274725198</c:v>
                </c:pt>
                <c:pt idx="9">
                  <c:v>2.38461787709497</c:v>
                </c:pt>
                <c:pt idx="10">
                  <c:v>1.9334592814371201</c:v>
                </c:pt>
                <c:pt idx="11">
                  <c:v>1.71329607843137</c:v>
                </c:pt>
                <c:pt idx="12">
                  <c:v>2.5115090277777701</c:v>
                </c:pt>
              </c:numCache>
            </c:numRef>
          </c:val>
          <c:smooth val="0"/>
          <c:extLst>
            <c:ext xmlns:c16="http://schemas.microsoft.com/office/drawing/2014/chart" uri="{C3380CC4-5D6E-409C-BE32-E72D297353CC}">
              <c16:uniqueId val="{00000002-5246-42B2-A98E-EE0DFF9F017A}"/>
            </c:ext>
          </c:extLst>
        </c:ser>
        <c:ser>
          <c:idx val="3"/>
          <c:order val="3"/>
          <c:tx>
            <c:strRef>
              <c:f>Sheet1!$E$1</c:f>
              <c:strCache>
                <c:ptCount val="1"/>
                <c:pt idx="0">
                  <c:v>Multilateral</c:v>
                </c:pt>
              </c:strCache>
            </c:strRef>
          </c:tx>
          <c:spPr>
            <a:ln w="28575" cap="rnd">
              <a:solidFill>
                <a:srgbClr val="FFC000"/>
              </a:solidFill>
              <a:round/>
            </a:ln>
            <a:effectLst/>
          </c:spPr>
          <c:marker>
            <c:symbol val="none"/>
          </c:marker>
          <c:val>
            <c:numRef>
              <c:f>Sheet1!$E$2:$E$14</c:f>
              <c:numCache>
                <c:formatCode>0.0_);[Red]\(0.0\)</c:formatCode>
                <c:ptCount val="13"/>
                <c:pt idx="0">
                  <c:v>0.90351856900000005</c:v>
                </c:pt>
                <c:pt idx="1">
                  <c:v>0.84102169000000004</c:v>
                </c:pt>
                <c:pt idx="2">
                  <c:v>1.0946922859999999</c:v>
                </c:pt>
                <c:pt idx="3">
                  <c:v>0.92593757099999996</c:v>
                </c:pt>
                <c:pt idx="4">
                  <c:v>0.86264249699999995</c:v>
                </c:pt>
                <c:pt idx="5">
                  <c:v>1.09739253</c:v>
                </c:pt>
                <c:pt idx="6">
                  <c:v>1.5047699990000001</c:v>
                </c:pt>
                <c:pt idx="7">
                  <c:v>1.707208096</c:v>
                </c:pt>
                <c:pt idx="8">
                  <c:v>2.0682348940000002</c:v>
                </c:pt>
                <c:pt idx="9">
                  <c:v>2.1075617059999998</c:v>
                </c:pt>
                <c:pt idx="10">
                  <c:v>1.4275820850000001</c:v>
                </c:pt>
                <c:pt idx="11">
                  <c:v>1.1202090629999999</c:v>
                </c:pt>
                <c:pt idx="12">
                  <c:v>1.5413705120000001</c:v>
                </c:pt>
              </c:numCache>
            </c:numRef>
          </c:val>
          <c:smooth val="0"/>
          <c:extLst>
            <c:ext xmlns:c16="http://schemas.microsoft.com/office/drawing/2014/chart" uri="{C3380CC4-5D6E-409C-BE32-E72D297353CC}">
              <c16:uniqueId val="{00000003-5246-42B2-A98E-EE0DFF9F017A}"/>
            </c:ext>
          </c:extLst>
        </c:ser>
        <c:dLbls>
          <c:showLegendKey val="0"/>
          <c:showVal val="0"/>
          <c:showCatName val="0"/>
          <c:showSerName val="0"/>
          <c:showPercent val="0"/>
          <c:showBubbleSize val="0"/>
        </c:dLbls>
        <c:smooth val="0"/>
        <c:axId val="870322495"/>
        <c:axId val="870320575"/>
      </c:lineChart>
      <c:catAx>
        <c:axId val="870322495"/>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70320575"/>
        <c:crosses val="autoZero"/>
        <c:auto val="1"/>
        <c:lblAlgn val="ctr"/>
        <c:lblOffset val="100"/>
        <c:noMultiLvlLbl val="0"/>
      </c:catAx>
      <c:valAx>
        <c:axId val="870320575"/>
        <c:scaling>
          <c:orientation val="minMax"/>
        </c:scaling>
        <c:delete val="0"/>
        <c:axPos val="l"/>
        <c:numFmt formatCode="#,##0.0_);[Red]\(#,##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70322495"/>
        <c:crosses val="autoZero"/>
        <c:crossBetween val="between"/>
      </c:valAx>
      <c:spPr>
        <a:noFill/>
        <a:ln w="25400">
          <a:noFill/>
        </a:ln>
        <a:effectLst/>
      </c:spPr>
    </c:plotArea>
    <c:legend>
      <c:legendPos val="t"/>
      <c:layout>
        <c:manualLayout>
          <c:xMode val="edge"/>
          <c:yMode val="edge"/>
          <c:x val="0.17108185695538058"/>
          <c:y val="6.2594857534217965E-2"/>
          <c:w val="0.65970143217774857"/>
          <c:h val="0.1201120783494028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627495041705955E-2"/>
          <c:y val="7.3866218984109777E-2"/>
          <c:w val="0.81092751440668664"/>
          <c:h val="0.82899687619831464"/>
        </c:manualLayout>
      </c:layout>
      <c:lineChart>
        <c:grouping val="standard"/>
        <c:varyColors val="0"/>
        <c:ser>
          <c:idx val="1"/>
          <c:order val="0"/>
          <c:tx>
            <c:strRef>
              <c:f>'Average interest multilateral'!$F$3</c:f>
              <c:strCache>
                <c:ptCount val="1"/>
                <c:pt idx="0">
                  <c:v>WB IBRD</c:v>
                </c:pt>
              </c:strCache>
            </c:strRef>
          </c:tx>
          <c:spPr>
            <a:ln w="28575" cap="rnd">
              <a:solidFill>
                <a:srgbClr val="004987"/>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45A5-4303-AB1A-E145B547BCBF}"/>
                </c:ext>
              </c:extLst>
            </c:dLbl>
            <c:dLbl>
              <c:idx val="1"/>
              <c:delete val="1"/>
              <c:extLst>
                <c:ext xmlns:c15="http://schemas.microsoft.com/office/drawing/2012/chart" uri="{CE6537A1-D6FC-4f65-9D91-7224C49458BB}"/>
                <c:ext xmlns:c16="http://schemas.microsoft.com/office/drawing/2014/chart" uri="{C3380CC4-5D6E-409C-BE32-E72D297353CC}">
                  <c16:uniqueId val="{00000001-45A5-4303-AB1A-E145B547BCBF}"/>
                </c:ext>
              </c:extLst>
            </c:dLbl>
            <c:dLbl>
              <c:idx val="2"/>
              <c:delete val="1"/>
              <c:extLst>
                <c:ext xmlns:c15="http://schemas.microsoft.com/office/drawing/2012/chart" uri="{CE6537A1-D6FC-4f65-9D91-7224C49458BB}"/>
                <c:ext xmlns:c16="http://schemas.microsoft.com/office/drawing/2014/chart" uri="{C3380CC4-5D6E-409C-BE32-E72D297353CC}">
                  <c16:uniqueId val="{00000002-45A5-4303-AB1A-E145B547BCBF}"/>
                </c:ext>
              </c:extLst>
            </c:dLbl>
            <c:dLbl>
              <c:idx val="3"/>
              <c:delete val="1"/>
              <c:extLst>
                <c:ext xmlns:c15="http://schemas.microsoft.com/office/drawing/2012/chart" uri="{CE6537A1-D6FC-4f65-9D91-7224C49458BB}"/>
                <c:ext xmlns:c16="http://schemas.microsoft.com/office/drawing/2014/chart" uri="{C3380CC4-5D6E-409C-BE32-E72D297353CC}">
                  <c16:uniqueId val="{00000003-45A5-4303-AB1A-E145B547BCBF}"/>
                </c:ext>
              </c:extLst>
            </c:dLbl>
            <c:dLbl>
              <c:idx val="4"/>
              <c:delete val="1"/>
              <c:extLst>
                <c:ext xmlns:c15="http://schemas.microsoft.com/office/drawing/2012/chart" uri="{CE6537A1-D6FC-4f65-9D91-7224C49458BB}"/>
                <c:ext xmlns:c16="http://schemas.microsoft.com/office/drawing/2014/chart" uri="{C3380CC4-5D6E-409C-BE32-E72D297353CC}">
                  <c16:uniqueId val="{00000004-45A5-4303-AB1A-E145B547BCBF}"/>
                </c:ext>
              </c:extLst>
            </c:dLbl>
            <c:dLbl>
              <c:idx val="5"/>
              <c:delete val="1"/>
              <c:extLst>
                <c:ext xmlns:c15="http://schemas.microsoft.com/office/drawing/2012/chart" uri="{CE6537A1-D6FC-4f65-9D91-7224C49458BB}"/>
                <c:ext xmlns:c16="http://schemas.microsoft.com/office/drawing/2014/chart" uri="{C3380CC4-5D6E-409C-BE32-E72D297353CC}">
                  <c16:uniqueId val="{00000005-45A5-4303-AB1A-E145B547BCBF}"/>
                </c:ext>
              </c:extLst>
            </c:dLbl>
            <c:dLbl>
              <c:idx val="6"/>
              <c:delete val="1"/>
              <c:extLst>
                <c:ext xmlns:c15="http://schemas.microsoft.com/office/drawing/2012/chart" uri="{CE6537A1-D6FC-4f65-9D91-7224C49458BB}"/>
                <c:ext xmlns:c16="http://schemas.microsoft.com/office/drawing/2014/chart" uri="{C3380CC4-5D6E-409C-BE32-E72D297353CC}">
                  <c16:uniqueId val="{00000006-45A5-4303-AB1A-E145B547BCBF}"/>
                </c:ext>
              </c:extLst>
            </c:dLbl>
            <c:dLbl>
              <c:idx val="7"/>
              <c:delete val="1"/>
              <c:extLst>
                <c:ext xmlns:c15="http://schemas.microsoft.com/office/drawing/2012/chart" uri="{CE6537A1-D6FC-4f65-9D91-7224C49458BB}"/>
                <c:ext xmlns:c16="http://schemas.microsoft.com/office/drawing/2014/chart" uri="{C3380CC4-5D6E-409C-BE32-E72D297353CC}">
                  <c16:uniqueId val="{00000007-45A5-4303-AB1A-E145B547BCBF}"/>
                </c:ext>
              </c:extLst>
            </c:dLbl>
            <c:dLbl>
              <c:idx val="8"/>
              <c:delete val="1"/>
              <c:extLst>
                <c:ext xmlns:c15="http://schemas.microsoft.com/office/drawing/2012/chart" uri="{CE6537A1-D6FC-4f65-9D91-7224C49458BB}"/>
                <c:ext xmlns:c16="http://schemas.microsoft.com/office/drawing/2014/chart" uri="{C3380CC4-5D6E-409C-BE32-E72D297353CC}">
                  <c16:uniqueId val="{00000008-45A5-4303-AB1A-E145B547BCBF}"/>
                </c:ext>
              </c:extLst>
            </c:dLbl>
            <c:dLbl>
              <c:idx val="9"/>
              <c:delete val="1"/>
              <c:extLst>
                <c:ext xmlns:c15="http://schemas.microsoft.com/office/drawing/2012/chart" uri="{CE6537A1-D6FC-4f65-9D91-7224C49458BB}"/>
                <c:ext xmlns:c16="http://schemas.microsoft.com/office/drawing/2014/chart" uri="{C3380CC4-5D6E-409C-BE32-E72D297353CC}">
                  <c16:uniqueId val="{00000009-45A5-4303-AB1A-E145B547BCBF}"/>
                </c:ext>
              </c:extLst>
            </c:dLbl>
            <c:dLbl>
              <c:idx val="10"/>
              <c:delete val="1"/>
              <c:extLst>
                <c:ext xmlns:c15="http://schemas.microsoft.com/office/drawing/2012/chart" uri="{CE6537A1-D6FC-4f65-9D91-7224C49458BB}"/>
                <c:ext xmlns:c16="http://schemas.microsoft.com/office/drawing/2014/chart" uri="{C3380CC4-5D6E-409C-BE32-E72D297353CC}">
                  <c16:uniqueId val="{0000000A-45A5-4303-AB1A-E145B547BCBF}"/>
                </c:ext>
              </c:extLst>
            </c:dLbl>
            <c:dLbl>
              <c:idx val="11"/>
              <c:delete val="1"/>
              <c:extLst>
                <c:ext xmlns:c15="http://schemas.microsoft.com/office/drawing/2012/chart" uri="{CE6537A1-D6FC-4f65-9D91-7224C49458BB}"/>
                <c:ext xmlns:c16="http://schemas.microsoft.com/office/drawing/2014/chart" uri="{C3380CC4-5D6E-409C-BE32-E72D297353CC}">
                  <c16:uniqueId val="{0000000B-45A5-4303-AB1A-E145B547BCBF}"/>
                </c:ext>
              </c:extLst>
            </c:dLbl>
            <c:dLbl>
              <c:idx val="12"/>
              <c:layout>
                <c:manualLayout>
                  <c:x val="3.9616023489615456E-4"/>
                  <c:y val="-1.8007681431946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45A5-4303-AB1A-E145B547BCBF}"/>
                </c:ext>
              </c:extLst>
            </c:dLbl>
            <c:numFmt formatCode="#,##0.0_);[Red]\(#,##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'Average interest multilateral'!$E$4:$E$16</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'Average interest multilateral'!$F$4:$F$16</c:f>
              <c:numCache>
                <c:formatCode>General</c:formatCode>
                <c:ptCount val="13"/>
                <c:pt idx="0">
                  <c:v>1.0801000000000001</c:v>
                </c:pt>
                <c:pt idx="1">
                  <c:v>0.99709615399999996</c:v>
                </c:pt>
                <c:pt idx="2">
                  <c:v>1.2770137930000001</c:v>
                </c:pt>
                <c:pt idx="3">
                  <c:v>0.85265909100000004</c:v>
                </c:pt>
                <c:pt idx="4">
                  <c:v>0.69485416700000002</c:v>
                </c:pt>
                <c:pt idx="5">
                  <c:v>1.2232799999999999</c:v>
                </c:pt>
                <c:pt idx="6">
                  <c:v>1.8496718750000001</c:v>
                </c:pt>
                <c:pt idx="7">
                  <c:v>2.059996774</c:v>
                </c:pt>
                <c:pt idx="8">
                  <c:v>2.6900583330000001</c:v>
                </c:pt>
                <c:pt idx="9">
                  <c:v>2.9316333330000002</c:v>
                </c:pt>
                <c:pt idx="10">
                  <c:v>1.578751429</c:v>
                </c:pt>
                <c:pt idx="11">
                  <c:v>1.0883852940000001</c:v>
                </c:pt>
                <c:pt idx="12">
                  <c:v>1.5470243239999999</c:v>
                </c:pt>
              </c:numCache>
            </c:numRef>
          </c:val>
          <c:smooth val="0"/>
          <c:extLst>
            <c:ext xmlns:c16="http://schemas.microsoft.com/office/drawing/2014/chart" uri="{C3380CC4-5D6E-409C-BE32-E72D297353CC}">
              <c16:uniqueId val="{0000000C-45A5-4303-AB1A-E145B547BCBF}"/>
            </c:ext>
          </c:extLst>
        </c:ser>
        <c:ser>
          <c:idx val="0"/>
          <c:order val="1"/>
          <c:tx>
            <c:strRef>
              <c:f>'Average interest multilateral'!$G$3</c:f>
              <c:strCache>
                <c:ptCount val="1"/>
                <c:pt idx="0">
                  <c:v>WB IDA</c:v>
                </c:pt>
              </c:strCache>
            </c:strRef>
          </c:tx>
          <c:spPr>
            <a:ln w="28575" cap="rnd">
              <a:solidFill>
                <a:srgbClr val="009EDB"/>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D-45A5-4303-AB1A-E145B547BCBF}"/>
                </c:ext>
              </c:extLst>
            </c:dLbl>
            <c:dLbl>
              <c:idx val="1"/>
              <c:delete val="1"/>
              <c:extLst>
                <c:ext xmlns:c15="http://schemas.microsoft.com/office/drawing/2012/chart" uri="{CE6537A1-D6FC-4f65-9D91-7224C49458BB}"/>
                <c:ext xmlns:c16="http://schemas.microsoft.com/office/drawing/2014/chart" uri="{C3380CC4-5D6E-409C-BE32-E72D297353CC}">
                  <c16:uniqueId val="{0000000E-45A5-4303-AB1A-E145B547BCBF}"/>
                </c:ext>
              </c:extLst>
            </c:dLbl>
            <c:dLbl>
              <c:idx val="2"/>
              <c:delete val="1"/>
              <c:extLst>
                <c:ext xmlns:c15="http://schemas.microsoft.com/office/drawing/2012/chart" uri="{CE6537A1-D6FC-4f65-9D91-7224C49458BB}"/>
                <c:ext xmlns:c16="http://schemas.microsoft.com/office/drawing/2014/chart" uri="{C3380CC4-5D6E-409C-BE32-E72D297353CC}">
                  <c16:uniqueId val="{0000000F-45A5-4303-AB1A-E145B547BCBF}"/>
                </c:ext>
              </c:extLst>
            </c:dLbl>
            <c:dLbl>
              <c:idx val="3"/>
              <c:delete val="1"/>
              <c:extLst>
                <c:ext xmlns:c15="http://schemas.microsoft.com/office/drawing/2012/chart" uri="{CE6537A1-D6FC-4f65-9D91-7224C49458BB}"/>
                <c:ext xmlns:c16="http://schemas.microsoft.com/office/drawing/2014/chart" uri="{C3380CC4-5D6E-409C-BE32-E72D297353CC}">
                  <c16:uniqueId val="{00000010-45A5-4303-AB1A-E145B547BCBF}"/>
                </c:ext>
              </c:extLst>
            </c:dLbl>
            <c:dLbl>
              <c:idx val="4"/>
              <c:delete val="1"/>
              <c:extLst>
                <c:ext xmlns:c15="http://schemas.microsoft.com/office/drawing/2012/chart" uri="{CE6537A1-D6FC-4f65-9D91-7224C49458BB}"/>
                <c:ext xmlns:c16="http://schemas.microsoft.com/office/drawing/2014/chart" uri="{C3380CC4-5D6E-409C-BE32-E72D297353CC}">
                  <c16:uniqueId val="{00000011-45A5-4303-AB1A-E145B547BCBF}"/>
                </c:ext>
              </c:extLst>
            </c:dLbl>
            <c:dLbl>
              <c:idx val="5"/>
              <c:delete val="1"/>
              <c:extLst>
                <c:ext xmlns:c15="http://schemas.microsoft.com/office/drawing/2012/chart" uri="{CE6537A1-D6FC-4f65-9D91-7224C49458BB}"/>
                <c:ext xmlns:c16="http://schemas.microsoft.com/office/drawing/2014/chart" uri="{C3380CC4-5D6E-409C-BE32-E72D297353CC}">
                  <c16:uniqueId val="{00000012-45A5-4303-AB1A-E145B547BCBF}"/>
                </c:ext>
              </c:extLst>
            </c:dLbl>
            <c:dLbl>
              <c:idx val="6"/>
              <c:delete val="1"/>
              <c:extLst>
                <c:ext xmlns:c15="http://schemas.microsoft.com/office/drawing/2012/chart" uri="{CE6537A1-D6FC-4f65-9D91-7224C49458BB}"/>
                <c:ext xmlns:c16="http://schemas.microsoft.com/office/drawing/2014/chart" uri="{C3380CC4-5D6E-409C-BE32-E72D297353CC}">
                  <c16:uniqueId val="{00000013-45A5-4303-AB1A-E145B547BCBF}"/>
                </c:ext>
              </c:extLst>
            </c:dLbl>
            <c:dLbl>
              <c:idx val="7"/>
              <c:delete val="1"/>
              <c:extLst>
                <c:ext xmlns:c15="http://schemas.microsoft.com/office/drawing/2012/chart" uri="{CE6537A1-D6FC-4f65-9D91-7224C49458BB}"/>
                <c:ext xmlns:c16="http://schemas.microsoft.com/office/drawing/2014/chart" uri="{C3380CC4-5D6E-409C-BE32-E72D297353CC}">
                  <c16:uniqueId val="{00000014-45A5-4303-AB1A-E145B547BCBF}"/>
                </c:ext>
              </c:extLst>
            </c:dLbl>
            <c:dLbl>
              <c:idx val="8"/>
              <c:delete val="1"/>
              <c:extLst>
                <c:ext xmlns:c15="http://schemas.microsoft.com/office/drawing/2012/chart" uri="{CE6537A1-D6FC-4f65-9D91-7224C49458BB}"/>
                <c:ext xmlns:c16="http://schemas.microsoft.com/office/drawing/2014/chart" uri="{C3380CC4-5D6E-409C-BE32-E72D297353CC}">
                  <c16:uniqueId val="{00000015-45A5-4303-AB1A-E145B547BCBF}"/>
                </c:ext>
              </c:extLst>
            </c:dLbl>
            <c:dLbl>
              <c:idx val="9"/>
              <c:delete val="1"/>
              <c:extLst>
                <c:ext xmlns:c15="http://schemas.microsoft.com/office/drawing/2012/chart" uri="{CE6537A1-D6FC-4f65-9D91-7224C49458BB}"/>
                <c:ext xmlns:c16="http://schemas.microsoft.com/office/drawing/2014/chart" uri="{C3380CC4-5D6E-409C-BE32-E72D297353CC}">
                  <c16:uniqueId val="{00000016-45A5-4303-AB1A-E145B547BCBF}"/>
                </c:ext>
              </c:extLst>
            </c:dLbl>
            <c:dLbl>
              <c:idx val="10"/>
              <c:delete val="1"/>
              <c:extLst>
                <c:ext xmlns:c15="http://schemas.microsoft.com/office/drawing/2012/chart" uri="{CE6537A1-D6FC-4f65-9D91-7224C49458BB}"/>
                <c:ext xmlns:c16="http://schemas.microsoft.com/office/drawing/2014/chart" uri="{C3380CC4-5D6E-409C-BE32-E72D297353CC}">
                  <c16:uniqueId val="{00000017-45A5-4303-AB1A-E145B547BCBF}"/>
                </c:ext>
              </c:extLst>
            </c:dLbl>
            <c:dLbl>
              <c:idx val="11"/>
              <c:delete val="1"/>
              <c:extLst>
                <c:ext xmlns:c15="http://schemas.microsoft.com/office/drawing/2012/chart" uri="{CE6537A1-D6FC-4f65-9D91-7224C49458BB}"/>
                <c:ext xmlns:c16="http://schemas.microsoft.com/office/drawing/2014/chart" uri="{C3380CC4-5D6E-409C-BE32-E72D297353CC}">
                  <c16:uniqueId val="{00000018-45A5-4303-AB1A-E145B547BCBF}"/>
                </c:ext>
              </c:extLst>
            </c:dLbl>
            <c:dLbl>
              <c:idx val="12"/>
              <c:layout>
                <c:manualLayout>
                  <c:x val="-1.4019985848717493E-2"/>
                  <c:y val="-1.0156869926142953E-2"/>
                </c:manualLayout>
              </c:layout>
              <c:numFmt formatCode="#,##0.0_);[Red]\(#,##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5A5-4303-AB1A-E145B547BCBF}"/>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'Average interest multilateral'!$E$4:$E$16</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'Average interest multilateral'!$G$4:$G$16</c:f>
              <c:numCache>
                <c:formatCode>General</c:formatCode>
                <c:ptCount val="13"/>
                <c:pt idx="0">
                  <c:v>0.83113181800000002</c:v>
                </c:pt>
                <c:pt idx="1">
                  <c:v>0.75</c:v>
                </c:pt>
                <c:pt idx="2">
                  <c:v>1.06567973</c:v>
                </c:pt>
                <c:pt idx="3">
                  <c:v>1.116873083</c:v>
                </c:pt>
                <c:pt idx="4">
                  <c:v>1.138276474</c:v>
                </c:pt>
                <c:pt idx="5">
                  <c:v>1.0901905569999999</c:v>
                </c:pt>
                <c:pt idx="6">
                  <c:v>1.2093591400000001</c:v>
                </c:pt>
                <c:pt idx="7">
                  <c:v>1.511602769</c:v>
                </c:pt>
                <c:pt idx="8">
                  <c:v>1.313721267</c:v>
                </c:pt>
                <c:pt idx="9">
                  <c:v>1.2027642839999999</c:v>
                </c:pt>
                <c:pt idx="10">
                  <c:v>1.1651123290000001</c:v>
                </c:pt>
                <c:pt idx="11">
                  <c:v>1.1396296809999999</c:v>
                </c:pt>
                <c:pt idx="12">
                  <c:v>1.1794330079999999</c:v>
                </c:pt>
              </c:numCache>
            </c:numRef>
          </c:val>
          <c:smooth val="0"/>
          <c:extLst>
            <c:ext xmlns:c16="http://schemas.microsoft.com/office/drawing/2014/chart" uri="{C3380CC4-5D6E-409C-BE32-E72D297353CC}">
              <c16:uniqueId val="{0000001A-45A5-4303-AB1A-E145B547BCBF}"/>
            </c:ext>
          </c:extLst>
        </c:ser>
        <c:ser>
          <c:idx val="2"/>
          <c:order val="2"/>
          <c:tx>
            <c:strRef>
              <c:f>'Average interest multilateral'!$H$3</c:f>
              <c:strCache>
                <c:ptCount val="1"/>
                <c:pt idx="0">
                  <c:v>Other MDBs</c:v>
                </c:pt>
              </c:strCache>
            </c:strRef>
          </c:tx>
          <c:spPr>
            <a:ln w="28575" cap="rnd">
              <a:solidFill>
                <a:srgbClr val="FFC00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1B-45A5-4303-AB1A-E145B547BCBF}"/>
                </c:ext>
              </c:extLst>
            </c:dLbl>
            <c:dLbl>
              <c:idx val="1"/>
              <c:delete val="1"/>
              <c:extLst>
                <c:ext xmlns:c15="http://schemas.microsoft.com/office/drawing/2012/chart" uri="{CE6537A1-D6FC-4f65-9D91-7224C49458BB}"/>
                <c:ext xmlns:c16="http://schemas.microsoft.com/office/drawing/2014/chart" uri="{C3380CC4-5D6E-409C-BE32-E72D297353CC}">
                  <c16:uniqueId val="{0000001C-45A5-4303-AB1A-E145B547BCBF}"/>
                </c:ext>
              </c:extLst>
            </c:dLbl>
            <c:dLbl>
              <c:idx val="2"/>
              <c:delete val="1"/>
              <c:extLst>
                <c:ext xmlns:c15="http://schemas.microsoft.com/office/drawing/2012/chart" uri="{CE6537A1-D6FC-4f65-9D91-7224C49458BB}"/>
                <c:ext xmlns:c16="http://schemas.microsoft.com/office/drawing/2014/chart" uri="{C3380CC4-5D6E-409C-BE32-E72D297353CC}">
                  <c16:uniqueId val="{0000001D-45A5-4303-AB1A-E145B547BCBF}"/>
                </c:ext>
              </c:extLst>
            </c:dLbl>
            <c:dLbl>
              <c:idx val="3"/>
              <c:delete val="1"/>
              <c:extLst>
                <c:ext xmlns:c15="http://schemas.microsoft.com/office/drawing/2012/chart" uri="{CE6537A1-D6FC-4f65-9D91-7224C49458BB}"/>
                <c:ext xmlns:c16="http://schemas.microsoft.com/office/drawing/2014/chart" uri="{C3380CC4-5D6E-409C-BE32-E72D297353CC}">
                  <c16:uniqueId val="{0000001E-45A5-4303-AB1A-E145B547BCBF}"/>
                </c:ext>
              </c:extLst>
            </c:dLbl>
            <c:dLbl>
              <c:idx val="4"/>
              <c:delete val="1"/>
              <c:extLst>
                <c:ext xmlns:c15="http://schemas.microsoft.com/office/drawing/2012/chart" uri="{CE6537A1-D6FC-4f65-9D91-7224C49458BB}"/>
                <c:ext xmlns:c16="http://schemas.microsoft.com/office/drawing/2014/chart" uri="{C3380CC4-5D6E-409C-BE32-E72D297353CC}">
                  <c16:uniqueId val="{0000001F-45A5-4303-AB1A-E145B547BCBF}"/>
                </c:ext>
              </c:extLst>
            </c:dLbl>
            <c:dLbl>
              <c:idx val="5"/>
              <c:delete val="1"/>
              <c:extLst>
                <c:ext xmlns:c15="http://schemas.microsoft.com/office/drawing/2012/chart" uri="{CE6537A1-D6FC-4f65-9D91-7224C49458BB}"/>
                <c:ext xmlns:c16="http://schemas.microsoft.com/office/drawing/2014/chart" uri="{C3380CC4-5D6E-409C-BE32-E72D297353CC}">
                  <c16:uniqueId val="{00000020-45A5-4303-AB1A-E145B547BCBF}"/>
                </c:ext>
              </c:extLst>
            </c:dLbl>
            <c:dLbl>
              <c:idx val="6"/>
              <c:delete val="1"/>
              <c:extLst>
                <c:ext xmlns:c15="http://schemas.microsoft.com/office/drawing/2012/chart" uri="{CE6537A1-D6FC-4f65-9D91-7224C49458BB}"/>
                <c:ext xmlns:c16="http://schemas.microsoft.com/office/drawing/2014/chart" uri="{C3380CC4-5D6E-409C-BE32-E72D297353CC}">
                  <c16:uniqueId val="{00000021-45A5-4303-AB1A-E145B547BCBF}"/>
                </c:ext>
              </c:extLst>
            </c:dLbl>
            <c:dLbl>
              <c:idx val="7"/>
              <c:delete val="1"/>
              <c:extLst>
                <c:ext xmlns:c15="http://schemas.microsoft.com/office/drawing/2012/chart" uri="{CE6537A1-D6FC-4f65-9D91-7224C49458BB}"/>
                <c:ext xmlns:c16="http://schemas.microsoft.com/office/drawing/2014/chart" uri="{C3380CC4-5D6E-409C-BE32-E72D297353CC}">
                  <c16:uniqueId val="{00000022-45A5-4303-AB1A-E145B547BCBF}"/>
                </c:ext>
              </c:extLst>
            </c:dLbl>
            <c:dLbl>
              <c:idx val="8"/>
              <c:delete val="1"/>
              <c:extLst>
                <c:ext xmlns:c15="http://schemas.microsoft.com/office/drawing/2012/chart" uri="{CE6537A1-D6FC-4f65-9D91-7224C49458BB}"/>
                <c:ext xmlns:c16="http://schemas.microsoft.com/office/drawing/2014/chart" uri="{C3380CC4-5D6E-409C-BE32-E72D297353CC}">
                  <c16:uniqueId val="{00000023-45A5-4303-AB1A-E145B547BCBF}"/>
                </c:ext>
              </c:extLst>
            </c:dLbl>
            <c:dLbl>
              <c:idx val="9"/>
              <c:delete val="1"/>
              <c:extLst>
                <c:ext xmlns:c15="http://schemas.microsoft.com/office/drawing/2012/chart" uri="{CE6537A1-D6FC-4f65-9D91-7224C49458BB}"/>
                <c:ext xmlns:c16="http://schemas.microsoft.com/office/drawing/2014/chart" uri="{C3380CC4-5D6E-409C-BE32-E72D297353CC}">
                  <c16:uniqueId val="{00000024-45A5-4303-AB1A-E145B547BCBF}"/>
                </c:ext>
              </c:extLst>
            </c:dLbl>
            <c:dLbl>
              <c:idx val="10"/>
              <c:delete val="1"/>
              <c:extLst>
                <c:ext xmlns:c15="http://schemas.microsoft.com/office/drawing/2012/chart" uri="{CE6537A1-D6FC-4f65-9D91-7224C49458BB}"/>
                <c:ext xmlns:c16="http://schemas.microsoft.com/office/drawing/2014/chart" uri="{C3380CC4-5D6E-409C-BE32-E72D297353CC}">
                  <c16:uniqueId val="{00000025-45A5-4303-AB1A-E145B547BCBF}"/>
                </c:ext>
              </c:extLst>
            </c:dLbl>
            <c:dLbl>
              <c:idx val="11"/>
              <c:delete val="1"/>
              <c:extLst>
                <c:ext xmlns:c15="http://schemas.microsoft.com/office/drawing/2012/chart" uri="{CE6537A1-D6FC-4f65-9D91-7224C49458BB}"/>
                <c:ext xmlns:c16="http://schemas.microsoft.com/office/drawing/2014/chart" uri="{C3380CC4-5D6E-409C-BE32-E72D297353CC}">
                  <c16:uniqueId val="{00000026-45A5-4303-AB1A-E145B547BCBF}"/>
                </c:ext>
              </c:extLst>
            </c:dLbl>
            <c:dLbl>
              <c:idx val="12"/>
              <c:layout>
                <c:manualLayout>
                  <c:x val="-3.8046895988073572E-2"/>
                  <c:y val="-4.8916559848623635E-2"/>
                </c:manualLayout>
              </c:layout>
              <c:numFmt formatCode="#,##0.0_);[Red]\(#,##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45A5-4303-AB1A-E145B547BCBF}"/>
                </c:ext>
              </c:extLst>
            </c:dLbl>
            <c:numFmt formatCode="#,##0.00_);[Red]\(#,##0.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'Average interest multilateral'!$E$4:$E$16</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'Average interest multilateral'!$H$4:$H$16</c:f>
              <c:numCache>
                <c:formatCode>General</c:formatCode>
                <c:ptCount val="13"/>
                <c:pt idx="0">
                  <c:v>0.79932388899999995</c:v>
                </c:pt>
                <c:pt idx="1">
                  <c:v>0.77596891700000004</c:v>
                </c:pt>
                <c:pt idx="2">
                  <c:v>0.94138333299999999</c:v>
                </c:pt>
                <c:pt idx="3">
                  <c:v>0.80828053799999999</c:v>
                </c:pt>
                <c:pt idx="4">
                  <c:v>0.75479684899999999</c:v>
                </c:pt>
                <c:pt idx="5">
                  <c:v>0.97870703199999998</c:v>
                </c:pt>
                <c:pt idx="6">
                  <c:v>1.455278981</c:v>
                </c:pt>
                <c:pt idx="7">
                  <c:v>1.5500247460000001</c:v>
                </c:pt>
                <c:pt idx="8">
                  <c:v>2.2009250819999999</c:v>
                </c:pt>
                <c:pt idx="9">
                  <c:v>2.1882874999999999</c:v>
                </c:pt>
                <c:pt idx="10">
                  <c:v>1.5388824969999999</c:v>
                </c:pt>
                <c:pt idx="11">
                  <c:v>1.132612212</c:v>
                </c:pt>
                <c:pt idx="12">
                  <c:v>1.8976542030000001</c:v>
                </c:pt>
              </c:numCache>
            </c:numRef>
          </c:val>
          <c:smooth val="0"/>
          <c:extLst>
            <c:ext xmlns:c16="http://schemas.microsoft.com/office/drawing/2014/chart" uri="{C3380CC4-5D6E-409C-BE32-E72D297353CC}">
              <c16:uniqueId val="{00000028-45A5-4303-AB1A-E145B547BCBF}"/>
            </c:ext>
          </c:extLst>
        </c:ser>
        <c:dLbls>
          <c:dLblPos val="t"/>
          <c:showLegendKey val="0"/>
          <c:showVal val="1"/>
          <c:showCatName val="0"/>
          <c:showSerName val="0"/>
          <c:showPercent val="0"/>
          <c:showBubbleSize val="0"/>
        </c:dLbls>
        <c:smooth val="0"/>
        <c:axId val="871179599"/>
        <c:axId val="871183919"/>
      </c:lineChart>
      <c:catAx>
        <c:axId val="871179599"/>
        <c:scaling>
          <c:orientation val="minMax"/>
        </c:scaling>
        <c:delete val="0"/>
        <c:axPos val="b"/>
        <c:numFmt formatCode="General" sourceLinked="1"/>
        <c:majorTickMark val="out"/>
        <c:minorTickMark val="none"/>
        <c:tickLblPos val="nextTo"/>
        <c:spPr>
          <a:noFill/>
          <a:ln w="9525" cap="flat" cmpd="sng" algn="ctr">
            <a:solidFill>
              <a:schemeClr val="tx1">
                <a:lumMod val="85000"/>
                <a:lumOff val="1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71183919"/>
        <c:crosses val="autoZero"/>
        <c:auto val="1"/>
        <c:lblAlgn val="ctr"/>
        <c:lblOffset val="100"/>
        <c:noMultiLvlLbl val="0"/>
      </c:catAx>
      <c:valAx>
        <c:axId val="871183919"/>
        <c:scaling>
          <c:orientation val="minMax"/>
        </c:scaling>
        <c:delete val="0"/>
        <c:axPos val="l"/>
        <c:numFmt formatCode="#,##0.0_);[Red]\(#,##0.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7117959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308062453731743E-2"/>
          <c:y val="5.499153976311337E-2"/>
          <c:w val="0.92050390335823407"/>
          <c:h val="0.80728453591557459"/>
        </c:manualLayout>
      </c:layout>
      <c:lineChart>
        <c:grouping val="standard"/>
        <c:varyColors val="0"/>
        <c:ser>
          <c:idx val="0"/>
          <c:order val="0"/>
          <c:tx>
            <c:strRef>
              <c:f>'Average maturity multilateral'!$B$3</c:f>
              <c:strCache>
                <c:ptCount val="1"/>
                <c:pt idx="0">
                  <c:v>Multilateral</c:v>
                </c:pt>
              </c:strCache>
            </c:strRef>
          </c:tx>
          <c:spPr>
            <a:ln w="28575" cap="rnd">
              <a:solidFill>
                <a:srgbClr val="004987"/>
              </a:solidFill>
              <a:round/>
            </a:ln>
            <a:effectLst/>
          </c:spPr>
          <c:marker>
            <c:symbol val="none"/>
          </c:marker>
          <c:dLbls>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63F-4997-90F1-4ED490767CFC}"/>
                </c:ext>
              </c:extLst>
            </c:dLbl>
            <c:dLbl>
              <c:idx val="1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63F-4997-90F1-4ED490767CF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Inter" panose="02000503000000020004" pitchFamily="2" charset="0"/>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'Average maturity private'!$A$4:$A$16</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'Average maturity multilateral'!$B$4:$B$16</c:f>
              <c:numCache>
                <c:formatCode>General</c:formatCode>
                <c:ptCount val="13"/>
                <c:pt idx="0">
                  <c:v>30.2</c:v>
                </c:pt>
                <c:pt idx="1">
                  <c:v>30</c:v>
                </c:pt>
                <c:pt idx="2">
                  <c:v>30.6</c:v>
                </c:pt>
                <c:pt idx="3">
                  <c:v>29.7</c:v>
                </c:pt>
                <c:pt idx="4">
                  <c:v>28.8</c:v>
                </c:pt>
                <c:pt idx="5">
                  <c:v>27.5</c:v>
                </c:pt>
                <c:pt idx="6">
                  <c:v>26.9</c:v>
                </c:pt>
                <c:pt idx="7">
                  <c:v>26.5</c:v>
                </c:pt>
                <c:pt idx="8">
                  <c:v>26</c:v>
                </c:pt>
                <c:pt idx="9">
                  <c:v>26.1</c:v>
                </c:pt>
                <c:pt idx="10">
                  <c:v>25.8</c:v>
                </c:pt>
                <c:pt idx="11">
                  <c:v>25.2</c:v>
                </c:pt>
                <c:pt idx="12">
                  <c:v>24.9</c:v>
                </c:pt>
              </c:numCache>
            </c:numRef>
          </c:val>
          <c:smooth val="0"/>
          <c:extLst>
            <c:ext xmlns:c16="http://schemas.microsoft.com/office/drawing/2014/chart" uri="{C3380CC4-5D6E-409C-BE32-E72D297353CC}">
              <c16:uniqueId val="{00000000-663F-4997-90F1-4ED490767CFC}"/>
            </c:ext>
          </c:extLst>
        </c:ser>
        <c:ser>
          <c:idx val="1"/>
          <c:order val="1"/>
          <c:tx>
            <c:strRef>
              <c:f>'Average maturity bilateral'!$B$3</c:f>
              <c:strCache>
                <c:ptCount val="1"/>
                <c:pt idx="0">
                  <c:v>Bilateral</c:v>
                </c:pt>
              </c:strCache>
            </c:strRef>
          </c:tx>
          <c:spPr>
            <a:ln w="28575" cap="rnd">
              <a:solidFill>
                <a:srgbClr val="009EDB"/>
              </a:solidFill>
              <a:round/>
            </a:ln>
            <a:effectLst/>
          </c:spPr>
          <c:marker>
            <c:symbol val="none"/>
          </c:marker>
          <c:dLbls>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63F-4997-90F1-4ED490767CFC}"/>
                </c:ext>
              </c:extLst>
            </c:dLbl>
            <c:dLbl>
              <c:idx val="1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63F-4997-90F1-4ED490767CF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Inter" panose="02000503000000020004" pitchFamily="2" charset="0"/>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'Average maturity private'!$A$4:$A$16</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'Average maturity bilateral'!$B$4:$B$16</c:f>
              <c:numCache>
                <c:formatCode>0.00_ </c:formatCode>
                <c:ptCount val="13"/>
                <c:pt idx="0">
                  <c:v>18.48</c:v>
                </c:pt>
                <c:pt idx="1">
                  <c:v>18.29</c:v>
                </c:pt>
                <c:pt idx="2">
                  <c:v>18.75</c:v>
                </c:pt>
                <c:pt idx="3">
                  <c:v>18.28</c:v>
                </c:pt>
                <c:pt idx="4">
                  <c:v>18.27</c:v>
                </c:pt>
                <c:pt idx="5">
                  <c:v>18.52</c:v>
                </c:pt>
                <c:pt idx="6">
                  <c:v>18.41</c:v>
                </c:pt>
                <c:pt idx="7">
                  <c:v>18.100000000000001</c:v>
                </c:pt>
                <c:pt idx="8">
                  <c:v>17.64</c:v>
                </c:pt>
                <c:pt idx="9">
                  <c:v>16.48</c:v>
                </c:pt>
                <c:pt idx="10">
                  <c:v>17.309999999999999</c:v>
                </c:pt>
                <c:pt idx="11">
                  <c:v>15.62</c:v>
                </c:pt>
                <c:pt idx="12">
                  <c:v>17.5</c:v>
                </c:pt>
              </c:numCache>
            </c:numRef>
          </c:val>
          <c:smooth val="0"/>
          <c:extLst>
            <c:ext xmlns:c16="http://schemas.microsoft.com/office/drawing/2014/chart" uri="{C3380CC4-5D6E-409C-BE32-E72D297353CC}">
              <c16:uniqueId val="{00000001-663F-4997-90F1-4ED490767CFC}"/>
            </c:ext>
          </c:extLst>
        </c:ser>
        <c:ser>
          <c:idx val="2"/>
          <c:order val="2"/>
          <c:tx>
            <c:strRef>
              <c:f>'Average maturity private'!$B$3</c:f>
              <c:strCache>
                <c:ptCount val="1"/>
                <c:pt idx="0">
                  <c:v>Private</c:v>
                </c:pt>
              </c:strCache>
            </c:strRef>
          </c:tx>
          <c:spPr>
            <a:ln w="28575" cap="rnd">
              <a:solidFill>
                <a:srgbClr val="C5DFEF"/>
              </a:solidFill>
              <a:round/>
            </a:ln>
            <a:effectLst/>
          </c:spPr>
          <c:marker>
            <c:symbol val="none"/>
          </c:marker>
          <c:dLbls>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63F-4997-90F1-4ED490767CFC}"/>
                </c:ext>
              </c:extLst>
            </c:dLbl>
            <c:dLbl>
              <c:idx val="1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63F-4997-90F1-4ED490767CF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Inter" panose="02000503000000020004" pitchFamily="2" charset="0"/>
                    <a:cs typeface="+mn-cs"/>
                  </a:defRPr>
                </a:pPr>
                <a:endParaRPr lang="en-US"/>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'Average maturity private'!$A$4:$A$16</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'Average maturity private'!$B$4:$B$16</c:f>
              <c:numCache>
                <c:formatCode>General</c:formatCode>
                <c:ptCount val="13"/>
                <c:pt idx="0">
                  <c:v>14.21</c:v>
                </c:pt>
                <c:pt idx="1">
                  <c:v>14.01</c:v>
                </c:pt>
                <c:pt idx="2">
                  <c:v>15.12</c:v>
                </c:pt>
                <c:pt idx="3">
                  <c:v>12.92</c:v>
                </c:pt>
                <c:pt idx="4">
                  <c:v>12.76</c:v>
                </c:pt>
                <c:pt idx="5">
                  <c:v>11.49</c:v>
                </c:pt>
                <c:pt idx="6">
                  <c:v>12.8</c:v>
                </c:pt>
                <c:pt idx="7">
                  <c:v>12.79</c:v>
                </c:pt>
                <c:pt idx="8">
                  <c:v>11.88</c:v>
                </c:pt>
                <c:pt idx="9">
                  <c:v>14.44</c:v>
                </c:pt>
                <c:pt idx="10">
                  <c:v>12.24</c:v>
                </c:pt>
                <c:pt idx="11">
                  <c:v>12.76</c:v>
                </c:pt>
                <c:pt idx="12">
                  <c:v>10.82</c:v>
                </c:pt>
              </c:numCache>
            </c:numRef>
          </c:val>
          <c:smooth val="0"/>
          <c:extLst>
            <c:ext xmlns:c16="http://schemas.microsoft.com/office/drawing/2014/chart" uri="{C3380CC4-5D6E-409C-BE32-E72D297353CC}">
              <c16:uniqueId val="{00000002-663F-4997-90F1-4ED490767CFC}"/>
            </c:ext>
          </c:extLst>
        </c:ser>
        <c:dLbls>
          <c:showLegendKey val="0"/>
          <c:showVal val="0"/>
          <c:showCatName val="0"/>
          <c:showSerName val="0"/>
          <c:showPercent val="0"/>
          <c:showBubbleSize val="0"/>
        </c:dLbls>
        <c:smooth val="0"/>
        <c:axId val="11786879"/>
        <c:axId val="11791679"/>
      </c:lineChart>
      <c:catAx>
        <c:axId val="11786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Inter" panose="02000503000000020004" pitchFamily="2" charset="0"/>
                <a:cs typeface="+mn-cs"/>
              </a:defRPr>
            </a:pPr>
            <a:endParaRPr lang="en-US"/>
          </a:p>
        </c:txPr>
        <c:crossAx val="11791679"/>
        <c:crosses val="autoZero"/>
        <c:auto val="1"/>
        <c:lblAlgn val="ctr"/>
        <c:lblOffset val="100"/>
        <c:noMultiLvlLbl val="0"/>
      </c:catAx>
      <c:valAx>
        <c:axId val="1179167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Inter" panose="02000503000000020004" pitchFamily="2" charset="0"/>
                <a:cs typeface="+mn-cs"/>
              </a:defRPr>
            </a:pPr>
            <a:endParaRPr lang="en-US"/>
          </a:p>
        </c:txPr>
        <c:crossAx val="11786879"/>
        <c:crosses val="autoZero"/>
        <c:crossBetween val="between"/>
      </c:valAx>
      <c:spPr>
        <a:noFill/>
        <a:ln>
          <a:noFill/>
        </a:ln>
        <a:effectLst/>
      </c:spPr>
    </c:plotArea>
    <c:legend>
      <c:legendPos val="b"/>
      <c:layout>
        <c:manualLayout>
          <c:xMode val="edge"/>
          <c:yMode val="edge"/>
          <c:x val="8.8140549773352228E-2"/>
          <c:y val="0.75542300812479068"/>
          <c:w val="0.85232400777078077"/>
          <c:h val="6.316195458434052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Inter" panose="02000503000000020004" pitchFamily="2" charset="0"/>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mn-lt"/>
          <a:ea typeface="Inter" panose="02000503000000020004" pitchFamily="2"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176793332703632E-2"/>
          <c:y val="5.486860117762684E-2"/>
          <c:w val="0.92050390335823407"/>
          <c:h val="0.78626686712040617"/>
        </c:manualLayout>
      </c:layout>
      <c:lineChart>
        <c:grouping val="standard"/>
        <c:varyColors val="0"/>
        <c:ser>
          <c:idx val="1"/>
          <c:order val="0"/>
          <c:tx>
            <c:strRef>
              <c:f>'Average maturity multilateral'!$F$3</c:f>
              <c:strCache>
                <c:ptCount val="1"/>
                <c:pt idx="0">
                  <c:v>WB IBRD</c:v>
                </c:pt>
              </c:strCache>
            </c:strRef>
          </c:tx>
          <c:spPr>
            <a:ln w="28575" cap="rnd">
              <a:solidFill>
                <a:srgbClr val="004987"/>
              </a:solidFill>
              <a:round/>
            </a:ln>
            <a:effectLst/>
          </c:spPr>
          <c:marker>
            <c:symbol val="none"/>
          </c:marker>
          <c:dLbls>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52-4184-9C8B-D49F3A99B905}"/>
                </c:ext>
              </c:extLst>
            </c:dLbl>
            <c:dLbl>
              <c:idx val="1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52-4184-9C8B-D49F3A99B905}"/>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Inter" panose="02000503000000020004" pitchFamily="2" charset="0"/>
                    <a:cs typeface="+mn-cs"/>
                  </a:defRPr>
                </a:pPr>
                <a:endParaRPr lang="en-US"/>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'Average maturity multilateral'!$E$4:$E$16</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'Average maturity multilateral'!$F$4:$F$16</c:f>
              <c:numCache>
                <c:formatCode>0.0_ </c:formatCode>
                <c:ptCount val="13"/>
                <c:pt idx="0">
                  <c:v>25.056266666666598</c:v>
                </c:pt>
                <c:pt idx="1">
                  <c:v>23.610215384615302</c:v>
                </c:pt>
                <c:pt idx="2">
                  <c:v>22.807024137930998</c:v>
                </c:pt>
                <c:pt idx="3">
                  <c:v>23.248195454545399</c:v>
                </c:pt>
                <c:pt idx="4">
                  <c:v>22.563187499999898</c:v>
                </c:pt>
                <c:pt idx="5">
                  <c:v>25.342970000000001</c:v>
                </c:pt>
                <c:pt idx="6">
                  <c:v>24.078987499999901</c:v>
                </c:pt>
                <c:pt idx="7">
                  <c:v>23.686464516129</c:v>
                </c:pt>
                <c:pt idx="8">
                  <c:v>23.9178</c:v>
                </c:pt>
                <c:pt idx="9">
                  <c:v>24.044833333333301</c:v>
                </c:pt>
                <c:pt idx="10">
                  <c:v>23.008348571428499</c:v>
                </c:pt>
                <c:pt idx="11">
                  <c:v>19.204926470588202</c:v>
                </c:pt>
                <c:pt idx="12">
                  <c:v>19.6464297297297</c:v>
                </c:pt>
              </c:numCache>
            </c:numRef>
          </c:val>
          <c:smooth val="0"/>
          <c:extLst>
            <c:ext xmlns:c16="http://schemas.microsoft.com/office/drawing/2014/chart" uri="{C3380CC4-5D6E-409C-BE32-E72D297353CC}">
              <c16:uniqueId val="{00000002-F252-4184-9C8B-D49F3A99B905}"/>
            </c:ext>
          </c:extLst>
        </c:ser>
        <c:ser>
          <c:idx val="0"/>
          <c:order val="1"/>
          <c:tx>
            <c:strRef>
              <c:f>'Average maturity multilateral'!$G$3</c:f>
              <c:strCache>
                <c:ptCount val="1"/>
                <c:pt idx="0">
                  <c:v>WB IDA</c:v>
                </c:pt>
              </c:strCache>
            </c:strRef>
          </c:tx>
          <c:spPr>
            <a:ln w="28575" cap="rnd">
              <a:solidFill>
                <a:srgbClr val="009EDB"/>
              </a:solidFill>
              <a:round/>
            </a:ln>
            <a:effectLst/>
          </c:spPr>
          <c:marker>
            <c:symbol val="none"/>
          </c:marker>
          <c:dLbls>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52-4184-9C8B-D49F3A99B905}"/>
                </c:ext>
              </c:extLst>
            </c:dLbl>
            <c:dLbl>
              <c:idx val="1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52-4184-9C8B-D49F3A99B905}"/>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Inter" panose="02000503000000020004" pitchFamily="2" charset="0"/>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'Average maturity multilateral'!$E$4:$E$16</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'Average maturity multilateral'!$G$4:$G$16</c:f>
              <c:numCache>
                <c:formatCode>0.0_ </c:formatCode>
                <c:ptCount val="13"/>
                <c:pt idx="0">
                  <c:v>35.533255813953403</c:v>
                </c:pt>
                <c:pt idx="1">
                  <c:v>34.016259574468002</c:v>
                </c:pt>
                <c:pt idx="2">
                  <c:v>34.796683720930197</c:v>
                </c:pt>
                <c:pt idx="3">
                  <c:v>35.055830232558101</c:v>
                </c:pt>
                <c:pt idx="4">
                  <c:v>34.600601851851799</c:v>
                </c:pt>
                <c:pt idx="5">
                  <c:v>34.436395238095201</c:v>
                </c:pt>
                <c:pt idx="6">
                  <c:v>33.140182978723402</c:v>
                </c:pt>
                <c:pt idx="7">
                  <c:v>32.577338181818099</c:v>
                </c:pt>
                <c:pt idx="8">
                  <c:v>34.243393023255798</c:v>
                </c:pt>
                <c:pt idx="9">
                  <c:v>34.807553061224397</c:v>
                </c:pt>
                <c:pt idx="10">
                  <c:v>34.161403703703698</c:v>
                </c:pt>
                <c:pt idx="11">
                  <c:v>34.0734291666666</c:v>
                </c:pt>
                <c:pt idx="12">
                  <c:v>34.616286000000002</c:v>
                </c:pt>
              </c:numCache>
            </c:numRef>
          </c:val>
          <c:smooth val="0"/>
          <c:extLst>
            <c:ext xmlns:c16="http://schemas.microsoft.com/office/drawing/2014/chart" uri="{C3380CC4-5D6E-409C-BE32-E72D297353CC}">
              <c16:uniqueId val="{00000005-F252-4184-9C8B-D49F3A99B905}"/>
            </c:ext>
          </c:extLst>
        </c:ser>
        <c:ser>
          <c:idx val="2"/>
          <c:order val="2"/>
          <c:tx>
            <c:strRef>
              <c:f>'Average maturity multilateral'!$H$3</c:f>
              <c:strCache>
                <c:ptCount val="1"/>
                <c:pt idx="0">
                  <c:v>Other MDBs</c:v>
                </c:pt>
              </c:strCache>
            </c:strRef>
          </c:tx>
          <c:spPr>
            <a:ln w="28575" cap="rnd">
              <a:solidFill>
                <a:srgbClr val="C5DFEF"/>
              </a:solidFill>
              <a:round/>
            </a:ln>
            <a:effectLst/>
          </c:spPr>
          <c:marker>
            <c:symbol val="none"/>
          </c:marker>
          <c:dLbls>
            <c:dLbl>
              <c:idx val="2"/>
              <c:layout>
                <c:manualLayout>
                  <c:x val="-7.1350897488524884E-2"/>
                  <c:y val="5.12701986123143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252-4184-9C8B-D49F3A99B905}"/>
                </c:ext>
              </c:extLst>
            </c:dLbl>
            <c:dLbl>
              <c:idx val="1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52-4184-9C8B-D49F3A99B905}"/>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Inter" panose="02000503000000020004" pitchFamily="2" charset="0"/>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0"/>
              </c:ext>
            </c:extLst>
          </c:dLbls>
          <c:cat>
            <c:numRef>
              <c:f>'Average maturity multilateral'!$E$4:$E$16</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'Average maturity multilateral'!$H$4:$H$16</c:f>
              <c:numCache>
                <c:formatCode>0.0_ </c:formatCode>
                <c:ptCount val="13"/>
                <c:pt idx="0">
                  <c:v>30.5913763636363</c:v>
                </c:pt>
                <c:pt idx="1">
                  <c:v>31.225798275862001</c:v>
                </c:pt>
                <c:pt idx="2">
                  <c:v>32.901501492537299</c:v>
                </c:pt>
                <c:pt idx="3">
                  <c:v>31.221390625000002</c:v>
                </c:pt>
                <c:pt idx="4">
                  <c:v>30.6668309859154</c:v>
                </c:pt>
                <c:pt idx="5">
                  <c:v>26.906045588235301</c:v>
                </c:pt>
                <c:pt idx="6">
                  <c:v>26.442019178082099</c:v>
                </c:pt>
                <c:pt idx="7">
                  <c:v>26.7676625</c:v>
                </c:pt>
                <c:pt idx="8">
                  <c:v>24.423888571428499</c:v>
                </c:pt>
                <c:pt idx="9">
                  <c:v>24.450881159420199</c:v>
                </c:pt>
                <c:pt idx="10">
                  <c:v>24.826370422535199</c:v>
                </c:pt>
                <c:pt idx="11">
                  <c:v>24.731876363636299</c:v>
                </c:pt>
                <c:pt idx="12">
                  <c:v>23.8000467741935</c:v>
                </c:pt>
              </c:numCache>
            </c:numRef>
          </c:val>
          <c:smooth val="0"/>
          <c:extLst>
            <c:ext xmlns:c16="http://schemas.microsoft.com/office/drawing/2014/chart" uri="{C3380CC4-5D6E-409C-BE32-E72D297353CC}">
              <c16:uniqueId val="{00000008-F252-4184-9C8B-D49F3A99B905}"/>
            </c:ext>
          </c:extLst>
        </c:ser>
        <c:dLbls>
          <c:showLegendKey val="0"/>
          <c:showVal val="0"/>
          <c:showCatName val="0"/>
          <c:showSerName val="0"/>
          <c:showPercent val="0"/>
          <c:showBubbleSize val="0"/>
        </c:dLbls>
        <c:smooth val="0"/>
        <c:axId val="11786879"/>
        <c:axId val="11791679"/>
      </c:lineChart>
      <c:catAx>
        <c:axId val="11786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Inter" panose="02000503000000020004" pitchFamily="2" charset="0"/>
                <a:cs typeface="+mn-cs"/>
              </a:defRPr>
            </a:pPr>
            <a:endParaRPr lang="en-US"/>
          </a:p>
        </c:txPr>
        <c:crossAx val="11791679"/>
        <c:crosses val="autoZero"/>
        <c:auto val="1"/>
        <c:lblAlgn val="ctr"/>
        <c:lblOffset val="100"/>
        <c:noMultiLvlLbl val="0"/>
      </c:catAx>
      <c:valAx>
        <c:axId val="11791679"/>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Inter" panose="02000503000000020004" pitchFamily="2" charset="0"/>
                <a:cs typeface="+mn-cs"/>
              </a:defRPr>
            </a:pPr>
            <a:endParaRPr lang="en-US"/>
          </a:p>
        </c:txPr>
        <c:crossAx val="11786879"/>
        <c:crosses val="autoZero"/>
        <c:crossBetween val="between"/>
      </c:valAx>
      <c:spPr>
        <a:noFill/>
        <a:ln>
          <a:noFill/>
        </a:ln>
        <a:effectLst/>
      </c:spPr>
    </c:plotArea>
    <c:legend>
      <c:legendPos val="b"/>
      <c:layout>
        <c:manualLayout>
          <c:xMode val="edge"/>
          <c:yMode val="edge"/>
          <c:x val="0.11161137440758294"/>
          <c:y val="0.73551955116417567"/>
          <c:w val="0.82417061611374409"/>
          <c:h val="6.123636050281676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Inter" panose="02000503000000020004" pitchFamily="2" charset="0"/>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mn-lt"/>
          <a:ea typeface="Inter" panose="02000503000000020004"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5ACB5-C544-4FF0-AC1F-21AC68494ED3}">
  <ds:schemaRefs>
    <ds:schemaRef ds:uri="http://schemas.microsoft.com/office/2006/metadata/properties"/>
    <ds:schemaRef ds:uri="http://schemas.microsoft.com/office/infopath/2007/PartnerControls"/>
    <ds:schemaRef ds:uri="985ec44e-1bab-4c0b-9df0-6ba128686fc9"/>
    <ds:schemaRef ds:uri="1b66131c-dde2-47eb-aab6-bf4e8932aef7"/>
  </ds:schemaRefs>
</ds:datastoreItem>
</file>

<file path=customXml/itemProps2.xml><?xml version="1.0" encoding="utf-8"?>
<ds:datastoreItem xmlns:ds="http://schemas.openxmlformats.org/officeDocument/2006/customXml" ds:itemID="{9DC78CC7-2337-4299-883A-F359F5CF0730}">
  <ds:schemaRefs>
    <ds:schemaRef ds:uri="http://schemas.openxmlformats.org/officeDocument/2006/bibliography"/>
  </ds:schemaRefs>
</ds:datastoreItem>
</file>

<file path=customXml/itemProps3.xml><?xml version="1.0" encoding="utf-8"?>
<ds:datastoreItem xmlns:ds="http://schemas.openxmlformats.org/officeDocument/2006/customXml" ds:itemID="{34554963-54B2-432F-9808-B76A81466DEA}"/>
</file>

<file path=customXml/itemProps4.xml><?xml version="1.0" encoding="utf-8"?>
<ds:datastoreItem xmlns:ds="http://schemas.openxmlformats.org/officeDocument/2006/customXml" ds:itemID="{5B0395E6-CBEA-4276-A77F-CCB6AE3993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1478</Words>
  <Characters>8426</Characters>
  <Application>Microsoft Office Word</Application>
  <DocSecurity>0</DocSecurity>
  <Lines>70</Lines>
  <Paragraphs>19</Paragraphs>
  <ScaleCrop>false</ScaleCrop>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2024-10-11T13:24:00Z</dcterms:created>
  <dcterms:modified xsi:type="dcterms:W3CDTF">2024-10-15T21:22:00Z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