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1044A42D" w:rsidR="00B37572" w:rsidRPr="0078239C" w:rsidRDefault="001519A1" w:rsidP="00B37572">
      <w:pPr>
        <w:pStyle w:val="Heading1"/>
        <w:jc w:val="center"/>
        <w:rPr>
          <w:lang w:val="en-GB"/>
        </w:rPr>
      </w:pPr>
      <w:r>
        <w:rPr>
          <w:lang w:val="en-GB"/>
        </w:rPr>
        <w:t>UNCTAD Financing Brief for FFD4</w:t>
      </w:r>
    </w:p>
    <w:p w14:paraId="33D102E9" w14:textId="577CB116" w:rsidR="00174569" w:rsidRPr="0078239C" w:rsidRDefault="006D0087" w:rsidP="00174569">
      <w:pPr>
        <w:pStyle w:val="Heading1"/>
        <w:jc w:val="center"/>
        <w:rPr>
          <w:lang w:val="en-GB"/>
        </w:rPr>
      </w:pPr>
      <w:r w:rsidRPr="0078239C">
        <w:rPr>
          <w:lang w:val="en-GB"/>
        </w:rPr>
        <w:t xml:space="preserve">Harnessing </w:t>
      </w:r>
      <w:r w:rsidR="00BB2481">
        <w:rPr>
          <w:lang w:val="en-GB"/>
        </w:rPr>
        <w:t>Science</w:t>
      </w:r>
      <w:r w:rsidR="008B61A4">
        <w:rPr>
          <w:lang w:val="en-GB"/>
        </w:rPr>
        <w:t>,</w:t>
      </w:r>
      <w:r w:rsidR="00BB2481">
        <w:rPr>
          <w:lang w:val="en-GB"/>
        </w:rPr>
        <w:t xml:space="preserve"> Technology and Innovation </w:t>
      </w:r>
      <w:r w:rsidRPr="0078239C">
        <w:rPr>
          <w:lang w:val="en-GB"/>
        </w:rPr>
        <w:t xml:space="preserve">for Equitable Global Development: A Pathway to Achieving the SDGs </w:t>
      </w:r>
    </w:p>
    <w:p w14:paraId="3759A8D8" w14:textId="77777777" w:rsidR="00B37572" w:rsidRPr="0078239C" w:rsidRDefault="00B37572" w:rsidP="00B37572">
      <w:pPr>
        <w:rPr>
          <w:lang w:val="en-GB"/>
        </w:rPr>
      </w:pPr>
    </w:p>
    <w:p w14:paraId="4931A488" w14:textId="693AE513" w:rsidR="00B37572" w:rsidRPr="0078239C" w:rsidRDefault="00174569" w:rsidP="00B37572">
      <w:pPr>
        <w:pStyle w:val="Heading2"/>
        <w:rPr>
          <w:lang w:val="en-GB"/>
        </w:rPr>
      </w:pPr>
      <w:r w:rsidRPr="0078239C">
        <w:rPr>
          <w:lang w:val="en-GB"/>
        </w:rPr>
        <w:t>Key messages (</w:t>
      </w:r>
      <w:r w:rsidR="33E8252D" w:rsidRPr="0078239C">
        <w:rPr>
          <w:lang w:val="en-GB"/>
        </w:rPr>
        <w:t>suggested word count: no more than</w:t>
      </w:r>
      <w:r w:rsidRPr="0078239C">
        <w:rPr>
          <w:lang w:val="en-GB"/>
        </w:rPr>
        <w:t xml:space="preserve"> 200 words)</w:t>
      </w:r>
    </w:p>
    <w:p w14:paraId="0959820A" w14:textId="281ABB6F" w:rsidR="0078239C" w:rsidRPr="001F7840" w:rsidRDefault="0078239C" w:rsidP="00BD1EAF">
      <w:pPr>
        <w:pStyle w:val="NormalWeb"/>
        <w:numPr>
          <w:ilvl w:val="0"/>
          <w:numId w:val="6"/>
        </w:numPr>
        <w:jc w:val="both"/>
        <w:rPr>
          <w:rStyle w:val="Strong"/>
          <w:rFonts w:asciiTheme="minorHAnsi" w:hAnsiTheme="minorHAnsi" w:cstheme="minorHAnsi"/>
          <w:b w:val="0"/>
          <w:bCs w:val="0"/>
          <w:lang w:val="en-GB"/>
        </w:rPr>
      </w:pPr>
      <w:r w:rsidRPr="001F7840">
        <w:rPr>
          <w:rStyle w:val="Strong"/>
          <w:rFonts w:asciiTheme="minorHAnsi" w:hAnsiTheme="minorHAnsi" w:cstheme="minorHAnsi"/>
          <w:lang w:val="en-GB"/>
        </w:rPr>
        <w:t>Integrating STI into Financing for Development:</w:t>
      </w:r>
      <w:r w:rsidRPr="0078239C">
        <w:rPr>
          <w:rStyle w:val="Strong"/>
          <w:rFonts w:asciiTheme="minorHAnsi" w:hAnsiTheme="minorHAnsi" w:cstheme="minorHAnsi"/>
          <w:b w:val="0"/>
          <w:bCs w:val="0"/>
          <w:lang w:val="en-GB"/>
        </w:rPr>
        <w:t xml:space="preserve"> STI</w:t>
      </w:r>
      <w:r w:rsidR="00C0268C">
        <w:rPr>
          <w:rStyle w:val="Strong"/>
          <w:rFonts w:asciiTheme="minorHAnsi" w:hAnsiTheme="minorHAnsi" w:cstheme="minorHAnsi"/>
          <w:b w:val="0"/>
          <w:bCs w:val="0"/>
          <w:lang w:val="en-GB"/>
        </w:rPr>
        <w:t xml:space="preserve"> </w:t>
      </w:r>
      <w:r w:rsidRPr="0078239C">
        <w:rPr>
          <w:rStyle w:val="Strong"/>
          <w:rFonts w:asciiTheme="minorHAnsi" w:hAnsiTheme="minorHAnsi" w:cstheme="minorHAnsi"/>
          <w:b w:val="0"/>
          <w:bCs w:val="0"/>
          <w:lang w:val="en-GB"/>
        </w:rPr>
        <w:t>are critical enabler</w:t>
      </w:r>
      <w:r w:rsidR="001F7840">
        <w:rPr>
          <w:rStyle w:val="Strong"/>
          <w:rFonts w:asciiTheme="minorHAnsi" w:hAnsiTheme="minorHAnsi" w:cstheme="minorHAnsi"/>
          <w:b w:val="0"/>
          <w:bCs w:val="0"/>
          <w:lang w:val="en-GB"/>
        </w:rPr>
        <w:t>s</w:t>
      </w:r>
      <w:r w:rsidRPr="0078239C">
        <w:rPr>
          <w:rStyle w:val="Strong"/>
          <w:rFonts w:asciiTheme="minorHAnsi" w:hAnsiTheme="minorHAnsi" w:cstheme="minorHAnsi"/>
          <w:b w:val="0"/>
          <w:bCs w:val="0"/>
          <w:lang w:val="en-GB"/>
        </w:rPr>
        <w:t xml:space="preserve"> for achieving the SDGs and must be central to </w:t>
      </w:r>
      <w:r w:rsidR="001F7840">
        <w:rPr>
          <w:rStyle w:val="Strong"/>
          <w:rFonts w:asciiTheme="minorHAnsi" w:hAnsiTheme="minorHAnsi" w:cstheme="minorHAnsi"/>
          <w:b w:val="0"/>
          <w:bCs w:val="0"/>
          <w:lang w:val="en-GB"/>
        </w:rPr>
        <w:t xml:space="preserve">the </w:t>
      </w:r>
      <w:r w:rsidRPr="0078239C">
        <w:rPr>
          <w:rStyle w:val="Strong"/>
          <w:rFonts w:asciiTheme="minorHAnsi" w:hAnsiTheme="minorHAnsi" w:cstheme="minorHAnsi"/>
          <w:b w:val="0"/>
          <w:bCs w:val="0"/>
          <w:lang w:val="en-GB"/>
        </w:rPr>
        <w:t>Financing for Development</w:t>
      </w:r>
      <w:r w:rsidR="001F7840">
        <w:rPr>
          <w:rStyle w:val="Strong"/>
          <w:rFonts w:asciiTheme="minorHAnsi" w:hAnsiTheme="minorHAnsi" w:cstheme="minorHAnsi"/>
          <w:b w:val="0"/>
          <w:bCs w:val="0"/>
          <w:lang w:val="en-GB"/>
        </w:rPr>
        <w:t xml:space="preserve"> agenda</w:t>
      </w:r>
      <w:r w:rsidRPr="0078239C">
        <w:rPr>
          <w:rStyle w:val="Strong"/>
          <w:rFonts w:asciiTheme="minorHAnsi" w:hAnsiTheme="minorHAnsi" w:cstheme="minorHAnsi"/>
          <w:b w:val="0"/>
          <w:bCs w:val="0"/>
          <w:lang w:val="en-GB"/>
        </w:rPr>
        <w:t>. Without substantial investments in STI, countries will struggle to meet their development objectives</w:t>
      </w:r>
      <w:r w:rsidRPr="0078239C">
        <w:rPr>
          <w:rFonts w:asciiTheme="minorHAnsi" w:hAnsiTheme="minorHAnsi" w:cstheme="minorHAnsi"/>
          <w:lang w:val="en-GB"/>
        </w:rPr>
        <w:t xml:space="preserve"> and respond to </w:t>
      </w:r>
      <w:r w:rsidR="007461FE">
        <w:rPr>
          <w:rFonts w:asciiTheme="minorHAnsi" w:hAnsiTheme="minorHAnsi" w:cstheme="minorHAnsi"/>
          <w:lang w:val="en-GB"/>
        </w:rPr>
        <w:t xml:space="preserve">global challenges including </w:t>
      </w:r>
      <w:r w:rsidR="001F7840">
        <w:rPr>
          <w:rFonts w:asciiTheme="minorHAnsi" w:hAnsiTheme="minorHAnsi" w:cstheme="minorHAnsi"/>
          <w:lang w:val="en-GB"/>
        </w:rPr>
        <w:t>c</w:t>
      </w:r>
      <w:r w:rsidRPr="0078239C">
        <w:rPr>
          <w:rFonts w:asciiTheme="minorHAnsi" w:hAnsiTheme="minorHAnsi" w:cstheme="minorHAnsi"/>
          <w:lang w:val="en-GB"/>
        </w:rPr>
        <w:t>limate change and pandemics.</w:t>
      </w:r>
    </w:p>
    <w:p w14:paraId="78F0D16A" w14:textId="3874884F" w:rsidR="00276BBA" w:rsidRPr="0078239C" w:rsidRDefault="00276BBA" w:rsidP="00BD1EAF">
      <w:pPr>
        <w:pStyle w:val="NormalWeb"/>
        <w:numPr>
          <w:ilvl w:val="0"/>
          <w:numId w:val="6"/>
        </w:numPr>
        <w:jc w:val="both"/>
        <w:rPr>
          <w:rFonts w:asciiTheme="minorHAnsi" w:hAnsiTheme="minorHAnsi" w:cstheme="minorHAnsi"/>
          <w:lang w:val="en-GB"/>
        </w:rPr>
      </w:pPr>
      <w:r w:rsidRPr="0078239C">
        <w:rPr>
          <w:rStyle w:val="Strong"/>
          <w:rFonts w:asciiTheme="minorHAnsi" w:eastAsiaTheme="majorEastAsia" w:hAnsiTheme="minorHAnsi" w:cstheme="minorHAnsi"/>
          <w:lang w:val="en-GB"/>
        </w:rPr>
        <w:t>Opportunities and risks of technological disruption</w:t>
      </w:r>
      <w:r w:rsidRPr="0078239C">
        <w:rPr>
          <w:rFonts w:asciiTheme="minorHAnsi" w:hAnsiTheme="minorHAnsi" w:cstheme="minorHAnsi"/>
          <w:lang w:val="en-GB"/>
        </w:rPr>
        <w:t xml:space="preserve">: While </w:t>
      </w:r>
      <w:r w:rsidR="00774B54" w:rsidRPr="0078239C">
        <w:rPr>
          <w:rFonts w:asciiTheme="minorHAnsi" w:hAnsiTheme="minorHAnsi" w:cstheme="minorHAnsi"/>
          <w:lang w:val="en-GB"/>
        </w:rPr>
        <w:t xml:space="preserve">frontier </w:t>
      </w:r>
      <w:r w:rsidRPr="0078239C">
        <w:rPr>
          <w:rFonts w:asciiTheme="minorHAnsi" w:hAnsiTheme="minorHAnsi" w:cstheme="minorHAnsi"/>
          <w:lang w:val="en-GB"/>
        </w:rPr>
        <w:t>technologies create new opportunities, especially for developing nations to leapfrog development stages, they also disrupt traditional growth pathways</w:t>
      </w:r>
      <w:r w:rsidR="0078239C" w:rsidRPr="0078239C">
        <w:rPr>
          <w:rFonts w:asciiTheme="minorHAnsi" w:hAnsiTheme="minorHAnsi" w:cstheme="minorHAnsi"/>
          <w:lang w:val="en-GB"/>
        </w:rPr>
        <w:t xml:space="preserve"> and exacerbate inequalities if not managed properly.</w:t>
      </w:r>
    </w:p>
    <w:p w14:paraId="006B9BC9" w14:textId="4827D393" w:rsidR="00D44A13" w:rsidRPr="0078239C" w:rsidRDefault="00F2027D" w:rsidP="00D44A13">
      <w:pPr>
        <w:pStyle w:val="NormalWeb"/>
        <w:numPr>
          <w:ilvl w:val="0"/>
          <w:numId w:val="6"/>
        </w:numPr>
        <w:jc w:val="both"/>
        <w:rPr>
          <w:rFonts w:asciiTheme="minorHAnsi" w:hAnsiTheme="minorHAnsi" w:cstheme="minorHAnsi"/>
          <w:lang w:val="en-GB"/>
        </w:rPr>
      </w:pPr>
      <w:r w:rsidRPr="0078239C">
        <w:rPr>
          <w:rFonts w:asciiTheme="minorHAnsi" w:hAnsiTheme="minorHAnsi" w:cstheme="minorHAnsi"/>
          <w:b/>
          <w:bCs/>
          <w:lang w:val="en-GB"/>
        </w:rPr>
        <w:t>I</w:t>
      </w:r>
      <w:r w:rsidR="00D44A13" w:rsidRPr="0078239C">
        <w:rPr>
          <w:rFonts w:asciiTheme="minorHAnsi" w:hAnsiTheme="minorHAnsi" w:cstheme="minorHAnsi"/>
          <w:b/>
          <w:bCs/>
          <w:lang w:val="en-GB"/>
        </w:rPr>
        <w:t>mplement</w:t>
      </w:r>
      <w:r w:rsidR="009A63D2">
        <w:rPr>
          <w:rFonts w:asciiTheme="minorHAnsi" w:hAnsiTheme="minorHAnsi" w:cstheme="minorHAnsi"/>
          <w:b/>
          <w:bCs/>
          <w:lang w:val="en-GB"/>
        </w:rPr>
        <w:t>ing</w:t>
      </w:r>
      <w:r w:rsidR="00D44A13" w:rsidRPr="0078239C">
        <w:rPr>
          <w:rFonts w:asciiTheme="minorHAnsi" w:hAnsiTheme="minorHAnsi" w:cstheme="minorHAnsi"/>
          <w:b/>
          <w:bCs/>
          <w:lang w:val="en-GB"/>
        </w:rPr>
        <w:t xml:space="preserve"> policies that direct technolog</w:t>
      </w:r>
      <w:r w:rsidRPr="0078239C">
        <w:rPr>
          <w:rFonts w:asciiTheme="minorHAnsi" w:hAnsiTheme="minorHAnsi" w:cstheme="minorHAnsi"/>
          <w:b/>
          <w:bCs/>
          <w:lang w:val="en-GB"/>
        </w:rPr>
        <w:t xml:space="preserve">y </w:t>
      </w:r>
      <w:r w:rsidR="00D44A13" w:rsidRPr="0078239C">
        <w:rPr>
          <w:rFonts w:asciiTheme="minorHAnsi" w:hAnsiTheme="minorHAnsi" w:cstheme="minorHAnsi"/>
          <w:b/>
          <w:bCs/>
          <w:lang w:val="en-GB"/>
        </w:rPr>
        <w:t>toward</w:t>
      </w:r>
      <w:r w:rsidR="009A63D2">
        <w:rPr>
          <w:rFonts w:asciiTheme="minorHAnsi" w:hAnsiTheme="minorHAnsi" w:cstheme="minorHAnsi"/>
          <w:b/>
          <w:bCs/>
          <w:lang w:val="en-GB"/>
        </w:rPr>
        <w:t>s</w:t>
      </w:r>
      <w:r w:rsidR="00D44A13" w:rsidRPr="0078239C">
        <w:rPr>
          <w:rFonts w:asciiTheme="minorHAnsi" w:hAnsiTheme="minorHAnsi" w:cstheme="minorHAnsi"/>
          <w:b/>
          <w:bCs/>
          <w:lang w:val="en-GB"/>
        </w:rPr>
        <w:t xml:space="preserve"> creati</w:t>
      </w:r>
      <w:r w:rsidR="007E567C" w:rsidRPr="0078239C">
        <w:rPr>
          <w:rFonts w:asciiTheme="minorHAnsi" w:hAnsiTheme="minorHAnsi" w:cstheme="minorHAnsi"/>
          <w:b/>
          <w:bCs/>
          <w:lang w:val="en-GB"/>
        </w:rPr>
        <w:t>ng</w:t>
      </w:r>
      <w:r w:rsidR="00D44A13" w:rsidRPr="0078239C">
        <w:rPr>
          <w:rFonts w:asciiTheme="minorHAnsi" w:hAnsiTheme="minorHAnsi" w:cstheme="minorHAnsi"/>
          <w:b/>
          <w:bCs/>
          <w:lang w:val="en-GB"/>
        </w:rPr>
        <w:t xml:space="preserve"> labour-absorbing sectors and high-quality jobs:</w:t>
      </w:r>
      <w:r w:rsidR="00D44A13" w:rsidRPr="0078239C">
        <w:rPr>
          <w:rFonts w:asciiTheme="minorHAnsi" w:hAnsiTheme="minorHAnsi" w:cstheme="minorHAnsi"/>
          <w:lang w:val="en-GB"/>
        </w:rPr>
        <w:t xml:space="preserve"> The international community should implement policies to harness frontier technologies for inclusive growth, ensuring that benefits are widely shared, lifting people </w:t>
      </w:r>
      <w:r w:rsidR="00C543AB">
        <w:rPr>
          <w:rFonts w:asciiTheme="minorHAnsi" w:hAnsiTheme="minorHAnsi" w:cstheme="minorHAnsi"/>
          <w:lang w:val="en-GB"/>
        </w:rPr>
        <w:t>out of</w:t>
      </w:r>
      <w:r w:rsidR="00C543AB" w:rsidRPr="0078239C">
        <w:rPr>
          <w:rFonts w:asciiTheme="minorHAnsi" w:hAnsiTheme="minorHAnsi" w:cstheme="minorHAnsi"/>
          <w:lang w:val="en-GB"/>
        </w:rPr>
        <w:t xml:space="preserve"> </w:t>
      </w:r>
      <w:r w:rsidR="00D44A13" w:rsidRPr="0078239C">
        <w:rPr>
          <w:rFonts w:asciiTheme="minorHAnsi" w:hAnsiTheme="minorHAnsi" w:cstheme="minorHAnsi"/>
          <w:lang w:val="en-GB"/>
        </w:rPr>
        <w:t>poverty, and strengthening the middle class.</w:t>
      </w:r>
      <w:r w:rsidR="005D7F3D" w:rsidRPr="0078239C">
        <w:rPr>
          <w:rFonts w:asciiTheme="minorHAnsi" w:hAnsiTheme="minorHAnsi" w:cstheme="minorHAnsi"/>
          <w:lang w:val="en-GB"/>
        </w:rPr>
        <w:t xml:space="preserve"> </w:t>
      </w:r>
    </w:p>
    <w:p w14:paraId="6C9ECA58" w14:textId="7F21FB0B" w:rsidR="00276BBA" w:rsidRPr="0078239C" w:rsidRDefault="003C0FAD" w:rsidP="00F912F1">
      <w:pPr>
        <w:pStyle w:val="NormalWeb"/>
        <w:numPr>
          <w:ilvl w:val="0"/>
          <w:numId w:val="6"/>
        </w:numPr>
        <w:jc w:val="both"/>
        <w:rPr>
          <w:rFonts w:asciiTheme="minorHAnsi" w:hAnsiTheme="minorHAnsi" w:cstheme="minorHAnsi"/>
          <w:lang w:val="en-GB"/>
        </w:rPr>
      </w:pPr>
      <w:r w:rsidRPr="009A63D2">
        <w:rPr>
          <w:rFonts w:asciiTheme="minorHAnsi" w:hAnsiTheme="minorHAnsi" w:cstheme="minorHAnsi"/>
          <w:b/>
          <w:lang w:val="en-GB"/>
        </w:rPr>
        <w:t>Addressing inequalities</w:t>
      </w:r>
      <w:r w:rsidR="0085338E">
        <w:rPr>
          <w:rFonts w:asciiTheme="minorHAnsi" w:hAnsiTheme="minorHAnsi" w:cstheme="minorHAnsi"/>
          <w:b/>
          <w:lang w:val="en-GB"/>
        </w:rPr>
        <w:t xml:space="preserve"> in STI</w:t>
      </w:r>
      <w:r w:rsidRPr="009A63D2">
        <w:rPr>
          <w:rFonts w:asciiTheme="minorHAnsi" w:hAnsiTheme="minorHAnsi" w:cstheme="minorHAnsi"/>
          <w:b/>
          <w:lang w:val="en-GB"/>
        </w:rPr>
        <w:t xml:space="preserve"> requires </w:t>
      </w:r>
      <w:r w:rsidR="008D1286" w:rsidRPr="009A63D2">
        <w:rPr>
          <w:rFonts w:asciiTheme="minorHAnsi" w:hAnsiTheme="minorHAnsi" w:cstheme="minorHAnsi"/>
          <w:b/>
          <w:lang w:val="en-GB"/>
        </w:rPr>
        <w:t>an enabling multilateral environment</w:t>
      </w:r>
      <w:r w:rsidRPr="009A63D2">
        <w:rPr>
          <w:rFonts w:asciiTheme="minorHAnsi" w:hAnsiTheme="minorHAnsi" w:cstheme="minorHAnsi"/>
          <w:b/>
          <w:lang w:val="en-GB"/>
        </w:rPr>
        <w:t>.</w:t>
      </w:r>
      <w:r w:rsidRPr="0078239C">
        <w:rPr>
          <w:rFonts w:asciiTheme="minorHAnsi" w:hAnsiTheme="minorHAnsi" w:cstheme="minorHAnsi"/>
          <w:lang w:val="en-GB"/>
        </w:rPr>
        <w:t xml:space="preserve"> </w:t>
      </w:r>
      <w:r w:rsidR="008E5904" w:rsidRPr="009A63D2">
        <w:rPr>
          <w:rFonts w:asciiTheme="minorHAnsi" w:hAnsiTheme="minorHAnsi" w:cstheme="minorHAnsi"/>
          <w:lang w:val="en-GB"/>
        </w:rPr>
        <w:t xml:space="preserve">This includes fostering improved access to technology, </w:t>
      </w:r>
      <w:r w:rsidR="00C04EBB">
        <w:rPr>
          <w:rFonts w:asciiTheme="minorHAnsi" w:hAnsiTheme="minorHAnsi" w:cstheme="minorHAnsi"/>
          <w:lang w:val="en-GB"/>
        </w:rPr>
        <w:t xml:space="preserve">strengthening South-South cooperation, </w:t>
      </w:r>
      <w:r w:rsidR="00A107C0">
        <w:rPr>
          <w:rFonts w:asciiTheme="minorHAnsi" w:hAnsiTheme="minorHAnsi" w:cstheme="minorHAnsi"/>
          <w:lang w:val="en-GB"/>
        </w:rPr>
        <w:t>promoting</w:t>
      </w:r>
      <w:r w:rsidR="00A107C0" w:rsidRPr="00A107C0">
        <w:rPr>
          <w:rFonts w:asciiTheme="minorHAnsi" w:hAnsiTheme="minorHAnsi" w:cstheme="minorHAnsi"/>
          <w:lang w:val="en-GB"/>
        </w:rPr>
        <w:t xml:space="preserve"> </w:t>
      </w:r>
      <w:r w:rsidR="008E5904" w:rsidRPr="009A63D2">
        <w:rPr>
          <w:rFonts w:asciiTheme="minorHAnsi" w:hAnsiTheme="minorHAnsi" w:cstheme="minorHAnsi"/>
          <w:lang w:val="en-GB"/>
        </w:rPr>
        <w:t xml:space="preserve">open science, and </w:t>
      </w:r>
      <w:r w:rsidR="00DD53E6" w:rsidRPr="009A63D2">
        <w:rPr>
          <w:rFonts w:asciiTheme="minorHAnsi" w:hAnsiTheme="minorHAnsi" w:cstheme="minorHAnsi"/>
          <w:lang w:val="en-GB"/>
        </w:rPr>
        <w:t>flexible IPR regimes</w:t>
      </w:r>
      <w:r w:rsidR="008E5904" w:rsidRPr="009A63D2">
        <w:rPr>
          <w:rFonts w:asciiTheme="minorHAnsi" w:hAnsiTheme="minorHAnsi" w:cstheme="minorHAnsi"/>
          <w:lang w:val="en-GB"/>
        </w:rPr>
        <w:t xml:space="preserve">, while maintaining </w:t>
      </w:r>
      <w:r w:rsidR="00276BBA" w:rsidRPr="0078239C">
        <w:rPr>
          <w:rFonts w:asciiTheme="minorHAnsi" w:hAnsiTheme="minorHAnsi" w:cstheme="minorHAnsi"/>
          <w:lang w:val="en-GB"/>
        </w:rPr>
        <w:t>a</w:t>
      </w:r>
      <w:r w:rsidR="006A18D9" w:rsidRPr="0078239C">
        <w:rPr>
          <w:rFonts w:asciiTheme="minorHAnsi" w:hAnsiTheme="minorHAnsi" w:cstheme="minorHAnsi"/>
          <w:lang w:val="en-GB"/>
        </w:rPr>
        <w:t>n open,</w:t>
      </w:r>
      <w:r w:rsidR="00276BBA" w:rsidRPr="0078239C">
        <w:rPr>
          <w:rFonts w:asciiTheme="minorHAnsi" w:hAnsiTheme="minorHAnsi" w:cstheme="minorHAnsi"/>
          <w:lang w:val="en-GB"/>
        </w:rPr>
        <w:t xml:space="preserve"> rules-based multilateral system </w:t>
      </w:r>
      <w:r w:rsidR="00A50C59" w:rsidRPr="0078239C">
        <w:rPr>
          <w:rFonts w:asciiTheme="minorHAnsi" w:hAnsiTheme="minorHAnsi" w:cstheme="minorHAnsi"/>
          <w:lang w:val="en-GB"/>
        </w:rPr>
        <w:t xml:space="preserve">that </w:t>
      </w:r>
      <w:r w:rsidR="007B53E7">
        <w:rPr>
          <w:rFonts w:asciiTheme="minorHAnsi" w:hAnsiTheme="minorHAnsi" w:cstheme="minorHAnsi"/>
          <w:lang w:val="en-GB"/>
        </w:rPr>
        <w:t>supports</w:t>
      </w:r>
      <w:r w:rsidR="007B53E7" w:rsidRPr="0078239C">
        <w:rPr>
          <w:rFonts w:asciiTheme="minorHAnsi" w:hAnsiTheme="minorHAnsi" w:cstheme="minorHAnsi"/>
          <w:lang w:val="en-GB"/>
        </w:rPr>
        <w:t xml:space="preserve"> </w:t>
      </w:r>
      <w:r w:rsidR="006A18D9" w:rsidRPr="0078239C">
        <w:rPr>
          <w:rFonts w:asciiTheme="minorHAnsi" w:hAnsiTheme="minorHAnsi" w:cstheme="minorHAnsi"/>
          <w:lang w:val="en-GB"/>
        </w:rPr>
        <w:t>developing countries</w:t>
      </w:r>
      <w:r w:rsidR="007B53E7">
        <w:rPr>
          <w:rFonts w:asciiTheme="minorHAnsi" w:hAnsiTheme="minorHAnsi" w:cstheme="minorHAnsi"/>
          <w:lang w:val="en-GB"/>
        </w:rPr>
        <w:t xml:space="preserve">’ </w:t>
      </w:r>
      <w:r w:rsidR="006A18D9" w:rsidRPr="0078239C">
        <w:rPr>
          <w:rFonts w:asciiTheme="minorHAnsi" w:hAnsiTheme="minorHAnsi" w:cstheme="minorHAnsi"/>
          <w:lang w:val="en-GB"/>
        </w:rPr>
        <w:t xml:space="preserve">technological </w:t>
      </w:r>
      <w:r w:rsidR="007B53E7">
        <w:rPr>
          <w:rFonts w:asciiTheme="minorHAnsi" w:hAnsiTheme="minorHAnsi" w:cstheme="minorHAnsi"/>
          <w:lang w:val="en-GB"/>
        </w:rPr>
        <w:t>development</w:t>
      </w:r>
      <w:r w:rsidR="006A18D9" w:rsidRPr="0078239C">
        <w:rPr>
          <w:rFonts w:asciiTheme="minorHAnsi" w:hAnsiTheme="minorHAnsi" w:cstheme="minorHAnsi"/>
          <w:lang w:val="en-GB"/>
        </w:rPr>
        <w:t>.</w:t>
      </w:r>
    </w:p>
    <w:p w14:paraId="439CB083" w14:textId="3A7EBC23" w:rsidR="002D28D4" w:rsidRPr="0078239C" w:rsidRDefault="002D28D4" w:rsidP="00F84829">
      <w:pPr>
        <w:pStyle w:val="NormalWeb"/>
        <w:numPr>
          <w:ilvl w:val="0"/>
          <w:numId w:val="6"/>
        </w:numPr>
        <w:jc w:val="both"/>
        <w:rPr>
          <w:rFonts w:asciiTheme="minorHAnsi" w:hAnsiTheme="minorHAnsi" w:cstheme="minorHAnsi"/>
          <w:lang w:val="en-GB"/>
        </w:rPr>
      </w:pPr>
      <w:r w:rsidRPr="0078239C">
        <w:rPr>
          <w:rFonts w:asciiTheme="minorHAnsi" w:hAnsiTheme="minorHAnsi" w:cstheme="minorHAnsi"/>
          <w:b/>
          <w:bCs/>
          <w:lang w:val="en-GB"/>
        </w:rPr>
        <w:t>Using finance to close technological gaps:</w:t>
      </w:r>
      <w:r w:rsidRPr="0078239C">
        <w:rPr>
          <w:rFonts w:asciiTheme="minorHAnsi" w:hAnsiTheme="minorHAnsi" w:cstheme="minorHAnsi"/>
          <w:lang w:val="en-GB"/>
        </w:rPr>
        <w:t xml:space="preserve"> </w:t>
      </w:r>
      <w:r w:rsidR="00830399" w:rsidRPr="0078239C">
        <w:rPr>
          <w:rFonts w:asciiTheme="minorHAnsi" w:hAnsiTheme="minorHAnsi" w:cstheme="minorHAnsi"/>
          <w:lang w:val="en-GB"/>
        </w:rPr>
        <w:t xml:space="preserve">Strategic financial investments at national and international levels, including the mobilization of </w:t>
      </w:r>
      <w:r w:rsidR="00821607">
        <w:rPr>
          <w:rFonts w:asciiTheme="minorHAnsi" w:hAnsiTheme="minorHAnsi" w:cstheme="minorHAnsi"/>
          <w:lang w:val="en-GB"/>
        </w:rPr>
        <w:t>ODA</w:t>
      </w:r>
      <w:r w:rsidR="00830399" w:rsidRPr="0078239C">
        <w:rPr>
          <w:rFonts w:asciiTheme="minorHAnsi" w:hAnsiTheme="minorHAnsi" w:cstheme="minorHAnsi"/>
          <w:lang w:val="en-GB"/>
        </w:rPr>
        <w:t>, are crucial to closing technological gaps.</w:t>
      </w:r>
      <w:r w:rsidR="00EE628C" w:rsidRPr="0078239C">
        <w:rPr>
          <w:rFonts w:asciiTheme="minorHAnsi" w:hAnsiTheme="minorHAnsi" w:cstheme="minorHAnsi"/>
          <w:lang w:val="en-GB"/>
        </w:rPr>
        <w:t xml:space="preserve"> </w:t>
      </w:r>
      <w:r w:rsidRPr="0078239C">
        <w:rPr>
          <w:rFonts w:asciiTheme="minorHAnsi" w:hAnsiTheme="minorHAnsi" w:cstheme="minorHAnsi"/>
          <w:lang w:val="en-GB"/>
        </w:rPr>
        <w:t xml:space="preserve">By mobilizing public and private finance, countries can enhance their technological capacities, improve infrastructure, and </w:t>
      </w:r>
      <w:r w:rsidR="00121DF3" w:rsidRPr="0078239C">
        <w:rPr>
          <w:rFonts w:asciiTheme="minorHAnsi" w:hAnsiTheme="minorHAnsi" w:cstheme="minorHAnsi"/>
          <w:lang w:val="en-GB"/>
        </w:rPr>
        <w:t>foster</w:t>
      </w:r>
      <w:r w:rsidRPr="0078239C">
        <w:rPr>
          <w:rFonts w:asciiTheme="minorHAnsi" w:hAnsiTheme="minorHAnsi" w:cstheme="minorHAnsi"/>
          <w:lang w:val="en-GB"/>
        </w:rPr>
        <w:t xml:space="preserve"> innovation.</w:t>
      </w:r>
    </w:p>
    <w:p w14:paraId="483FCFF3" w14:textId="531D2BBB" w:rsidR="00174569" w:rsidRPr="0078239C" w:rsidRDefault="00174569" w:rsidP="00BB2613">
      <w:pPr>
        <w:pStyle w:val="ListParagraph"/>
        <w:rPr>
          <w:rFonts w:cstheme="minorHAnsi"/>
          <w:lang w:val="en-GB"/>
        </w:rPr>
      </w:pPr>
    </w:p>
    <w:p w14:paraId="2B511B58" w14:textId="3C43E2EB" w:rsidR="00174569" w:rsidRPr="0078239C" w:rsidRDefault="00174569" w:rsidP="00174569">
      <w:pPr>
        <w:pStyle w:val="Heading2"/>
        <w:rPr>
          <w:lang w:val="en-GB"/>
        </w:rPr>
      </w:pPr>
      <w:r w:rsidRPr="0078239C">
        <w:rPr>
          <w:lang w:val="en-GB"/>
        </w:rPr>
        <w:t>Problem statement (</w:t>
      </w:r>
      <w:r w:rsidR="249587DD" w:rsidRPr="0078239C">
        <w:rPr>
          <w:lang w:val="en-GB"/>
        </w:rPr>
        <w:t>5</w:t>
      </w:r>
      <w:r w:rsidR="002F4A33" w:rsidRPr="0078239C">
        <w:rPr>
          <w:lang w:val="en-GB"/>
        </w:rPr>
        <w:t>00</w:t>
      </w:r>
      <w:r w:rsidRPr="0078239C">
        <w:rPr>
          <w:lang w:val="en-GB"/>
        </w:rPr>
        <w:t xml:space="preserve"> words)</w:t>
      </w:r>
    </w:p>
    <w:p w14:paraId="64499DAC" w14:textId="596C1940" w:rsidR="00F70AD4" w:rsidRPr="0078239C" w:rsidRDefault="00F70AD4" w:rsidP="002851B7">
      <w:pPr>
        <w:jc w:val="both"/>
        <w:rPr>
          <w:lang w:val="en-GB"/>
        </w:rPr>
      </w:pPr>
      <w:r w:rsidRPr="0078239C">
        <w:rPr>
          <w:lang w:val="en-GB"/>
        </w:rPr>
        <w:t>The pursuit of the United Nations</w:t>
      </w:r>
      <w:r w:rsidR="00F77AA5" w:rsidRPr="0078239C">
        <w:rPr>
          <w:lang w:val="en-GB"/>
        </w:rPr>
        <w:t>’</w:t>
      </w:r>
      <w:r w:rsidRPr="0078239C">
        <w:rPr>
          <w:lang w:val="en-GB"/>
        </w:rPr>
        <w:t xml:space="preserve"> Sustainable Development Goals (SDGs) is heavily dependent on technological advancements. Without substantial progress </w:t>
      </w:r>
      <w:r w:rsidR="001F7D9B">
        <w:rPr>
          <w:lang w:val="en-GB"/>
        </w:rPr>
        <w:t xml:space="preserve">in technological advancements </w:t>
      </w:r>
      <w:r w:rsidRPr="0078239C">
        <w:rPr>
          <w:lang w:val="en-GB"/>
        </w:rPr>
        <w:t xml:space="preserve">and access to technology, many countries will struggle to achieve the SDGs, leaving them unattainable for large portions of the global population. </w:t>
      </w:r>
    </w:p>
    <w:p w14:paraId="72D9ADA2" w14:textId="212387C4" w:rsidR="006B5CA2" w:rsidRDefault="00061071" w:rsidP="002851B7">
      <w:pPr>
        <w:jc w:val="both"/>
        <w:rPr>
          <w:lang w:val="en-GB"/>
        </w:rPr>
      </w:pPr>
      <w:r w:rsidRPr="0078239C">
        <w:rPr>
          <w:lang w:val="en-GB"/>
        </w:rPr>
        <w:t>Technological advancements, particularly in digital and green technologies, are reshaping the patterns of international comparative advantage</w:t>
      </w:r>
      <w:r w:rsidR="00055AD0">
        <w:rPr>
          <w:lang w:val="en-GB"/>
        </w:rPr>
        <w:t>s</w:t>
      </w:r>
      <w:r w:rsidRPr="0078239C">
        <w:rPr>
          <w:lang w:val="en-GB"/>
        </w:rPr>
        <w:t xml:space="preserve">, disrupting traditional pathways to growth and development. However, these disruptions also present new opportunities for developing economies. Countries that can successfully adapt to the evolving </w:t>
      </w:r>
      <w:r w:rsidR="00544D84" w:rsidRPr="0078239C">
        <w:rPr>
          <w:lang w:val="en-GB"/>
        </w:rPr>
        <w:t xml:space="preserve">technological </w:t>
      </w:r>
      <w:r w:rsidRPr="0078239C">
        <w:rPr>
          <w:lang w:val="en-GB"/>
        </w:rPr>
        <w:t>landscape may benefit from bypassing traditional stages of industrialization</w:t>
      </w:r>
      <w:r w:rsidR="00544D84" w:rsidRPr="0078239C">
        <w:rPr>
          <w:lang w:val="en-GB"/>
        </w:rPr>
        <w:t xml:space="preserve"> and moving to more advanced</w:t>
      </w:r>
      <w:r w:rsidR="00FD3860" w:rsidRPr="0078239C">
        <w:rPr>
          <w:lang w:val="en-GB"/>
        </w:rPr>
        <w:t xml:space="preserve"> development</w:t>
      </w:r>
      <w:r w:rsidR="00544D84" w:rsidRPr="0078239C">
        <w:rPr>
          <w:lang w:val="en-GB"/>
        </w:rPr>
        <w:t xml:space="preserve"> stages</w:t>
      </w:r>
      <w:r w:rsidRPr="0078239C">
        <w:rPr>
          <w:lang w:val="en-GB"/>
        </w:rPr>
        <w:t xml:space="preserve">. This shift opens up new areas of </w:t>
      </w:r>
      <w:r w:rsidRPr="0078239C">
        <w:rPr>
          <w:lang w:val="en-GB"/>
        </w:rPr>
        <w:lastRenderedPageBreak/>
        <w:t>comparative advantage that extend beyond traditional manufacturing, moving into increasingly</w:t>
      </w:r>
      <w:r w:rsidR="00FD3860" w:rsidRPr="0078239C">
        <w:rPr>
          <w:lang w:val="en-GB"/>
        </w:rPr>
        <w:t xml:space="preserve"> globally</w:t>
      </w:r>
      <w:r w:rsidRPr="0078239C">
        <w:rPr>
          <w:lang w:val="en-GB"/>
        </w:rPr>
        <w:t xml:space="preserve"> tradable services and intangible assets.</w:t>
      </w:r>
    </w:p>
    <w:p w14:paraId="7F5B7406" w14:textId="31F55073" w:rsidR="005F0387" w:rsidRPr="005F0387" w:rsidRDefault="005F0387" w:rsidP="005F0387">
      <w:pPr>
        <w:jc w:val="both"/>
      </w:pPr>
      <w:r w:rsidRPr="005F0387">
        <w:t>However, to harness these potential benefits, essential pre-conditions must be in place. A skilled workforce, robust R&amp;D ecosystems, technology infrastructure, and appropriate regulatory frameworks are critical for leveraging these technologies equitably. Effective governance structures are also necessary to coordinate among stakeholders, ensure policy coherence, and promote accountability and transparency in STI initiatives.</w:t>
      </w:r>
    </w:p>
    <w:p w14:paraId="74088E53" w14:textId="315CD3F2" w:rsidR="00D55D3C" w:rsidRPr="0078239C" w:rsidRDefault="005F0387" w:rsidP="002851B7">
      <w:pPr>
        <w:jc w:val="both"/>
        <w:rPr>
          <w:lang w:val="en-GB"/>
        </w:rPr>
      </w:pPr>
      <w:r w:rsidRPr="005F0387">
        <w:t xml:space="preserve">Despite the opportunities, technological innovations pose significant risks if these pre-conditions are absent. </w:t>
      </w:r>
      <w:r w:rsidR="00AC2E7D">
        <w:rPr>
          <w:lang w:val="en-GB"/>
        </w:rPr>
        <w:t>D</w:t>
      </w:r>
      <w:r w:rsidR="0074511C" w:rsidRPr="0078239C">
        <w:rPr>
          <w:lang w:val="en-GB"/>
        </w:rPr>
        <w:t xml:space="preserve">igital </w:t>
      </w:r>
      <w:r w:rsidR="006A4A20" w:rsidRPr="0078239C">
        <w:rPr>
          <w:lang w:val="en-GB"/>
        </w:rPr>
        <w:t>technological progress</w:t>
      </w:r>
      <w:r w:rsidR="00E27B18" w:rsidRPr="0078239C">
        <w:rPr>
          <w:lang w:val="en-GB"/>
        </w:rPr>
        <w:t xml:space="preserve"> </w:t>
      </w:r>
      <w:r w:rsidR="00D55D3C" w:rsidRPr="0078239C">
        <w:rPr>
          <w:lang w:val="en-GB"/>
        </w:rPr>
        <w:t>has led to unprecedented levels of market concentration. A small number of firms</w:t>
      </w:r>
      <w:r w:rsidR="0045314F" w:rsidRPr="0078239C">
        <w:rPr>
          <w:lang w:val="en-GB"/>
        </w:rPr>
        <w:t xml:space="preserve"> operating at the technological frontier and based almost exclusively in two large economies</w:t>
      </w:r>
      <w:r w:rsidR="00D55D3C" w:rsidRPr="0078239C">
        <w:rPr>
          <w:lang w:val="en-GB"/>
        </w:rPr>
        <w:t xml:space="preserve"> have captured a disproportionate share of profits, exacerbating global inequality. The increasing substitution of </w:t>
      </w:r>
      <w:r w:rsidR="00660562" w:rsidRPr="0078239C">
        <w:rPr>
          <w:lang w:val="en-GB"/>
        </w:rPr>
        <w:t>labour</w:t>
      </w:r>
      <w:r w:rsidR="00D55D3C" w:rsidRPr="0078239C">
        <w:rPr>
          <w:lang w:val="en-GB"/>
        </w:rPr>
        <w:t xml:space="preserve"> with technology, particularly AI, has weakened workers</w:t>
      </w:r>
      <w:r w:rsidR="00E063F0" w:rsidRPr="0078239C">
        <w:rPr>
          <w:lang w:val="en-GB"/>
        </w:rPr>
        <w:t>’</w:t>
      </w:r>
      <w:r w:rsidR="00D55D3C" w:rsidRPr="0078239C">
        <w:rPr>
          <w:lang w:val="en-GB"/>
        </w:rPr>
        <w:t xml:space="preserve"> economic and political power. This shift, combined with hyper-globalization and austerity policies, </w:t>
      </w:r>
      <w:r w:rsidR="00BF6157" w:rsidRPr="0078239C">
        <w:rPr>
          <w:lang w:val="en-GB"/>
        </w:rPr>
        <w:t>contributes</w:t>
      </w:r>
      <w:r w:rsidR="00D55D3C" w:rsidRPr="0078239C">
        <w:rPr>
          <w:lang w:val="en-GB"/>
        </w:rPr>
        <w:t xml:space="preserve"> to the erosion of the middle class in developed countries and premature deindustrialization in developing nations.</w:t>
      </w:r>
    </w:p>
    <w:p w14:paraId="2AB88CC6" w14:textId="170DFBB5" w:rsidR="00CD46D1" w:rsidRDefault="00D55D3C" w:rsidP="002851B7">
      <w:pPr>
        <w:jc w:val="both"/>
        <w:rPr>
          <w:lang w:val="en-GB"/>
        </w:rPr>
      </w:pPr>
      <w:r w:rsidRPr="0078239C">
        <w:rPr>
          <w:lang w:val="en-GB"/>
        </w:rPr>
        <w:t xml:space="preserve">As businesses increasingly </w:t>
      </w:r>
      <w:r w:rsidR="00660562" w:rsidRPr="0078239C">
        <w:rPr>
          <w:lang w:val="en-GB"/>
        </w:rPr>
        <w:t>favour</w:t>
      </w:r>
      <w:r w:rsidRPr="0078239C">
        <w:rPr>
          <w:lang w:val="en-GB"/>
        </w:rPr>
        <w:t xml:space="preserve"> capital-intensive, winner-take-all models that prioritize </w:t>
      </w:r>
      <w:r w:rsidR="00BF6157" w:rsidRPr="0078239C">
        <w:rPr>
          <w:lang w:val="en-GB"/>
        </w:rPr>
        <w:t>labour substitution</w:t>
      </w:r>
      <w:r w:rsidRPr="0078239C">
        <w:rPr>
          <w:lang w:val="en-GB"/>
        </w:rPr>
        <w:t>, income distribution has become increasingly skewed. A larger share of income is now flowing to capital rather than labo</w:t>
      </w:r>
      <w:r w:rsidR="00BC2584" w:rsidRPr="0078239C">
        <w:rPr>
          <w:lang w:val="en-GB"/>
        </w:rPr>
        <w:t>u</w:t>
      </w:r>
      <w:r w:rsidRPr="0078239C">
        <w:rPr>
          <w:lang w:val="en-GB"/>
        </w:rPr>
        <w:t xml:space="preserve">r, deepening economic inequality. </w:t>
      </w:r>
      <w:r w:rsidR="00C65BEB" w:rsidRPr="0078239C">
        <w:rPr>
          <w:lang w:val="en-GB"/>
        </w:rPr>
        <w:t xml:space="preserve">The uneven distribution of technology limits the ability of less developed nations to respond effectively to crises such as climate change, pandemics, and geopolitical conflicts. </w:t>
      </w:r>
      <w:r w:rsidR="00450E07" w:rsidRPr="0078239C">
        <w:rPr>
          <w:lang w:val="en-GB"/>
        </w:rPr>
        <w:t xml:space="preserve">Global divides in access to </w:t>
      </w:r>
      <w:r w:rsidR="007A4FAA" w:rsidRPr="0078239C">
        <w:rPr>
          <w:lang w:val="en-GB"/>
        </w:rPr>
        <w:t xml:space="preserve">technology </w:t>
      </w:r>
      <w:r w:rsidR="00450E07" w:rsidRPr="0078239C">
        <w:rPr>
          <w:lang w:val="en-GB"/>
        </w:rPr>
        <w:t xml:space="preserve">also have </w:t>
      </w:r>
      <w:r w:rsidR="007A4FAA" w:rsidRPr="0078239C">
        <w:rPr>
          <w:lang w:val="en-GB"/>
        </w:rPr>
        <w:t>profound</w:t>
      </w:r>
      <w:r w:rsidR="00450E07" w:rsidRPr="0078239C">
        <w:rPr>
          <w:lang w:val="en-GB"/>
        </w:rPr>
        <w:t xml:space="preserve"> implications for </w:t>
      </w:r>
      <w:r w:rsidRPr="0078239C">
        <w:rPr>
          <w:lang w:val="en-GB"/>
        </w:rPr>
        <w:t>global inequalities</w:t>
      </w:r>
      <w:r w:rsidR="000E34C5" w:rsidRPr="0078239C">
        <w:rPr>
          <w:lang w:val="en-GB"/>
        </w:rPr>
        <w:t xml:space="preserve">, </w:t>
      </w:r>
      <w:r w:rsidRPr="0078239C">
        <w:rPr>
          <w:lang w:val="en-GB"/>
        </w:rPr>
        <w:t>co</w:t>
      </w:r>
      <w:r w:rsidR="00450E07" w:rsidRPr="0078239C">
        <w:rPr>
          <w:lang w:val="en-GB"/>
        </w:rPr>
        <w:t xml:space="preserve">ntributing </w:t>
      </w:r>
      <w:r w:rsidRPr="0078239C">
        <w:rPr>
          <w:lang w:val="en-GB"/>
        </w:rPr>
        <w:t xml:space="preserve">to increased societal polarization, growing political discontent, and a weakening of trust in </w:t>
      </w:r>
      <w:r w:rsidR="00601367" w:rsidRPr="0078239C">
        <w:rPr>
          <w:lang w:val="en-GB"/>
        </w:rPr>
        <w:t xml:space="preserve">existing </w:t>
      </w:r>
      <w:r w:rsidRPr="0078239C">
        <w:rPr>
          <w:lang w:val="en-GB"/>
        </w:rPr>
        <w:t xml:space="preserve">government institutions. </w:t>
      </w:r>
    </w:p>
    <w:p w14:paraId="185CFAF2" w14:textId="0D172B50" w:rsidR="00D55D3C" w:rsidRPr="0078239C" w:rsidRDefault="00D55D3C" w:rsidP="002851B7">
      <w:pPr>
        <w:jc w:val="both"/>
        <w:rPr>
          <w:lang w:val="en-GB"/>
        </w:rPr>
      </w:pPr>
      <w:r w:rsidRPr="0078239C">
        <w:rPr>
          <w:lang w:val="en-GB"/>
        </w:rPr>
        <w:t>Addressing these inequalities is not just a matter of fair</w:t>
      </w:r>
      <w:r w:rsidR="006A18D9" w:rsidRPr="0078239C">
        <w:rPr>
          <w:lang w:val="en-GB"/>
        </w:rPr>
        <w:t>ness</w:t>
      </w:r>
      <w:r w:rsidR="00601367" w:rsidRPr="0078239C">
        <w:rPr>
          <w:lang w:val="en-GB"/>
        </w:rPr>
        <w:t>.</w:t>
      </w:r>
      <w:r w:rsidRPr="0078239C">
        <w:rPr>
          <w:lang w:val="en-GB"/>
        </w:rPr>
        <w:t xml:space="preserve"> </w:t>
      </w:r>
      <w:r w:rsidR="00601367" w:rsidRPr="0078239C">
        <w:rPr>
          <w:lang w:val="en-GB"/>
        </w:rPr>
        <w:t>I</w:t>
      </w:r>
      <w:r w:rsidRPr="0078239C">
        <w:rPr>
          <w:lang w:val="en-GB"/>
        </w:rPr>
        <w:t xml:space="preserve">t is a critical developmental issue. If left unaddressed, these challenges could undermine global stability and hinder </w:t>
      </w:r>
      <w:r w:rsidR="00471BBA" w:rsidRPr="0078239C">
        <w:rPr>
          <w:lang w:val="en-GB"/>
        </w:rPr>
        <w:t xml:space="preserve">further </w:t>
      </w:r>
      <w:r w:rsidRPr="0078239C">
        <w:rPr>
          <w:lang w:val="en-GB"/>
        </w:rPr>
        <w:t>progress toward the SDGs.</w:t>
      </w:r>
      <w:r w:rsidR="00154139">
        <w:rPr>
          <w:lang w:val="en-GB"/>
        </w:rPr>
        <w:t xml:space="preserve"> Therefore</w:t>
      </w:r>
      <w:r w:rsidRPr="0078239C">
        <w:rPr>
          <w:lang w:val="en-GB"/>
        </w:rPr>
        <w:t>, there is an urgent need for a more coordinated and inclusive approach to technological advancement</w:t>
      </w:r>
      <w:r w:rsidR="006A18D9" w:rsidRPr="0078239C">
        <w:rPr>
          <w:lang w:val="en-GB"/>
        </w:rPr>
        <w:t xml:space="preserve"> and </w:t>
      </w:r>
      <w:r w:rsidR="000619E7" w:rsidRPr="0078239C">
        <w:rPr>
          <w:lang w:val="en-GB"/>
        </w:rPr>
        <w:t>diffusion</w:t>
      </w:r>
      <w:r w:rsidRPr="0078239C">
        <w:rPr>
          <w:lang w:val="en-GB"/>
        </w:rPr>
        <w:t>. Policymakers must prioritize strategies that ensure the benefits of technology are widely shared across societies. By leveraging technology for broader societal benefits</w:t>
      </w:r>
      <w:r w:rsidR="0034562F" w:rsidRPr="0078239C">
        <w:rPr>
          <w:lang w:val="en-GB"/>
        </w:rPr>
        <w:t>,</w:t>
      </w:r>
      <w:r w:rsidRPr="0078239C">
        <w:rPr>
          <w:lang w:val="en-GB"/>
        </w:rPr>
        <w:t xml:space="preserve"> we can address the root causes of inequality</w:t>
      </w:r>
      <w:r w:rsidR="007C43D4" w:rsidRPr="0078239C">
        <w:rPr>
          <w:lang w:val="en-GB"/>
        </w:rPr>
        <w:t xml:space="preserve"> head-on</w:t>
      </w:r>
      <w:r w:rsidRPr="0078239C">
        <w:rPr>
          <w:lang w:val="en-GB"/>
        </w:rPr>
        <w:t xml:space="preserve"> and build a more just and sustainable future</w:t>
      </w:r>
      <w:r w:rsidR="00052982" w:rsidRPr="0078239C">
        <w:rPr>
          <w:lang w:val="en-GB"/>
        </w:rPr>
        <w:t xml:space="preserve"> for all.</w:t>
      </w:r>
    </w:p>
    <w:p w14:paraId="67C533ED" w14:textId="13651509" w:rsidR="00174569" w:rsidRPr="0078239C" w:rsidRDefault="00174569" w:rsidP="00174569">
      <w:pPr>
        <w:pStyle w:val="Heading2"/>
        <w:rPr>
          <w:lang w:val="en-GB"/>
        </w:rPr>
      </w:pPr>
      <w:r w:rsidRPr="0078239C">
        <w:rPr>
          <w:lang w:val="en-GB"/>
        </w:rPr>
        <w:t>Policy solutions</w:t>
      </w:r>
      <w:r w:rsidR="002F4A33" w:rsidRPr="0078239C">
        <w:rPr>
          <w:lang w:val="en-GB"/>
        </w:rPr>
        <w:t xml:space="preserve"> (500 words)</w:t>
      </w:r>
    </w:p>
    <w:p w14:paraId="4BDC800D" w14:textId="4503E73C" w:rsidR="00707074" w:rsidRPr="0078239C" w:rsidRDefault="00707074" w:rsidP="00A247DD">
      <w:pPr>
        <w:jc w:val="both"/>
        <w:rPr>
          <w:lang w:val="en-GB"/>
        </w:rPr>
      </w:pPr>
      <w:r w:rsidRPr="0078239C">
        <w:rPr>
          <w:lang w:val="en-GB"/>
        </w:rPr>
        <w:t xml:space="preserve">While development is primarily the responsibility of national governments, an enabling international environment is crucial for supporting these efforts. Developing countries often lack the resources, infrastructure, and technical expertise to fully leverage advanced technologies. </w:t>
      </w:r>
    </w:p>
    <w:p w14:paraId="740D6C23" w14:textId="43C675C0" w:rsidR="00DD4639" w:rsidRDefault="00DD4639" w:rsidP="00A247DD">
      <w:pPr>
        <w:jc w:val="both"/>
        <w:rPr>
          <w:lang w:val="en-GB"/>
        </w:rPr>
      </w:pPr>
      <w:r w:rsidRPr="0078239C">
        <w:rPr>
          <w:lang w:val="en-GB"/>
        </w:rPr>
        <w:t>Addressing complex global crises, such as climate change, pandemics, and economic instability, requires coordinated international efforts and sustained investments in Science, Technology, and Innovation (STI)</w:t>
      </w:r>
      <w:r w:rsidR="008E749F" w:rsidRPr="0078239C">
        <w:rPr>
          <w:lang w:val="en-GB"/>
        </w:rPr>
        <w:t>, including</w:t>
      </w:r>
      <w:r w:rsidR="00C7104A" w:rsidRPr="0078239C">
        <w:rPr>
          <w:lang w:val="en-GB"/>
        </w:rPr>
        <w:t xml:space="preserve"> </w:t>
      </w:r>
      <w:r w:rsidR="00F323A3" w:rsidRPr="0078239C">
        <w:rPr>
          <w:lang w:val="en-GB"/>
        </w:rPr>
        <w:t xml:space="preserve">the </w:t>
      </w:r>
      <w:r w:rsidR="00C7104A" w:rsidRPr="0078239C">
        <w:rPr>
          <w:lang w:val="en-GB"/>
        </w:rPr>
        <w:t>mobili</w:t>
      </w:r>
      <w:r w:rsidR="00F323A3" w:rsidRPr="0078239C">
        <w:rPr>
          <w:lang w:val="en-GB"/>
        </w:rPr>
        <w:t>zation of</w:t>
      </w:r>
      <w:r w:rsidR="008E749F" w:rsidRPr="0078239C">
        <w:rPr>
          <w:lang w:val="en-GB"/>
        </w:rPr>
        <w:t xml:space="preserve"> Offici</w:t>
      </w:r>
      <w:r w:rsidR="00AB7FF9" w:rsidRPr="0078239C">
        <w:rPr>
          <w:lang w:val="en-GB"/>
        </w:rPr>
        <w:t>al Development Assistance (ODA)</w:t>
      </w:r>
      <w:r w:rsidR="00EF6DBB" w:rsidRPr="0078239C">
        <w:rPr>
          <w:lang w:val="en-GB"/>
        </w:rPr>
        <w:t xml:space="preserve"> (</w:t>
      </w:r>
      <w:r w:rsidR="00EF6DBB" w:rsidRPr="0078239C">
        <w:rPr>
          <w:b/>
          <w:bCs/>
          <w:lang w:val="en-GB"/>
        </w:rPr>
        <w:t>Figure 1</w:t>
      </w:r>
      <w:r w:rsidR="00EF6DBB" w:rsidRPr="0078239C">
        <w:rPr>
          <w:lang w:val="en-GB"/>
        </w:rPr>
        <w:t>)</w:t>
      </w:r>
      <w:r w:rsidRPr="0078239C">
        <w:rPr>
          <w:lang w:val="en-GB"/>
        </w:rPr>
        <w:t xml:space="preserve">. This is especially critical for developing countries, which are often the most vulnerable to these crises yet have the least capacity to respond effectively. </w:t>
      </w:r>
      <w:r w:rsidR="00EC3670" w:rsidRPr="00EC3670">
        <w:t>Developing economies need stronger commitments to finance R&amp;D, as they spend significantly less than the world average. Their R&amp;D spending ranges from 0.20% to 0.86% of GDP—a small fraction compared to developed regions.</w:t>
      </w:r>
      <w:r w:rsidR="00F844EA">
        <w:rPr>
          <w:rStyle w:val="FootnoteReference"/>
        </w:rPr>
        <w:footnoteReference w:id="2"/>
      </w:r>
    </w:p>
    <w:p w14:paraId="27162A14" w14:textId="74388A49" w:rsidR="00DD5352" w:rsidRPr="00DD7AD9" w:rsidRDefault="00EF6DBB" w:rsidP="00F33823">
      <w:pPr>
        <w:jc w:val="center"/>
        <w:rPr>
          <w:b/>
          <w:bCs/>
          <w:lang w:val="en-GB"/>
        </w:rPr>
      </w:pPr>
      <w:r w:rsidRPr="00DD7AD9">
        <w:rPr>
          <w:b/>
          <w:bCs/>
          <w:lang w:val="en-GB"/>
        </w:rPr>
        <w:lastRenderedPageBreak/>
        <w:t xml:space="preserve">Figure 1. </w:t>
      </w:r>
      <w:r w:rsidR="00DD5352" w:rsidRPr="00DD7AD9">
        <w:rPr>
          <w:b/>
          <w:bCs/>
          <w:lang w:val="en-GB"/>
        </w:rPr>
        <w:t xml:space="preserve">Share of </w:t>
      </w:r>
      <w:r w:rsidRPr="00DD7AD9">
        <w:rPr>
          <w:b/>
          <w:bCs/>
          <w:lang w:val="en-GB"/>
        </w:rPr>
        <w:t>official</w:t>
      </w:r>
      <w:r w:rsidR="00DD5352" w:rsidRPr="00DD7AD9">
        <w:rPr>
          <w:b/>
          <w:bCs/>
          <w:lang w:val="en-GB"/>
        </w:rPr>
        <w:t xml:space="preserve"> development assistance related to science, technology, and innovation, 2002–2022</w:t>
      </w:r>
      <w:r w:rsidRPr="00DD7AD9">
        <w:rPr>
          <w:rStyle w:val="FootnoteReference"/>
          <w:b/>
          <w:bCs/>
          <w:lang w:val="en-GB"/>
        </w:rPr>
        <w:footnoteReference w:id="3"/>
      </w:r>
    </w:p>
    <w:p w14:paraId="7476070A" w14:textId="60E5DEFD" w:rsidR="00DD5352" w:rsidRDefault="00EF6DBB" w:rsidP="00EF6DBB">
      <w:pPr>
        <w:jc w:val="center"/>
        <w:rPr>
          <w:lang w:val="en-GB"/>
        </w:rPr>
      </w:pPr>
      <w:r w:rsidRPr="0078239C">
        <w:rPr>
          <w:noProof/>
          <w:lang w:val="en-GB"/>
        </w:rPr>
        <w:drawing>
          <wp:inline distT="0" distB="0" distL="0" distR="0" wp14:anchorId="6DA88C24" wp14:editId="52945F64">
            <wp:extent cx="5862948" cy="2727960"/>
            <wp:effectExtent l="0" t="0" r="5080" b="0"/>
            <wp:docPr id="1701717154"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17154" name="Picture 1" descr="A graph of different colored lines&#10;&#10;Description automatically generated"/>
                    <pic:cNvPicPr/>
                  </pic:nvPicPr>
                  <pic:blipFill rotWithShape="1">
                    <a:blip r:embed="rId11"/>
                    <a:srcRect t="11709" b="14520"/>
                    <a:stretch/>
                  </pic:blipFill>
                  <pic:spPr bwMode="auto">
                    <a:xfrm>
                      <a:off x="0" y="0"/>
                      <a:ext cx="5870396" cy="2731425"/>
                    </a:xfrm>
                    <a:prstGeom prst="rect">
                      <a:avLst/>
                    </a:prstGeom>
                    <a:ln>
                      <a:noFill/>
                    </a:ln>
                    <a:extLst>
                      <a:ext uri="{53640926-AAD7-44D8-BBD7-CCE9431645EC}">
                        <a14:shadowObscured xmlns:a14="http://schemas.microsoft.com/office/drawing/2010/main"/>
                      </a:ext>
                    </a:extLst>
                  </pic:spPr>
                </pic:pic>
              </a:graphicData>
            </a:graphic>
          </wp:inline>
        </w:drawing>
      </w:r>
    </w:p>
    <w:p w14:paraId="5E354A47" w14:textId="61DF0734" w:rsidR="000B1C85" w:rsidRPr="0078239C" w:rsidRDefault="00DD1920" w:rsidP="00A247DD">
      <w:pPr>
        <w:jc w:val="both"/>
        <w:rPr>
          <w:lang w:val="en-GB"/>
        </w:rPr>
      </w:pPr>
      <w:r w:rsidRPr="0078239C">
        <w:rPr>
          <w:lang w:val="en-GB"/>
        </w:rPr>
        <w:t xml:space="preserve">Concentrated innovation and weak technology diffusion highlight the </w:t>
      </w:r>
      <w:r w:rsidR="00BE061A">
        <w:rPr>
          <w:lang w:val="en-GB"/>
        </w:rPr>
        <w:t xml:space="preserve">call for policies </w:t>
      </w:r>
      <w:r w:rsidR="00E560F2">
        <w:rPr>
          <w:lang w:val="en-GB"/>
        </w:rPr>
        <w:t xml:space="preserve">to </w:t>
      </w:r>
      <w:r w:rsidRPr="0078239C">
        <w:rPr>
          <w:lang w:val="en-GB"/>
        </w:rPr>
        <w:t xml:space="preserve">improve access to new technologies. This involves investing in education, training, infrastructure, and institutions that enhance both innovation and the ability to absorb new technologies. Competition policies </w:t>
      </w:r>
      <w:r w:rsidR="00A61A7D" w:rsidRPr="0078239C">
        <w:rPr>
          <w:lang w:val="en-GB"/>
        </w:rPr>
        <w:t xml:space="preserve">should be </w:t>
      </w:r>
      <w:r w:rsidR="00920D74" w:rsidRPr="0078239C">
        <w:rPr>
          <w:lang w:val="en-GB"/>
        </w:rPr>
        <w:t>invigorated</w:t>
      </w:r>
      <w:r w:rsidR="00A61A7D" w:rsidRPr="0078239C">
        <w:rPr>
          <w:lang w:val="en-GB"/>
        </w:rPr>
        <w:t xml:space="preserve"> and </w:t>
      </w:r>
      <w:r w:rsidR="0045314F" w:rsidRPr="0078239C">
        <w:rPr>
          <w:lang w:val="en-GB"/>
        </w:rPr>
        <w:t>address the intrinsic monopolistic nature of digital platforms</w:t>
      </w:r>
      <w:r w:rsidR="006F0479">
        <w:rPr>
          <w:lang w:val="en-GB"/>
        </w:rPr>
        <w:t>.</w:t>
      </w:r>
      <w:r w:rsidR="0045314F" w:rsidRPr="0078239C">
        <w:rPr>
          <w:lang w:val="en-GB"/>
        </w:rPr>
        <w:t xml:space="preserve"> </w:t>
      </w:r>
      <w:r w:rsidR="000B1C85" w:rsidRPr="0078239C">
        <w:rPr>
          <w:lang w:val="en-GB"/>
        </w:rPr>
        <w:t xml:space="preserve">They need to look beyond traditional metrics like revenue and operational growth and scrutinize the acquisition of data and users, which have become </w:t>
      </w:r>
      <w:r w:rsidR="003B72A4" w:rsidRPr="0078239C">
        <w:rPr>
          <w:lang w:val="en-GB"/>
        </w:rPr>
        <w:t xml:space="preserve">key </w:t>
      </w:r>
      <w:r w:rsidR="000B1C85" w:rsidRPr="0078239C">
        <w:rPr>
          <w:lang w:val="en-GB"/>
        </w:rPr>
        <w:t>resources in the AI era.</w:t>
      </w:r>
    </w:p>
    <w:p w14:paraId="752B415A" w14:textId="4C2C8FBC" w:rsidR="00791DAF" w:rsidRPr="0078239C" w:rsidRDefault="0074511C" w:rsidP="00A247DD">
      <w:pPr>
        <w:jc w:val="both"/>
        <w:rPr>
          <w:lang w:val="en-GB"/>
        </w:rPr>
      </w:pPr>
      <w:r w:rsidRPr="0078239C">
        <w:rPr>
          <w:lang w:val="en-GB"/>
        </w:rPr>
        <w:t>G</w:t>
      </w:r>
      <w:r w:rsidR="00E7458D" w:rsidRPr="0078239C">
        <w:rPr>
          <w:lang w:val="en-GB"/>
        </w:rPr>
        <w:t>lobal solutions should be in place to ensure equitable access to knowledge. The COVID-19 pandemic underscored the importance of making scientific knowledge widely accessible. The rapid sharing of research findings and data was crucial for understanding the virus</w:t>
      </w:r>
      <w:r w:rsidR="00E6387B">
        <w:rPr>
          <w:lang w:val="en-GB"/>
        </w:rPr>
        <w:t xml:space="preserve"> </w:t>
      </w:r>
      <w:r w:rsidR="00E7458D" w:rsidRPr="0078239C">
        <w:rPr>
          <w:lang w:val="en-GB"/>
        </w:rPr>
        <w:t xml:space="preserve">and creating vaccines. However, the pandemic also revealed significant gaps in access to </w:t>
      </w:r>
      <w:r w:rsidR="00854B3B" w:rsidRPr="0078239C">
        <w:rPr>
          <w:lang w:val="en-GB"/>
        </w:rPr>
        <w:t>scientific</w:t>
      </w:r>
      <w:r w:rsidR="00E7458D" w:rsidRPr="0078239C">
        <w:rPr>
          <w:lang w:val="en-GB"/>
        </w:rPr>
        <w:t xml:space="preserve"> knowledge. Much of the research remained locked behind paywalls, limiting the ability of nations to respond effectively to the pandemic. </w:t>
      </w:r>
      <w:r w:rsidR="008558BE">
        <w:rPr>
          <w:lang w:val="en-GB"/>
        </w:rPr>
        <w:t>Given</w:t>
      </w:r>
      <w:r w:rsidR="00E7458D" w:rsidRPr="0078239C">
        <w:rPr>
          <w:lang w:val="en-GB"/>
        </w:rPr>
        <w:t xml:space="preserve"> the urgency of climate change, free access to scientific knowledge can be a matter of survival. The international community needs to develop a global solution to ensure that publicly funded research is freely accessible to all</w:t>
      </w:r>
      <w:r w:rsidR="0024150C" w:rsidRPr="0078239C">
        <w:rPr>
          <w:lang w:val="en-GB"/>
        </w:rPr>
        <w:t xml:space="preserve"> and</w:t>
      </w:r>
      <w:r w:rsidR="00C32C33" w:rsidRPr="0078239C">
        <w:rPr>
          <w:lang w:val="en-GB"/>
        </w:rPr>
        <w:t xml:space="preserve"> fully</w:t>
      </w:r>
      <w:r w:rsidR="0024150C" w:rsidRPr="0078239C">
        <w:rPr>
          <w:lang w:val="en-GB"/>
        </w:rPr>
        <w:t xml:space="preserve"> commit </w:t>
      </w:r>
      <w:r w:rsidR="007F2E93" w:rsidRPr="0078239C">
        <w:rPr>
          <w:lang w:val="en-GB"/>
        </w:rPr>
        <w:t>to open science</w:t>
      </w:r>
      <w:r w:rsidR="00E7458D" w:rsidRPr="0078239C">
        <w:rPr>
          <w:lang w:val="en-GB"/>
        </w:rPr>
        <w:t>.</w:t>
      </w:r>
    </w:p>
    <w:p w14:paraId="66114176" w14:textId="6F3453B1" w:rsidR="00174569" w:rsidRPr="0078239C" w:rsidRDefault="00773C38" w:rsidP="00B112D3">
      <w:pPr>
        <w:spacing w:line="240" w:lineRule="auto"/>
        <w:jc w:val="both"/>
        <w:rPr>
          <w:lang w:val="en-GB"/>
        </w:rPr>
      </w:pPr>
      <w:r w:rsidRPr="0078239C">
        <w:rPr>
          <w:lang w:val="en-GB"/>
        </w:rPr>
        <w:t xml:space="preserve">It is crucial to protect a rules-based multilateral system for trade and investment from the rising pressures of protectionism and </w:t>
      </w:r>
      <w:r w:rsidR="006A18D9" w:rsidRPr="0078239C">
        <w:rPr>
          <w:lang w:val="en-GB"/>
        </w:rPr>
        <w:t>zero-sum game policies</w:t>
      </w:r>
      <w:r w:rsidRPr="0078239C">
        <w:rPr>
          <w:lang w:val="en-GB"/>
        </w:rPr>
        <w:t xml:space="preserve">. Policymakers may be tempted to promote national AI champions to drive domestic development. However, </w:t>
      </w:r>
      <w:r w:rsidR="009B55E1">
        <w:rPr>
          <w:lang w:val="en-GB"/>
        </w:rPr>
        <w:t>there should be</w:t>
      </w:r>
      <w:r w:rsidRPr="0078239C">
        <w:rPr>
          <w:lang w:val="en-GB"/>
        </w:rPr>
        <w:t xml:space="preserve"> a careful balance, as protecting monopolies, including those in AI, can threaten </w:t>
      </w:r>
      <w:r w:rsidR="008D5DF6" w:rsidRPr="0078239C">
        <w:rPr>
          <w:lang w:val="en-GB"/>
        </w:rPr>
        <w:t>global prosperity</w:t>
      </w:r>
      <w:r w:rsidRPr="0078239C">
        <w:rPr>
          <w:lang w:val="en-GB"/>
        </w:rPr>
        <w:t xml:space="preserve"> by concentrating risks in supply chains, weakening industry resilience, reducing </w:t>
      </w:r>
      <w:r w:rsidR="00084281" w:rsidRPr="0078239C">
        <w:rPr>
          <w:lang w:val="en-GB"/>
        </w:rPr>
        <w:t>innovation</w:t>
      </w:r>
      <w:r w:rsidRPr="0078239C">
        <w:rPr>
          <w:lang w:val="en-GB"/>
        </w:rPr>
        <w:t xml:space="preserve">, and raising prices. Local champions </w:t>
      </w:r>
      <w:r w:rsidR="00084281" w:rsidRPr="0078239C">
        <w:rPr>
          <w:lang w:val="en-GB"/>
        </w:rPr>
        <w:t>could</w:t>
      </w:r>
      <w:r w:rsidRPr="0078239C">
        <w:rPr>
          <w:lang w:val="en-GB"/>
        </w:rPr>
        <w:t xml:space="preserve"> be more competitive internationally when they are driven to be efficient</w:t>
      </w:r>
      <w:r w:rsidR="00084281" w:rsidRPr="0078239C">
        <w:rPr>
          <w:lang w:val="en-GB"/>
        </w:rPr>
        <w:t xml:space="preserve"> and</w:t>
      </w:r>
      <w:r w:rsidRPr="0078239C">
        <w:rPr>
          <w:lang w:val="en-GB"/>
        </w:rPr>
        <w:t xml:space="preserve"> innovative</w:t>
      </w:r>
      <w:r w:rsidR="00084281" w:rsidRPr="0078239C">
        <w:rPr>
          <w:lang w:val="en-GB"/>
        </w:rPr>
        <w:t xml:space="preserve"> </w:t>
      </w:r>
      <w:r w:rsidRPr="0078239C">
        <w:rPr>
          <w:lang w:val="en-GB"/>
        </w:rPr>
        <w:t>by domestic competition</w:t>
      </w:r>
      <w:r w:rsidR="00084281" w:rsidRPr="0078239C">
        <w:rPr>
          <w:lang w:val="en-GB"/>
        </w:rPr>
        <w:t xml:space="preserve"> policies</w:t>
      </w:r>
      <w:r w:rsidRPr="0078239C">
        <w:rPr>
          <w:lang w:val="en-GB"/>
        </w:rPr>
        <w:t>. It is essential to avoid a zero-sum approach, viewing digital technologies not as tool</w:t>
      </w:r>
      <w:r w:rsidR="005C5910">
        <w:rPr>
          <w:lang w:val="en-GB"/>
        </w:rPr>
        <w:t>s</w:t>
      </w:r>
      <w:r w:rsidRPr="0078239C">
        <w:rPr>
          <w:lang w:val="en-GB"/>
        </w:rPr>
        <w:t xml:space="preserve"> for dominance but as opportunit</w:t>
      </w:r>
      <w:r w:rsidR="005C5910">
        <w:rPr>
          <w:lang w:val="en-GB"/>
        </w:rPr>
        <w:t>ies</w:t>
      </w:r>
      <w:r w:rsidRPr="0078239C">
        <w:rPr>
          <w:lang w:val="en-GB"/>
        </w:rPr>
        <w:t xml:space="preserve"> for</w:t>
      </w:r>
      <w:r w:rsidR="00101364" w:rsidRPr="0078239C">
        <w:rPr>
          <w:lang w:val="en-GB"/>
        </w:rPr>
        <w:t xml:space="preserve"> </w:t>
      </w:r>
      <w:r w:rsidR="006A18D9" w:rsidRPr="0078239C">
        <w:rPr>
          <w:lang w:val="en-GB"/>
        </w:rPr>
        <w:t>shared</w:t>
      </w:r>
      <w:r w:rsidR="007A3B4C" w:rsidRPr="0078239C">
        <w:rPr>
          <w:lang w:val="en-GB"/>
        </w:rPr>
        <w:t xml:space="preserve"> growth and development</w:t>
      </w:r>
      <w:r w:rsidRPr="0078239C">
        <w:rPr>
          <w:lang w:val="en-GB"/>
        </w:rPr>
        <w:t>.</w:t>
      </w:r>
    </w:p>
    <w:p w14:paraId="3A9CA2B1" w14:textId="162E87A4" w:rsidR="00174569" w:rsidRPr="0078239C" w:rsidRDefault="081A7F1C" w:rsidP="00174569">
      <w:pPr>
        <w:pStyle w:val="Heading2"/>
        <w:rPr>
          <w:lang w:val="en-GB"/>
        </w:rPr>
      </w:pPr>
      <w:r w:rsidRPr="0078239C">
        <w:rPr>
          <w:lang w:val="en-GB"/>
        </w:rPr>
        <w:lastRenderedPageBreak/>
        <w:t xml:space="preserve">Specific </w:t>
      </w:r>
      <w:r w:rsidR="7BC9008D" w:rsidRPr="0078239C">
        <w:rPr>
          <w:lang w:val="en-GB"/>
        </w:rPr>
        <w:t>r</w:t>
      </w:r>
      <w:r w:rsidR="00174569" w:rsidRPr="0078239C">
        <w:rPr>
          <w:lang w:val="en-GB"/>
        </w:rPr>
        <w:t>ecommendations for FFD4</w:t>
      </w:r>
      <w:r w:rsidR="002F4A33" w:rsidRPr="0078239C">
        <w:rPr>
          <w:lang w:val="en-GB"/>
        </w:rPr>
        <w:t xml:space="preserve"> (</w:t>
      </w:r>
      <w:r w:rsidR="62705FD3" w:rsidRPr="0078239C">
        <w:rPr>
          <w:lang w:val="en-GB"/>
        </w:rPr>
        <w:t>3</w:t>
      </w:r>
      <w:r w:rsidR="002F4A33" w:rsidRPr="0078239C">
        <w:rPr>
          <w:lang w:val="en-GB"/>
        </w:rPr>
        <w:t>00 words)</w:t>
      </w:r>
    </w:p>
    <w:p w14:paraId="45302185" w14:textId="0F230554" w:rsidR="007D4FAD" w:rsidRPr="007D4FAD" w:rsidRDefault="007D4FAD" w:rsidP="007D4FAD">
      <w:pPr>
        <w:jc w:val="both"/>
      </w:pPr>
      <w:r>
        <w:t>T</w:t>
      </w:r>
      <w:r w:rsidRPr="007D4FAD">
        <w:t>o harness the potential of STI, pre-conditions like human capital development, R&amp;D capabilities, technology infrastructure, and regulatory frameworks are necessary. Facilitating climate-resilient technology transfer through international partnerships and mechanisms like the Technology Facilitation Mechanism, and mobilizing technology finance globally and nationally, is crucial. While increasing ODA for STI is important, pursuing other R&amp;D financing mechanisms—leveraging domestic resources, private sector participation, and innovative financing solutions—is essential. South-South cooperation offers opportunities for shared learning and technology transfer, enhancing regional capacities.</w:t>
      </w:r>
    </w:p>
    <w:p w14:paraId="6282BE09" w14:textId="6A2C72D2" w:rsidR="007D4FAD" w:rsidRPr="007D4FAD" w:rsidRDefault="007D4FAD" w:rsidP="007D4FAD">
      <w:pPr>
        <w:jc w:val="both"/>
      </w:pPr>
      <w:r w:rsidRPr="007D4FAD">
        <w:t xml:space="preserve">Mandating global open access to publicly funded research </w:t>
      </w:r>
      <w:r w:rsidR="0058072B">
        <w:t>is necessary to</w:t>
      </w:r>
      <w:r w:rsidRPr="007D4FAD">
        <w:t xml:space="preserve"> boost STI for development. Making scientific knowledge universally available bridges existing knowledge gaps and empowers nations to respond more effectively to global crises.</w:t>
      </w:r>
    </w:p>
    <w:p w14:paraId="2A75FD1F" w14:textId="3B35AD2E" w:rsidR="00101364" w:rsidRPr="0078239C" w:rsidRDefault="00101364" w:rsidP="00101364">
      <w:pPr>
        <w:jc w:val="both"/>
        <w:rPr>
          <w:lang w:val="en-GB"/>
        </w:rPr>
      </w:pPr>
      <w:r w:rsidRPr="00487017">
        <w:rPr>
          <w:lang w:val="en-GB"/>
        </w:rPr>
        <w:t>To combat climate change, the IPRs should align with the UNFCCC’s principle of “common but differentiated responsibility and respective capabilities.” This would allow less technologically advanced countries to imitate production methods from more developed economies. The IPR system should also become more flexible to support climate action.</w:t>
      </w:r>
    </w:p>
    <w:p w14:paraId="2DCD597C" w14:textId="1C4075C5" w:rsidR="00971C2C" w:rsidRPr="0078239C" w:rsidRDefault="0039127D" w:rsidP="00A035FD">
      <w:pPr>
        <w:jc w:val="both"/>
        <w:rPr>
          <w:lang w:val="en-GB"/>
        </w:rPr>
      </w:pPr>
      <w:r w:rsidRPr="0078239C">
        <w:rPr>
          <w:lang w:val="en-GB"/>
        </w:rPr>
        <w:t>The outcome document of the Fourth Conference on Financing for Development should include a clear commitment to ensuring that all countries</w:t>
      </w:r>
      <w:r w:rsidR="007D4338">
        <w:rPr>
          <w:lang w:val="en-GB"/>
        </w:rPr>
        <w:t xml:space="preserve"> </w:t>
      </w:r>
      <w:r w:rsidRPr="0078239C">
        <w:rPr>
          <w:lang w:val="en-GB"/>
        </w:rPr>
        <w:t xml:space="preserve">have equitable access to technologies and scientific knowledge. This commitment should be supported by international cooperation, funding mechanisms, and open access policies. </w:t>
      </w:r>
      <w:r w:rsidR="00EA6CF1">
        <w:rPr>
          <w:lang w:val="en-GB"/>
        </w:rPr>
        <w:t xml:space="preserve">It </w:t>
      </w:r>
      <w:r w:rsidRPr="0078239C">
        <w:rPr>
          <w:lang w:val="en-GB"/>
        </w:rPr>
        <w:t xml:space="preserve">should advocate for the dissemination of technologies considered global public goods, </w:t>
      </w:r>
      <w:r w:rsidR="00EA6CF1">
        <w:rPr>
          <w:lang w:val="en-GB"/>
        </w:rPr>
        <w:t>especially</w:t>
      </w:r>
      <w:r w:rsidRPr="0078239C">
        <w:rPr>
          <w:lang w:val="en-GB"/>
        </w:rPr>
        <w:t xml:space="preserve"> those addressing climate change and environmental sustainability</w:t>
      </w:r>
      <w:r w:rsidR="00C71BCF">
        <w:rPr>
          <w:lang w:val="en-GB"/>
        </w:rPr>
        <w:t xml:space="preserve">, </w:t>
      </w:r>
      <w:r w:rsidRPr="0078239C">
        <w:rPr>
          <w:lang w:val="en-GB"/>
        </w:rPr>
        <w:t>ma</w:t>
      </w:r>
      <w:r w:rsidR="00C71BCF">
        <w:rPr>
          <w:lang w:val="en-GB"/>
        </w:rPr>
        <w:t>king them</w:t>
      </w:r>
      <w:r w:rsidRPr="0078239C">
        <w:rPr>
          <w:lang w:val="en-GB"/>
        </w:rPr>
        <w:t xml:space="preserve"> accessible to all countries</w:t>
      </w:r>
      <w:r w:rsidR="006866B6">
        <w:rPr>
          <w:lang w:val="en-GB"/>
        </w:rPr>
        <w:t xml:space="preserve"> regardless</w:t>
      </w:r>
      <w:r w:rsidRPr="0078239C">
        <w:rPr>
          <w:lang w:val="en-GB"/>
        </w:rPr>
        <w:t xml:space="preserve"> of economic status. </w:t>
      </w:r>
    </w:p>
    <w:p w14:paraId="2B5C8B96" w14:textId="141EDFD0" w:rsidR="00101364" w:rsidRPr="0078239C" w:rsidRDefault="00541ED7" w:rsidP="004D5626">
      <w:pPr>
        <w:jc w:val="both"/>
        <w:rPr>
          <w:lang w:val="en-GB"/>
        </w:rPr>
      </w:pPr>
      <w:r w:rsidRPr="0078239C">
        <w:rPr>
          <w:lang w:val="en-GB"/>
        </w:rPr>
        <w:t>While global action is needed to create favourable conditions for states to drive the development agenda, it is essential to recognize that development is primarily the responsibility of national governments</w:t>
      </w:r>
      <w:r w:rsidR="007D3505">
        <w:rPr>
          <w:lang w:val="en-GB"/>
        </w:rPr>
        <w:t xml:space="preserve">. </w:t>
      </w:r>
      <w:r w:rsidR="0039127D" w:rsidRPr="0078239C">
        <w:rPr>
          <w:lang w:val="en-GB"/>
        </w:rPr>
        <w:t xml:space="preserve">Finally, the document should outline specific </w:t>
      </w:r>
      <w:r w:rsidR="00334274">
        <w:rPr>
          <w:lang w:val="en-GB"/>
        </w:rPr>
        <w:t>policies</w:t>
      </w:r>
      <w:r w:rsidR="0039127D" w:rsidRPr="0078239C">
        <w:rPr>
          <w:lang w:val="en-GB"/>
        </w:rPr>
        <w:t xml:space="preserve"> that channel technological progress toward the creation of </w:t>
      </w:r>
      <w:r w:rsidR="00A247DD" w:rsidRPr="0078239C">
        <w:rPr>
          <w:lang w:val="en-GB"/>
        </w:rPr>
        <w:t>labour</w:t>
      </w:r>
      <w:r w:rsidR="0039127D" w:rsidRPr="0078239C">
        <w:rPr>
          <w:lang w:val="en-GB"/>
        </w:rPr>
        <w:t>-absorbing sectors and middle-class jobs, ensuring that technological advancements contribute to broad-based economic growth and social development.</w:t>
      </w:r>
    </w:p>
    <w:p w14:paraId="1A95347D" w14:textId="53AE1B04" w:rsidR="002F6B6C" w:rsidRPr="0078239C" w:rsidRDefault="002F6B6C" w:rsidP="002F6B6C">
      <w:pPr>
        <w:rPr>
          <w:lang w:val="en-GB"/>
        </w:rPr>
      </w:pPr>
      <w:r w:rsidRPr="0078239C">
        <w:rPr>
          <w:highlight w:val="yellow"/>
          <w:lang w:val="en-GB"/>
        </w:rPr>
        <w:t>NB please also provide a 75-word summary of the brief for the website.</w:t>
      </w:r>
      <w:r w:rsidR="00A035FD" w:rsidRPr="0078239C">
        <w:rPr>
          <w:lang w:val="en-GB"/>
        </w:rPr>
        <w:t xml:space="preserve"> </w:t>
      </w:r>
    </w:p>
    <w:p w14:paraId="40E7D7E8" w14:textId="3B62F210" w:rsidR="006956C9" w:rsidRPr="0078239C" w:rsidRDefault="006956C9" w:rsidP="00F33823">
      <w:pPr>
        <w:jc w:val="both"/>
        <w:rPr>
          <w:i/>
          <w:iCs/>
          <w:lang w:val="en-GB"/>
        </w:rPr>
      </w:pPr>
      <w:r w:rsidRPr="006956C9">
        <w:rPr>
          <w:i/>
          <w:iCs/>
        </w:rPr>
        <w:t>Integrating Science, Technology, and Innovation</w:t>
      </w:r>
      <w:r w:rsidR="007A761B">
        <w:rPr>
          <w:i/>
          <w:iCs/>
        </w:rPr>
        <w:t xml:space="preserve"> (STI)</w:t>
      </w:r>
      <w:r w:rsidRPr="006956C9">
        <w:rPr>
          <w:i/>
          <w:iCs/>
        </w:rPr>
        <w:t xml:space="preserve"> into Financing for Development is essential for achieving the</w:t>
      </w:r>
      <w:r w:rsidR="008C7B34">
        <w:rPr>
          <w:i/>
          <w:iCs/>
        </w:rPr>
        <w:t xml:space="preserve"> Sustainable Development Goals</w:t>
      </w:r>
      <w:r w:rsidRPr="006956C9">
        <w:rPr>
          <w:i/>
          <w:iCs/>
        </w:rPr>
        <w:t xml:space="preserve"> </w:t>
      </w:r>
      <w:r w:rsidR="008C7B34">
        <w:rPr>
          <w:i/>
          <w:iCs/>
        </w:rPr>
        <w:t>(</w:t>
      </w:r>
      <w:r w:rsidRPr="006956C9">
        <w:rPr>
          <w:i/>
          <w:iCs/>
        </w:rPr>
        <w:t>SDGs</w:t>
      </w:r>
      <w:r w:rsidR="008C7B34">
        <w:rPr>
          <w:i/>
          <w:iCs/>
        </w:rPr>
        <w:t>)</w:t>
      </w:r>
      <w:r w:rsidRPr="006956C9">
        <w:rPr>
          <w:i/>
          <w:iCs/>
        </w:rPr>
        <w:t xml:space="preserve">. While technological advancements offer opportunities, they can disrupt growth pathways and increase inequalities if mismanaged. Key recommendations include directing technology to create </w:t>
      </w:r>
      <w:r w:rsidR="008C7B34">
        <w:rPr>
          <w:i/>
          <w:iCs/>
        </w:rPr>
        <w:t xml:space="preserve">middle-class </w:t>
      </w:r>
      <w:r w:rsidRPr="006956C9">
        <w:rPr>
          <w:i/>
          <w:iCs/>
        </w:rPr>
        <w:t>jobs</w:t>
      </w:r>
      <w:r w:rsidR="008C7B34">
        <w:rPr>
          <w:i/>
          <w:iCs/>
        </w:rPr>
        <w:t xml:space="preserve"> and labour-absorbing sectors</w:t>
      </w:r>
      <w:r w:rsidRPr="006956C9">
        <w:rPr>
          <w:i/>
          <w:iCs/>
        </w:rPr>
        <w:t xml:space="preserve">, improving access </w:t>
      </w:r>
      <w:r w:rsidR="00813A9A">
        <w:rPr>
          <w:i/>
          <w:iCs/>
        </w:rPr>
        <w:t xml:space="preserve">to scientific knowledge </w:t>
      </w:r>
      <w:r w:rsidR="00B80D8F">
        <w:rPr>
          <w:i/>
          <w:iCs/>
        </w:rPr>
        <w:t xml:space="preserve">and technological innovations </w:t>
      </w:r>
      <w:r w:rsidRPr="006956C9">
        <w:rPr>
          <w:i/>
          <w:iCs/>
        </w:rPr>
        <w:t xml:space="preserve">through open science and flexible intellectual property regimes, fostering South-South cooperation, and mobilizing </w:t>
      </w:r>
      <w:r w:rsidR="00E34067">
        <w:rPr>
          <w:i/>
          <w:iCs/>
        </w:rPr>
        <w:t xml:space="preserve">development financing, including </w:t>
      </w:r>
      <w:r w:rsidR="005255C3">
        <w:rPr>
          <w:i/>
          <w:iCs/>
        </w:rPr>
        <w:t>Official Development Assistance (ODA)</w:t>
      </w:r>
      <w:r w:rsidRPr="006956C9">
        <w:rPr>
          <w:i/>
          <w:iCs/>
        </w:rPr>
        <w:t xml:space="preserve"> to close technological gaps.</w:t>
      </w:r>
    </w:p>
    <w:p w14:paraId="6779AD93" w14:textId="77777777" w:rsidR="007D1216" w:rsidRPr="0078239C" w:rsidRDefault="007D1216" w:rsidP="007D1216">
      <w:pPr>
        <w:pStyle w:val="ListParagraph"/>
        <w:rPr>
          <w:lang w:val="en-GB"/>
        </w:rPr>
      </w:pPr>
    </w:p>
    <w:sectPr w:rsidR="007D1216" w:rsidRPr="007823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33EA3" w14:textId="77777777" w:rsidR="00DC4A05" w:rsidRDefault="00DC4A05" w:rsidP="003A03B5">
      <w:pPr>
        <w:spacing w:after="0" w:line="240" w:lineRule="auto"/>
      </w:pPr>
      <w:r>
        <w:separator/>
      </w:r>
    </w:p>
  </w:endnote>
  <w:endnote w:type="continuationSeparator" w:id="0">
    <w:p w14:paraId="43F4C82C" w14:textId="77777777" w:rsidR="00DC4A05" w:rsidRDefault="00DC4A05" w:rsidP="003A03B5">
      <w:pPr>
        <w:spacing w:after="0" w:line="240" w:lineRule="auto"/>
      </w:pPr>
      <w:r>
        <w:continuationSeparator/>
      </w:r>
    </w:p>
  </w:endnote>
  <w:endnote w:type="continuationNotice" w:id="1">
    <w:p w14:paraId="1DCA719D" w14:textId="77777777" w:rsidR="00DC4A05" w:rsidRDefault="00DC4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92C4" w14:textId="77777777" w:rsidR="00DC4A05" w:rsidRDefault="00DC4A05" w:rsidP="003A03B5">
      <w:pPr>
        <w:spacing w:after="0" w:line="240" w:lineRule="auto"/>
      </w:pPr>
      <w:r>
        <w:separator/>
      </w:r>
    </w:p>
  </w:footnote>
  <w:footnote w:type="continuationSeparator" w:id="0">
    <w:p w14:paraId="0F78A264" w14:textId="77777777" w:rsidR="00DC4A05" w:rsidRDefault="00DC4A05" w:rsidP="003A03B5">
      <w:pPr>
        <w:spacing w:after="0" w:line="240" w:lineRule="auto"/>
      </w:pPr>
      <w:r>
        <w:continuationSeparator/>
      </w:r>
    </w:p>
  </w:footnote>
  <w:footnote w:type="continuationNotice" w:id="1">
    <w:p w14:paraId="22BF1E6F" w14:textId="77777777" w:rsidR="00DC4A05" w:rsidRDefault="00DC4A05">
      <w:pPr>
        <w:spacing w:after="0" w:line="240" w:lineRule="auto"/>
      </w:pPr>
    </w:p>
  </w:footnote>
  <w:footnote w:id="2">
    <w:p w14:paraId="2B9178E9" w14:textId="29269CA9" w:rsidR="00F844EA" w:rsidRDefault="00F844EA">
      <w:pPr>
        <w:pStyle w:val="FootnoteText"/>
      </w:pPr>
      <w:r>
        <w:rPr>
          <w:rStyle w:val="FootnoteReference"/>
        </w:rPr>
        <w:footnoteRef/>
      </w:r>
      <w:r>
        <w:t xml:space="preserve"> </w:t>
      </w:r>
      <w:r w:rsidR="00E351D3">
        <w:t>United Nations</w:t>
      </w:r>
      <w:r w:rsidR="00AB5D1E">
        <w:t xml:space="preserve">, </w:t>
      </w:r>
      <w:r w:rsidR="00E351D3">
        <w:t>2021</w:t>
      </w:r>
      <w:r w:rsidR="00AB5D1E">
        <w:t>,</w:t>
      </w:r>
      <w:r w:rsidR="00E351D3">
        <w:t xml:space="preserve"> </w:t>
      </w:r>
      <w:r w:rsidR="00E351D3" w:rsidRPr="00DD7AD9">
        <w:rPr>
          <w:i/>
          <w:iCs/>
        </w:rPr>
        <w:t>The Sustainable Development Goals Report</w:t>
      </w:r>
      <w:r w:rsidR="00AB5D1E">
        <w:t xml:space="preserve"> (United Nations publication, New York)</w:t>
      </w:r>
    </w:p>
  </w:footnote>
  <w:footnote w:id="3">
    <w:p w14:paraId="7B868FF2" w14:textId="119333A7" w:rsidR="00EF6DBB" w:rsidRPr="00EF6DBB" w:rsidRDefault="00EF6DBB" w:rsidP="00F33823">
      <w:pPr>
        <w:pStyle w:val="FootnoteText"/>
        <w:jc w:val="both"/>
      </w:pPr>
      <w:r>
        <w:rPr>
          <w:rStyle w:val="FootnoteReference"/>
        </w:rPr>
        <w:footnoteRef/>
      </w:r>
      <w:r>
        <w:t xml:space="preserve"> </w:t>
      </w:r>
      <w:r w:rsidRPr="00EF6DBB">
        <w:t>United Nations</w:t>
      </w:r>
      <w:r w:rsidR="003528EE">
        <w:t xml:space="preserve">, </w:t>
      </w:r>
      <w:r w:rsidR="00177FCE">
        <w:t>2024</w:t>
      </w:r>
      <w:r w:rsidR="003528EE">
        <w:t>,</w:t>
      </w:r>
      <w:r w:rsidRPr="00EF6DBB">
        <w:t xml:space="preserve"> </w:t>
      </w:r>
      <w:r w:rsidRPr="00EF6DBB">
        <w:rPr>
          <w:i/>
          <w:iCs/>
        </w:rPr>
        <w:t>Financing for Sustainable Development Report 2024:</w:t>
      </w:r>
      <w:r>
        <w:rPr>
          <w:i/>
          <w:iCs/>
        </w:rPr>
        <w:t xml:space="preserve"> </w:t>
      </w:r>
      <w:r w:rsidRPr="00EF6DBB">
        <w:rPr>
          <w:i/>
          <w:iCs/>
        </w:rPr>
        <w:t>Financing for Development at a Crossroads</w:t>
      </w:r>
      <w:r w:rsidR="00AB5D1E">
        <w:rPr>
          <w:i/>
          <w:iCs/>
        </w:rPr>
        <w:t xml:space="preserve"> </w:t>
      </w:r>
      <w:r w:rsidR="00AB5D1E">
        <w:t>(United Nations publication, New York)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099014310">
    <w:abstractNumId w:val="0"/>
  </w:num>
  <w:num w:numId="2" w16cid:durableId="705714083">
    <w:abstractNumId w:val="6"/>
  </w:num>
  <w:num w:numId="3" w16cid:durableId="1224489899">
    <w:abstractNumId w:val="3"/>
  </w:num>
  <w:num w:numId="4" w16cid:durableId="839007420">
    <w:abstractNumId w:val="4"/>
  </w:num>
  <w:num w:numId="5" w16cid:durableId="1795057800">
    <w:abstractNumId w:val="5"/>
  </w:num>
  <w:num w:numId="6" w16cid:durableId="1539704886">
    <w:abstractNumId w:val="2"/>
  </w:num>
  <w:num w:numId="7" w16cid:durableId="196576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242C4"/>
    <w:rsid w:val="00030E3E"/>
    <w:rsid w:val="00031C76"/>
    <w:rsid w:val="00034B95"/>
    <w:rsid w:val="00042A69"/>
    <w:rsid w:val="00042B3C"/>
    <w:rsid w:val="0005294C"/>
    <w:rsid w:val="00052982"/>
    <w:rsid w:val="000548BE"/>
    <w:rsid w:val="00054D9A"/>
    <w:rsid w:val="00055AD0"/>
    <w:rsid w:val="00055B88"/>
    <w:rsid w:val="00055F4D"/>
    <w:rsid w:val="00061071"/>
    <w:rsid w:val="000619E7"/>
    <w:rsid w:val="00061D68"/>
    <w:rsid w:val="0006245A"/>
    <w:rsid w:val="0006387C"/>
    <w:rsid w:val="00067723"/>
    <w:rsid w:val="00071553"/>
    <w:rsid w:val="00084281"/>
    <w:rsid w:val="00095033"/>
    <w:rsid w:val="0009660F"/>
    <w:rsid w:val="000A6CC4"/>
    <w:rsid w:val="000B1C85"/>
    <w:rsid w:val="000B756A"/>
    <w:rsid w:val="000C4789"/>
    <w:rsid w:val="000C7E94"/>
    <w:rsid w:val="000D37F9"/>
    <w:rsid w:val="000D3959"/>
    <w:rsid w:val="000E34C5"/>
    <w:rsid w:val="000E7094"/>
    <w:rsid w:val="000F7B99"/>
    <w:rsid w:val="0010091A"/>
    <w:rsid w:val="00101364"/>
    <w:rsid w:val="00121DF3"/>
    <w:rsid w:val="00131586"/>
    <w:rsid w:val="00133982"/>
    <w:rsid w:val="00140310"/>
    <w:rsid w:val="00143571"/>
    <w:rsid w:val="001449A8"/>
    <w:rsid w:val="001460CB"/>
    <w:rsid w:val="001519A1"/>
    <w:rsid w:val="00154139"/>
    <w:rsid w:val="00173E2E"/>
    <w:rsid w:val="00174569"/>
    <w:rsid w:val="00177FCE"/>
    <w:rsid w:val="001A71B9"/>
    <w:rsid w:val="001A743C"/>
    <w:rsid w:val="001C0FF2"/>
    <w:rsid w:val="001C5FC0"/>
    <w:rsid w:val="001C7FF6"/>
    <w:rsid w:val="001D7307"/>
    <w:rsid w:val="001E2C77"/>
    <w:rsid w:val="001E70B9"/>
    <w:rsid w:val="001F6205"/>
    <w:rsid w:val="001F7840"/>
    <w:rsid w:val="001F7D9B"/>
    <w:rsid w:val="00200C91"/>
    <w:rsid w:val="00207753"/>
    <w:rsid w:val="00226DDE"/>
    <w:rsid w:val="00230CC0"/>
    <w:rsid w:val="0024150C"/>
    <w:rsid w:val="00251A33"/>
    <w:rsid w:val="00256658"/>
    <w:rsid w:val="00263DD4"/>
    <w:rsid w:val="00264832"/>
    <w:rsid w:val="00266E51"/>
    <w:rsid w:val="002723FF"/>
    <w:rsid w:val="0027401D"/>
    <w:rsid w:val="00275650"/>
    <w:rsid w:val="00276BBA"/>
    <w:rsid w:val="00280A5A"/>
    <w:rsid w:val="00281D5C"/>
    <w:rsid w:val="00283AF8"/>
    <w:rsid w:val="002851A0"/>
    <w:rsid w:val="002851B7"/>
    <w:rsid w:val="002928F2"/>
    <w:rsid w:val="00296C48"/>
    <w:rsid w:val="002C1230"/>
    <w:rsid w:val="002C6D77"/>
    <w:rsid w:val="002C6F07"/>
    <w:rsid w:val="002D28D4"/>
    <w:rsid w:val="002E31D3"/>
    <w:rsid w:val="002F097D"/>
    <w:rsid w:val="002F2AE3"/>
    <w:rsid w:val="002F4A33"/>
    <w:rsid w:val="002F55A8"/>
    <w:rsid w:val="002F6B6C"/>
    <w:rsid w:val="003015CF"/>
    <w:rsid w:val="00303BDE"/>
    <w:rsid w:val="003151D7"/>
    <w:rsid w:val="00316586"/>
    <w:rsid w:val="00317113"/>
    <w:rsid w:val="00325921"/>
    <w:rsid w:val="00334274"/>
    <w:rsid w:val="00342056"/>
    <w:rsid w:val="0034282A"/>
    <w:rsid w:val="0034562F"/>
    <w:rsid w:val="003468F0"/>
    <w:rsid w:val="003509C4"/>
    <w:rsid w:val="003528EE"/>
    <w:rsid w:val="003537BF"/>
    <w:rsid w:val="00367D34"/>
    <w:rsid w:val="00376ABC"/>
    <w:rsid w:val="0039127D"/>
    <w:rsid w:val="003963B8"/>
    <w:rsid w:val="0039674B"/>
    <w:rsid w:val="00397A7E"/>
    <w:rsid w:val="003A03B5"/>
    <w:rsid w:val="003A1EF7"/>
    <w:rsid w:val="003A25B7"/>
    <w:rsid w:val="003A75A5"/>
    <w:rsid w:val="003B31A6"/>
    <w:rsid w:val="003B3627"/>
    <w:rsid w:val="003B42E0"/>
    <w:rsid w:val="003B5828"/>
    <w:rsid w:val="003B72A4"/>
    <w:rsid w:val="003C07F2"/>
    <w:rsid w:val="003C0FAD"/>
    <w:rsid w:val="003C5D32"/>
    <w:rsid w:val="003F6130"/>
    <w:rsid w:val="003F64DE"/>
    <w:rsid w:val="0040043F"/>
    <w:rsid w:val="00405923"/>
    <w:rsid w:val="00407245"/>
    <w:rsid w:val="004126AF"/>
    <w:rsid w:val="00412A22"/>
    <w:rsid w:val="0042016D"/>
    <w:rsid w:val="004277AB"/>
    <w:rsid w:val="004278CD"/>
    <w:rsid w:val="00432208"/>
    <w:rsid w:val="004331C5"/>
    <w:rsid w:val="00441673"/>
    <w:rsid w:val="00447C89"/>
    <w:rsid w:val="004500E7"/>
    <w:rsid w:val="00450E07"/>
    <w:rsid w:val="0045314F"/>
    <w:rsid w:val="00455F0A"/>
    <w:rsid w:val="00456788"/>
    <w:rsid w:val="00462136"/>
    <w:rsid w:val="00462F53"/>
    <w:rsid w:val="00471BBA"/>
    <w:rsid w:val="0047617A"/>
    <w:rsid w:val="0047658A"/>
    <w:rsid w:val="004769D9"/>
    <w:rsid w:val="00477A3F"/>
    <w:rsid w:val="00480575"/>
    <w:rsid w:val="00486D3E"/>
    <w:rsid w:val="00487017"/>
    <w:rsid w:val="004A0F01"/>
    <w:rsid w:val="004A1E76"/>
    <w:rsid w:val="004B304B"/>
    <w:rsid w:val="004B4718"/>
    <w:rsid w:val="004B5660"/>
    <w:rsid w:val="004C5A9A"/>
    <w:rsid w:val="004D5626"/>
    <w:rsid w:val="004D5727"/>
    <w:rsid w:val="004F1A22"/>
    <w:rsid w:val="004F4DF5"/>
    <w:rsid w:val="00506CEF"/>
    <w:rsid w:val="00512C0C"/>
    <w:rsid w:val="005138B8"/>
    <w:rsid w:val="00516B44"/>
    <w:rsid w:val="0052256A"/>
    <w:rsid w:val="005255C3"/>
    <w:rsid w:val="00530E05"/>
    <w:rsid w:val="0053390C"/>
    <w:rsid w:val="005353B8"/>
    <w:rsid w:val="00537145"/>
    <w:rsid w:val="00541ED7"/>
    <w:rsid w:val="005435CE"/>
    <w:rsid w:val="00544D84"/>
    <w:rsid w:val="00553324"/>
    <w:rsid w:val="005653AB"/>
    <w:rsid w:val="005746F0"/>
    <w:rsid w:val="00574BA4"/>
    <w:rsid w:val="005752D5"/>
    <w:rsid w:val="005769BA"/>
    <w:rsid w:val="0058072B"/>
    <w:rsid w:val="005865E9"/>
    <w:rsid w:val="005910B8"/>
    <w:rsid w:val="00596AB2"/>
    <w:rsid w:val="005A24CB"/>
    <w:rsid w:val="005A5020"/>
    <w:rsid w:val="005A7DEF"/>
    <w:rsid w:val="005C5910"/>
    <w:rsid w:val="005D4666"/>
    <w:rsid w:val="005D5423"/>
    <w:rsid w:val="005D5E51"/>
    <w:rsid w:val="005D74D3"/>
    <w:rsid w:val="005D7F3D"/>
    <w:rsid w:val="005F0387"/>
    <w:rsid w:val="005F20BF"/>
    <w:rsid w:val="00601367"/>
    <w:rsid w:val="0060182F"/>
    <w:rsid w:val="00612507"/>
    <w:rsid w:val="006161F3"/>
    <w:rsid w:val="006163B1"/>
    <w:rsid w:val="006237C6"/>
    <w:rsid w:val="00623EC0"/>
    <w:rsid w:val="00627C3E"/>
    <w:rsid w:val="0063460B"/>
    <w:rsid w:val="00635C83"/>
    <w:rsid w:val="006534B1"/>
    <w:rsid w:val="00657AC3"/>
    <w:rsid w:val="00660562"/>
    <w:rsid w:val="006605A0"/>
    <w:rsid w:val="00661847"/>
    <w:rsid w:val="00662132"/>
    <w:rsid w:val="00664C57"/>
    <w:rsid w:val="00666AF9"/>
    <w:rsid w:val="00667F0E"/>
    <w:rsid w:val="006812E9"/>
    <w:rsid w:val="00684ABB"/>
    <w:rsid w:val="006866B6"/>
    <w:rsid w:val="006947B9"/>
    <w:rsid w:val="006956C9"/>
    <w:rsid w:val="006961A7"/>
    <w:rsid w:val="006A18D9"/>
    <w:rsid w:val="006A343D"/>
    <w:rsid w:val="006A4A20"/>
    <w:rsid w:val="006A7020"/>
    <w:rsid w:val="006B244A"/>
    <w:rsid w:val="006B5CA2"/>
    <w:rsid w:val="006C56F0"/>
    <w:rsid w:val="006C6827"/>
    <w:rsid w:val="006C6A4E"/>
    <w:rsid w:val="006D0087"/>
    <w:rsid w:val="006D0CC8"/>
    <w:rsid w:val="006D479B"/>
    <w:rsid w:val="006D4D4C"/>
    <w:rsid w:val="006D4DEF"/>
    <w:rsid w:val="006D66F6"/>
    <w:rsid w:val="006E1D10"/>
    <w:rsid w:val="006E2C55"/>
    <w:rsid w:val="006E2FD2"/>
    <w:rsid w:val="006F0479"/>
    <w:rsid w:val="006F7044"/>
    <w:rsid w:val="00706F42"/>
    <w:rsid w:val="00707074"/>
    <w:rsid w:val="00720ECA"/>
    <w:rsid w:val="007249D6"/>
    <w:rsid w:val="00730A6F"/>
    <w:rsid w:val="00734120"/>
    <w:rsid w:val="007416E0"/>
    <w:rsid w:val="0074511C"/>
    <w:rsid w:val="007461FE"/>
    <w:rsid w:val="0075255A"/>
    <w:rsid w:val="00754A12"/>
    <w:rsid w:val="00754E48"/>
    <w:rsid w:val="007553C8"/>
    <w:rsid w:val="00757FBB"/>
    <w:rsid w:val="00764689"/>
    <w:rsid w:val="0076512E"/>
    <w:rsid w:val="0077138E"/>
    <w:rsid w:val="0077158D"/>
    <w:rsid w:val="00773C38"/>
    <w:rsid w:val="00774B54"/>
    <w:rsid w:val="00776709"/>
    <w:rsid w:val="007814DE"/>
    <w:rsid w:val="0078239C"/>
    <w:rsid w:val="0078358D"/>
    <w:rsid w:val="00784FC1"/>
    <w:rsid w:val="00785CA3"/>
    <w:rsid w:val="00791DAF"/>
    <w:rsid w:val="007920AD"/>
    <w:rsid w:val="00795517"/>
    <w:rsid w:val="007A358D"/>
    <w:rsid w:val="007A3B4C"/>
    <w:rsid w:val="007A4FAA"/>
    <w:rsid w:val="007A761B"/>
    <w:rsid w:val="007B53E7"/>
    <w:rsid w:val="007C3210"/>
    <w:rsid w:val="007C43D4"/>
    <w:rsid w:val="007D1216"/>
    <w:rsid w:val="007D3505"/>
    <w:rsid w:val="007D4338"/>
    <w:rsid w:val="007D4FAD"/>
    <w:rsid w:val="007D681F"/>
    <w:rsid w:val="007E1035"/>
    <w:rsid w:val="007E450A"/>
    <w:rsid w:val="007E567C"/>
    <w:rsid w:val="007E7F19"/>
    <w:rsid w:val="007F075C"/>
    <w:rsid w:val="007F1521"/>
    <w:rsid w:val="007F2E93"/>
    <w:rsid w:val="00812F0E"/>
    <w:rsid w:val="0081311C"/>
    <w:rsid w:val="00813A9A"/>
    <w:rsid w:val="00816576"/>
    <w:rsid w:val="00817599"/>
    <w:rsid w:val="00821607"/>
    <w:rsid w:val="008250FB"/>
    <w:rsid w:val="008256EA"/>
    <w:rsid w:val="00830399"/>
    <w:rsid w:val="008305E8"/>
    <w:rsid w:val="00831268"/>
    <w:rsid w:val="008377FC"/>
    <w:rsid w:val="008422FD"/>
    <w:rsid w:val="00842C55"/>
    <w:rsid w:val="0085338E"/>
    <w:rsid w:val="00854B3B"/>
    <w:rsid w:val="008558BE"/>
    <w:rsid w:val="00870793"/>
    <w:rsid w:val="008723D8"/>
    <w:rsid w:val="008746C3"/>
    <w:rsid w:val="00881604"/>
    <w:rsid w:val="00881DD3"/>
    <w:rsid w:val="0088513D"/>
    <w:rsid w:val="00885D13"/>
    <w:rsid w:val="00887169"/>
    <w:rsid w:val="00887709"/>
    <w:rsid w:val="00895647"/>
    <w:rsid w:val="00895AE9"/>
    <w:rsid w:val="008A2CFC"/>
    <w:rsid w:val="008B2347"/>
    <w:rsid w:val="008B5C2A"/>
    <w:rsid w:val="008B61A4"/>
    <w:rsid w:val="008C31AB"/>
    <w:rsid w:val="008C546C"/>
    <w:rsid w:val="008C7B34"/>
    <w:rsid w:val="008D03C8"/>
    <w:rsid w:val="008D1286"/>
    <w:rsid w:val="008D1BB6"/>
    <w:rsid w:val="008D3093"/>
    <w:rsid w:val="008D4AB4"/>
    <w:rsid w:val="008D5DF6"/>
    <w:rsid w:val="008E3156"/>
    <w:rsid w:val="008E5904"/>
    <w:rsid w:val="008E749F"/>
    <w:rsid w:val="008F3249"/>
    <w:rsid w:val="008F7C0B"/>
    <w:rsid w:val="009068E2"/>
    <w:rsid w:val="00912406"/>
    <w:rsid w:val="009173F9"/>
    <w:rsid w:val="00920D74"/>
    <w:rsid w:val="009218F1"/>
    <w:rsid w:val="00923A51"/>
    <w:rsid w:val="00925D12"/>
    <w:rsid w:val="00927340"/>
    <w:rsid w:val="009348C0"/>
    <w:rsid w:val="00954EB6"/>
    <w:rsid w:val="009610CE"/>
    <w:rsid w:val="009620CB"/>
    <w:rsid w:val="00967A71"/>
    <w:rsid w:val="00970B4E"/>
    <w:rsid w:val="009718BD"/>
    <w:rsid w:val="00971C2C"/>
    <w:rsid w:val="009850FA"/>
    <w:rsid w:val="009977A6"/>
    <w:rsid w:val="009A3BC3"/>
    <w:rsid w:val="009A63D2"/>
    <w:rsid w:val="009B1F44"/>
    <w:rsid w:val="009B2E20"/>
    <w:rsid w:val="009B55E1"/>
    <w:rsid w:val="009C126D"/>
    <w:rsid w:val="009D27D0"/>
    <w:rsid w:val="009D6678"/>
    <w:rsid w:val="009E5DF0"/>
    <w:rsid w:val="009F089E"/>
    <w:rsid w:val="009F2A8D"/>
    <w:rsid w:val="009F505C"/>
    <w:rsid w:val="00A035FD"/>
    <w:rsid w:val="00A03A37"/>
    <w:rsid w:val="00A049ED"/>
    <w:rsid w:val="00A071E6"/>
    <w:rsid w:val="00A107C0"/>
    <w:rsid w:val="00A247DD"/>
    <w:rsid w:val="00A252C5"/>
    <w:rsid w:val="00A31BA6"/>
    <w:rsid w:val="00A34180"/>
    <w:rsid w:val="00A50C59"/>
    <w:rsid w:val="00A5246A"/>
    <w:rsid w:val="00A61A7D"/>
    <w:rsid w:val="00A62FFB"/>
    <w:rsid w:val="00A67DD2"/>
    <w:rsid w:val="00A7350E"/>
    <w:rsid w:val="00A87F66"/>
    <w:rsid w:val="00AA1982"/>
    <w:rsid w:val="00AA2E44"/>
    <w:rsid w:val="00AA56DB"/>
    <w:rsid w:val="00AB5D1E"/>
    <w:rsid w:val="00AB5E1B"/>
    <w:rsid w:val="00AB6EB9"/>
    <w:rsid w:val="00AB7FF9"/>
    <w:rsid w:val="00AC0FD2"/>
    <w:rsid w:val="00AC2E7D"/>
    <w:rsid w:val="00AC5120"/>
    <w:rsid w:val="00AC58AE"/>
    <w:rsid w:val="00AC635D"/>
    <w:rsid w:val="00AD1951"/>
    <w:rsid w:val="00AD1EA1"/>
    <w:rsid w:val="00AD4EBE"/>
    <w:rsid w:val="00AE202E"/>
    <w:rsid w:val="00AE2B30"/>
    <w:rsid w:val="00AE32E1"/>
    <w:rsid w:val="00AF44D1"/>
    <w:rsid w:val="00B112D3"/>
    <w:rsid w:val="00B16F5C"/>
    <w:rsid w:val="00B22A5C"/>
    <w:rsid w:val="00B303BA"/>
    <w:rsid w:val="00B37572"/>
    <w:rsid w:val="00B464D5"/>
    <w:rsid w:val="00B52F12"/>
    <w:rsid w:val="00B603B5"/>
    <w:rsid w:val="00B80D8F"/>
    <w:rsid w:val="00BA0717"/>
    <w:rsid w:val="00BA661C"/>
    <w:rsid w:val="00BB2481"/>
    <w:rsid w:val="00BB2613"/>
    <w:rsid w:val="00BB5F32"/>
    <w:rsid w:val="00BC2584"/>
    <w:rsid w:val="00BD1E2F"/>
    <w:rsid w:val="00BD4A65"/>
    <w:rsid w:val="00BE061A"/>
    <w:rsid w:val="00BE2A64"/>
    <w:rsid w:val="00BF04C4"/>
    <w:rsid w:val="00BF4305"/>
    <w:rsid w:val="00BF6157"/>
    <w:rsid w:val="00C0268C"/>
    <w:rsid w:val="00C02B63"/>
    <w:rsid w:val="00C03714"/>
    <w:rsid w:val="00C04EBB"/>
    <w:rsid w:val="00C05F47"/>
    <w:rsid w:val="00C0696F"/>
    <w:rsid w:val="00C10B5D"/>
    <w:rsid w:val="00C21FA5"/>
    <w:rsid w:val="00C2252C"/>
    <w:rsid w:val="00C249E2"/>
    <w:rsid w:val="00C32C33"/>
    <w:rsid w:val="00C32CA1"/>
    <w:rsid w:val="00C401B3"/>
    <w:rsid w:val="00C51AA8"/>
    <w:rsid w:val="00C543AB"/>
    <w:rsid w:val="00C65972"/>
    <w:rsid w:val="00C65BEB"/>
    <w:rsid w:val="00C67DDF"/>
    <w:rsid w:val="00C70F61"/>
    <w:rsid w:val="00C7104A"/>
    <w:rsid w:val="00C71BCF"/>
    <w:rsid w:val="00C7638D"/>
    <w:rsid w:val="00C9157B"/>
    <w:rsid w:val="00CB2AA1"/>
    <w:rsid w:val="00CB4B13"/>
    <w:rsid w:val="00CB6DF0"/>
    <w:rsid w:val="00CC254C"/>
    <w:rsid w:val="00CC3E5E"/>
    <w:rsid w:val="00CD46D1"/>
    <w:rsid w:val="00CE5D7C"/>
    <w:rsid w:val="00CE6CA7"/>
    <w:rsid w:val="00CF0209"/>
    <w:rsid w:val="00CF5A17"/>
    <w:rsid w:val="00D14383"/>
    <w:rsid w:val="00D15FDA"/>
    <w:rsid w:val="00D27E02"/>
    <w:rsid w:val="00D30C76"/>
    <w:rsid w:val="00D440F0"/>
    <w:rsid w:val="00D44A13"/>
    <w:rsid w:val="00D45E94"/>
    <w:rsid w:val="00D50838"/>
    <w:rsid w:val="00D51C2C"/>
    <w:rsid w:val="00D5534A"/>
    <w:rsid w:val="00D55D3C"/>
    <w:rsid w:val="00D6347F"/>
    <w:rsid w:val="00D737CF"/>
    <w:rsid w:val="00D810F4"/>
    <w:rsid w:val="00D85910"/>
    <w:rsid w:val="00D86FF3"/>
    <w:rsid w:val="00D9143D"/>
    <w:rsid w:val="00D97E66"/>
    <w:rsid w:val="00DB7081"/>
    <w:rsid w:val="00DC184F"/>
    <w:rsid w:val="00DC4A05"/>
    <w:rsid w:val="00DC6488"/>
    <w:rsid w:val="00DC7A44"/>
    <w:rsid w:val="00DD1920"/>
    <w:rsid w:val="00DD4639"/>
    <w:rsid w:val="00DD5352"/>
    <w:rsid w:val="00DD53E6"/>
    <w:rsid w:val="00DD7AD9"/>
    <w:rsid w:val="00DD7FDD"/>
    <w:rsid w:val="00DE6919"/>
    <w:rsid w:val="00DF23CC"/>
    <w:rsid w:val="00DF3CDA"/>
    <w:rsid w:val="00E063F0"/>
    <w:rsid w:val="00E106A0"/>
    <w:rsid w:val="00E11516"/>
    <w:rsid w:val="00E1196A"/>
    <w:rsid w:val="00E1318E"/>
    <w:rsid w:val="00E2289C"/>
    <w:rsid w:val="00E27B18"/>
    <w:rsid w:val="00E30C06"/>
    <w:rsid w:val="00E30EDE"/>
    <w:rsid w:val="00E34067"/>
    <w:rsid w:val="00E351D3"/>
    <w:rsid w:val="00E45CF9"/>
    <w:rsid w:val="00E510F0"/>
    <w:rsid w:val="00E52E8B"/>
    <w:rsid w:val="00E560F2"/>
    <w:rsid w:val="00E6387B"/>
    <w:rsid w:val="00E7458D"/>
    <w:rsid w:val="00E82989"/>
    <w:rsid w:val="00E974B8"/>
    <w:rsid w:val="00EA6CF1"/>
    <w:rsid w:val="00EA70EC"/>
    <w:rsid w:val="00EB1782"/>
    <w:rsid w:val="00EB278C"/>
    <w:rsid w:val="00EB44E9"/>
    <w:rsid w:val="00EC3670"/>
    <w:rsid w:val="00EC70AE"/>
    <w:rsid w:val="00ED293E"/>
    <w:rsid w:val="00ED6BF2"/>
    <w:rsid w:val="00EE628C"/>
    <w:rsid w:val="00EF6DBB"/>
    <w:rsid w:val="00F0085E"/>
    <w:rsid w:val="00F01A88"/>
    <w:rsid w:val="00F03033"/>
    <w:rsid w:val="00F0424F"/>
    <w:rsid w:val="00F108DB"/>
    <w:rsid w:val="00F1254E"/>
    <w:rsid w:val="00F12FCF"/>
    <w:rsid w:val="00F15A3F"/>
    <w:rsid w:val="00F2027D"/>
    <w:rsid w:val="00F207BE"/>
    <w:rsid w:val="00F22AC8"/>
    <w:rsid w:val="00F25970"/>
    <w:rsid w:val="00F27807"/>
    <w:rsid w:val="00F31841"/>
    <w:rsid w:val="00F31DF6"/>
    <w:rsid w:val="00F323A3"/>
    <w:rsid w:val="00F33823"/>
    <w:rsid w:val="00F40F9C"/>
    <w:rsid w:val="00F43CF0"/>
    <w:rsid w:val="00F63348"/>
    <w:rsid w:val="00F63FB8"/>
    <w:rsid w:val="00F70AD4"/>
    <w:rsid w:val="00F72DB9"/>
    <w:rsid w:val="00F779AD"/>
    <w:rsid w:val="00F77AA5"/>
    <w:rsid w:val="00F844EA"/>
    <w:rsid w:val="00F90C67"/>
    <w:rsid w:val="00F96C05"/>
    <w:rsid w:val="00FA1408"/>
    <w:rsid w:val="00FB4F3F"/>
    <w:rsid w:val="00FB71D6"/>
    <w:rsid w:val="00FC29B9"/>
    <w:rsid w:val="00FD1B9E"/>
    <w:rsid w:val="00FD3426"/>
    <w:rsid w:val="00FD3860"/>
    <w:rsid w:val="00FD6A23"/>
    <w:rsid w:val="00FD7E6C"/>
    <w:rsid w:val="00FE07FC"/>
    <w:rsid w:val="00FE0AEF"/>
    <w:rsid w:val="00FF2D68"/>
    <w:rsid w:val="081A7F1C"/>
    <w:rsid w:val="0A6370C3"/>
    <w:rsid w:val="0A8F850F"/>
    <w:rsid w:val="14979E02"/>
    <w:rsid w:val="165F3251"/>
    <w:rsid w:val="172CDEE2"/>
    <w:rsid w:val="1BD7F972"/>
    <w:rsid w:val="1F6C41A6"/>
    <w:rsid w:val="249587DD"/>
    <w:rsid w:val="303E48AD"/>
    <w:rsid w:val="33E8252D"/>
    <w:rsid w:val="3B37654A"/>
    <w:rsid w:val="3E964E33"/>
    <w:rsid w:val="40F73FC1"/>
    <w:rsid w:val="49D2B898"/>
    <w:rsid w:val="4A412222"/>
    <w:rsid w:val="58C6895A"/>
    <w:rsid w:val="5B9B7255"/>
    <w:rsid w:val="600089E4"/>
    <w:rsid w:val="62705FD3"/>
    <w:rsid w:val="6C6142F7"/>
    <w:rsid w:val="6F37038C"/>
    <w:rsid w:val="7BC9008D"/>
    <w:rsid w:val="7FAE3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8C60B002-BEA1-4A92-B7B5-0B56C952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UnresolvedMention">
    <w:name w:val="Unresolved Mention"/>
    <w:basedOn w:val="DefaultParagraphFont"/>
    <w:uiPriority w:val="99"/>
    <w:semiHidden/>
    <w:unhideWhenUsed/>
    <w:rsid w:val="00DD4639"/>
    <w:rPr>
      <w:color w:val="605E5C"/>
      <w:shd w:val="clear" w:color="auto" w:fill="E1DFDD"/>
    </w:rPr>
  </w:style>
  <w:style w:type="paragraph" w:styleId="NormalWeb">
    <w:name w:val="Normal (Web)"/>
    <w:basedOn w:val="Normal"/>
    <w:uiPriority w:val="99"/>
    <w:semiHidden/>
    <w:unhideWhenUsed/>
    <w:rsid w:val="00276B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6BBA"/>
    <w:rPr>
      <w:b/>
      <w:bCs/>
    </w:rPr>
  </w:style>
  <w:style w:type="table" w:styleId="TableGrid">
    <w:name w:val="Table Grid"/>
    <w:basedOn w:val="TableNormal"/>
    <w:uiPriority w:val="39"/>
    <w:rsid w:val="00997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74">
      <w:bodyDiv w:val="1"/>
      <w:marLeft w:val="0"/>
      <w:marRight w:val="0"/>
      <w:marTop w:val="0"/>
      <w:marBottom w:val="0"/>
      <w:divBdr>
        <w:top w:val="none" w:sz="0" w:space="0" w:color="auto"/>
        <w:left w:val="none" w:sz="0" w:space="0" w:color="auto"/>
        <w:bottom w:val="none" w:sz="0" w:space="0" w:color="auto"/>
        <w:right w:val="none" w:sz="0" w:space="0" w:color="auto"/>
      </w:divBdr>
    </w:div>
    <w:div w:id="30693854">
      <w:bodyDiv w:val="1"/>
      <w:marLeft w:val="0"/>
      <w:marRight w:val="0"/>
      <w:marTop w:val="0"/>
      <w:marBottom w:val="0"/>
      <w:divBdr>
        <w:top w:val="none" w:sz="0" w:space="0" w:color="auto"/>
        <w:left w:val="none" w:sz="0" w:space="0" w:color="auto"/>
        <w:bottom w:val="none" w:sz="0" w:space="0" w:color="auto"/>
        <w:right w:val="none" w:sz="0" w:space="0" w:color="auto"/>
      </w:divBdr>
    </w:div>
    <w:div w:id="149251630">
      <w:bodyDiv w:val="1"/>
      <w:marLeft w:val="0"/>
      <w:marRight w:val="0"/>
      <w:marTop w:val="0"/>
      <w:marBottom w:val="0"/>
      <w:divBdr>
        <w:top w:val="none" w:sz="0" w:space="0" w:color="auto"/>
        <w:left w:val="none" w:sz="0" w:space="0" w:color="auto"/>
        <w:bottom w:val="none" w:sz="0" w:space="0" w:color="auto"/>
        <w:right w:val="none" w:sz="0" w:space="0" w:color="auto"/>
      </w:divBdr>
    </w:div>
    <w:div w:id="211355962">
      <w:bodyDiv w:val="1"/>
      <w:marLeft w:val="0"/>
      <w:marRight w:val="0"/>
      <w:marTop w:val="0"/>
      <w:marBottom w:val="0"/>
      <w:divBdr>
        <w:top w:val="none" w:sz="0" w:space="0" w:color="auto"/>
        <w:left w:val="none" w:sz="0" w:space="0" w:color="auto"/>
        <w:bottom w:val="none" w:sz="0" w:space="0" w:color="auto"/>
        <w:right w:val="none" w:sz="0" w:space="0" w:color="auto"/>
      </w:divBdr>
    </w:div>
    <w:div w:id="237523282">
      <w:bodyDiv w:val="1"/>
      <w:marLeft w:val="0"/>
      <w:marRight w:val="0"/>
      <w:marTop w:val="0"/>
      <w:marBottom w:val="0"/>
      <w:divBdr>
        <w:top w:val="none" w:sz="0" w:space="0" w:color="auto"/>
        <w:left w:val="none" w:sz="0" w:space="0" w:color="auto"/>
        <w:bottom w:val="none" w:sz="0" w:space="0" w:color="auto"/>
        <w:right w:val="none" w:sz="0" w:space="0" w:color="auto"/>
      </w:divBdr>
    </w:div>
    <w:div w:id="314183089">
      <w:bodyDiv w:val="1"/>
      <w:marLeft w:val="0"/>
      <w:marRight w:val="0"/>
      <w:marTop w:val="0"/>
      <w:marBottom w:val="0"/>
      <w:divBdr>
        <w:top w:val="none" w:sz="0" w:space="0" w:color="auto"/>
        <w:left w:val="none" w:sz="0" w:space="0" w:color="auto"/>
        <w:bottom w:val="none" w:sz="0" w:space="0" w:color="auto"/>
        <w:right w:val="none" w:sz="0" w:space="0" w:color="auto"/>
      </w:divBdr>
    </w:div>
    <w:div w:id="325985435">
      <w:bodyDiv w:val="1"/>
      <w:marLeft w:val="0"/>
      <w:marRight w:val="0"/>
      <w:marTop w:val="0"/>
      <w:marBottom w:val="0"/>
      <w:divBdr>
        <w:top w:val="none" w:sz="0" w:space="0" w:color="auto"/>
        <w:left w:val="none" w:sz="0" w:space="0" w:color="auto"/>
        <w:bottom w:val="none" w:sz="0" w:space="0" w:color="auto"/>
        <w:right w:val="none" w:sz="0" w:space="0" w:color="auto"/>
      </w:divBdr>
    </w:div>
    <w:div w:id="435515634">
      <w:bodyDiv w:val="1"/>
      <w:marLeft w:val="0"/>
      <w:marRight w:val="0"/>
      <w:marTop w:val="0"/>
      <w:marBottom w:val="0"/>
      <w:divBdr>
        <w:top w:val="none" w:sz="0" w:space="0" w:color="auto"/>
        <w:left w:val="none" w:sz="0" w:space="0" w:color="auto"/>
        <w:bottom w:val="none" w:sz="0" w:space="0" w:color="auto"/>
        <w:right w:val="none" w:sz="0" w:space="0" w:color="auto"/>
      </w:divBdr>
    </w:div>
    <w:div w:id="458183220">
      <w:bodyDiv w:val="1"/>
      <w:marLeft w:val="0"/>
      <w:marRight w:val="0"/>
      <w:marTop w:val="0"/>
      <w:marBottom w:val="0"/>
      <w:divBdr>
        <w:top w:val="none" w:sz="0" w:space="0" w:color="auto"/>
        <w:left w:val="none" w:sz="0" w:space="0" w:color="auto"/>
        <w:bottom w:val="none" w:sz="0" w:space="0" w:color="auto"/>
        <w:right w:val="none" w:sz="0" w:space="0" w:color="auto"/>
      </w:divBdr>
    </w:div>
    <w:div w:id="649023935">
      <w:bodyDiv w:val="1"/>
      <w:marLeft w:val="0"/>
      <w:marRight w:val="0"/>
      <w:marTop w:val="0"/>
      <w:marBottom w:val="0"/>
      <w:divBdr>
        <w:top w:val="none" w:sz="0" w:space="0" w:color="auto"/>
        <w:left w:val="none" w:sz="0" w:space="0" w:color="auto"/>
        <w:bottom w:val="none" w:sz="0" w:space="0" w:color="auto"/>
        <w:right w:val="none" w:sz="0" w:space="0" w:color="auto"/>
      </w:divBdr>
    </w:div>
    <w:div w:id="685134246">
      <w:bodyDiv w:val="1"/>
      <w:marLeft w:val="0"/>
      <w:marRight w:val="0"/>
      <w:marTop w:val="0"/>
      <w:marBottom w:val="0"/>
      <w:divBdr>
        <w:top w:val="none" w:sz="0" w:space="0" w:color="auto"/>
        <w:left w:val="none" w:sz="0" w:space="0" w:color="auto"/>
        <w:bottom w:val="none" w:sz="0" w:space="0" w:color="auto"/>
        <w:right w:val="none" w:sz="0" w:space="0" w:color="auto"/>
      </w:divBdr>
    </w:div>
    <w:div w:id="740565777">
      <w:bodyDiv w:val="1"/>
      <w:marLeft w:val="0"/>
      <w:marRight w:val="0"/>
      <w:marTop w:val="0"/>
      <w:marBottom w:val="0"/>
      <w:divBdr>
        <w:top w:val="none" w:sz="0" w:space="0" w:color="auto"/>
        <w:left w:val="none" w:sz="0" w:space="0" w:color="auto"/>
        <w:bottom w:val="none" w:sz="0" w:space="0" w:color="auto"/>
        <w:right w:val="none" w:sz="0" w:space="0" w:color="auto"/>
      </w:divBdr>
    </w:div>
    <w:div w:id="779758328">
      <w:bodyDiv w:val="1"/>
      <w:marLeft w:val="0"/>
      <w:marRight w:val="0"/>
      <w:marTop w:val="0"/>
      <w:marBottom w:val="0"/>
      <w:divBdr>
        <w:top w:val="none" w:sz="0" w:space="0" w:color="auto"/>
        <w:left w:val="none" w:sz="0" w:space="0" w:color="auto"/>
        <w:bottom w:val="none" w:sz="0" w:space="0" w:color="auto"/>
        <w:right w:val="none" w:sz="0" w:space="0" w:color="auto"/>
      </w:divBdr>
    </w:div>
    <w:div w:id="957906241">
      <w:bodyDiv w:val="1"/>
      <w:marLeft w:val="0"/>
      <w:marRight w:val="0"/>
      <w:marTop w:val="0"/>
      <w:marBottom w:val="0"/>
      <w:divBdr>
        <w:top w:val="none" w:sz="0" w:space="0" w:color="auto"/>
        <w:left w:val="none" w:sz="0" w:space="0" w:color="auto"/>
        <w:bottom w:val="none" w:sz="0" w:space="0" w:color="auto"/>
        <w:right w:val="none" w:sz="0" w:space="0" w:color="auto"/>
      </w:divBdr>
    </w:div>
    <w:div w:id="964625406">
      <w:bodyDiv w:val="1"/>
      <w:marLeft w:val="0"/>
      <w:marRight w:val="0"/>
      <w:marTop w:val="0"/>
      <w:marBottom w:val="0"/>
      <w:divBdr>
        <w:top w:val="none" w:sz="0" w:space="0" w:color="auto"/>
        <w:left w:val="none" w:sz="0" w:space="0" w:color="auto"/>
        <w:bottom w:val="none" w:sz="0" w:space="0" w:color="auto"/>
        <w:right w:val="none" w:sz="0" w:space="0" w:color="auto"/>
      </w:divBdr>
    </w:div>
    <w:div w:id="1020086197">
      <w:bodyDiv w:val="1"/>
      <w:marLeft w:val="0"/>
      <w:marRight w:val="0"/>
      <w:marTop w:val="0"/>
      <w:marBottom w:val="0"/>
      <w:divBdr>
        <w:top w:val="none" w:sz="0" w:space="0" w:color="auto"/>
        <w:left w:val="none" w:sz="0" w:space="0" w:color="auto"/>
        <w:bottom w:val="none" w:sz="0" w:space="0" w:color="auto"/>
        <w:right w:val="none" w:sz="0" w:space="0" w:color="auto"/>
      </w:divBdr>
    </w:div>
    <w:div w:id="1108894256">
      <w:bodyDiv w:val="1"/>
      <w:marLeft w:val="0"/>
      <w:marRight w:val="0"/>
      <w:marTop w:val="0"/>
      <w:marBottom w:val="0"/>
      <w:divBdr>
        <w:top w:val="none" w:sz="0" w:space="0" w:color="auto"/>
        <w:left w:val="none" w:sz="0" w:space="0" w:color="auto"/>
        <w:bottom w:val="none" w:sz="0" w:space="0" w:color="auto"/>
        <w:right w:val="none" w:sz="0" w:space="0" w:color="auto"/>
      </w:divBdr>
    </w:div>
    <w:div w:id="1171483193">
      <w:bodyDiv w:val="1"/>
      <w:marLeft w:val="0"/>
      <w:marRight w:val="0"/>
      <w:marTop w:val="0"/>
      <w:marBottom w:val="0"/>
      <w:divBdr>
        <w:top w:val="none" w:sz="0" w:space="0" w:color="auto"/>
        <w:left w:val="none" w:sz="0" w:space="0" w:color="auto"/>
        <w:bottom w:val="none" w:sz="0" w:space="0" w:color="auto"/>
        <w:right w:val="none" w:sz="0" w:space="0" w:color="auto"/>
      </w:divBdr>
    </w:div>
    <w:div w:id="1268270181">
      <w:bodyDiv w:val="1"/>
      <w:marLeft w:val="0"/>
      <w:marRight w:val="0"/>
      <w:marTop w:val="0"/>
      <w:marBottom w:val="0"/>
      <w:divBdr>
        <w:top w:val="none" w:sz="0" w:space="0" w:color="auto"/>
        <w:left w:val="none" w:sz="0" w:space="0" w:color="auto"/>
        <w:bottom w:val="none" w:sz="0" w:space="0" w:color="auto"/>
        <w:right w:val="none" w:sz="0" w:space="0" w:color="auto"/>
      </w:divBdr>
    </w:div>
    <w:div w:id="1288655896">
      <w:bodyDiv w:val="1"/>
      <w:marLeft w:val="0"/>
      <w:marRight w:val="0"/>
      <w:marTop w:val="0"/>
      <w:marBottom w:val="0"/>
      <w:divBdr>
        <w:top w:val="none" w:sz="0" w:space="0" w:color="auto"/>
        <w:left w:val="none" w:sz="0" w:space="0" w:color="auto"/>
        <w:bottom w:val="none" w:sz="0" w:space="0" w:color="auto"/>
        <w:right w:val="none" w:sz="0" w:space="0" w:color="auto"/>
      </w:divBdr>
    </w:div>
    <w:div w:id="1471286981">
      <w:bodyDiv w:val="1"/>
      <w:marLeft w:val="0"/>
      <w:marRight w:val="0"/>
      <w:marTop w:val="0"/>
      <w:marBottom w:val="0"/>
      <w:divBdr>
        <w:top w:val="none" w:sz="0" w:space="0" w:color="auto"/>
        <w:left w:val="none" w:sz="0" w:space="0" w:color="auto"/>
        <w:bottom w:val="none" w:sz="0" w:space="0" w:color="auto"/>
        <w:right w:val="none" w:sz="0" w:space="0" w:color="auto"/>
      </w:divBdr>
    </w:div>
    <w:div w:id="1602957668">
      <w:bodyDiv w:val="1"/>
      <w:marLeft w:val="0"/>
      <w:marRight w:val="0"/>
      <w:marTop w:val="0"/>
      <w:marBottom w:val="0"/>
      <w:divBdr>
        <w:top w:val="none" w:sz="0" w:space="0" w:color="auto"/>
        <w:left w:val="none" w:sz="0" w:space="0" w:color="auto"/>
        <w:bottom w:val="none" w:sz="0" w:space="0" w:color="auto"/>
        <w:right w:val="none" w:sz="0" w:space="0" w:color="auto"/>
      </w:divBdr>
    </w:div>
    <w:div w:id="1672635840">
      <w:bodyDiv w:val="1"/>
      <w:marLeft w:val="0"/>
      <w:marRight w:val="0"/>
      <w:marTop w:val="0"/>
      <w:marBottom w:val="0"/>
      <w:divBdr>
        <w:top w:val="none" w:sz="0" w:space="0" w:color="auto"/>
        <w:left w:val="none" w:sz="0" w:space="0" w:color="auto"/>
        <w:bottom w:val="none" w:sz="0" w:space="0" w:color="auto"/>
        <w:right w:val="none" w:sz="0" w:space="0" w:color="auto"/>
      </w:divBdr>
    </w:div>
    <w:div w:id="1686901709">
      <w:bodyDiv w:val="1"/>
      <w:marLeft w:val="0"/>
      <w:marRight w:val="0"/>
      <w:marTop w:val="0"/>
      <w:marBottom w:val="0"/>
      <w:divBdr>
        <w:top w:val="none" w:sz="0" w:space="0" w:color="auto"/>
        <w:left w:val="none" w:sz="0" w:space="0" w:color="auto"/>
        <w:bottom w:val="none" w:sz="0" w:space="0" w:color="auto"/>
        <w:right w:val="none" w:sz="0" w:space="0" w:color="auto"/>
      </w:divBdr>
    </w:div>
    <w:div w:id="1814365346">
      <w:bodyDiv w:val="1"/>
      <w:marLeft w:val="0"/>
      <w:marRight w:val="0"/>
      <w:marTop w:val="0"/>
      <w:marBottom w:val="0"/>
      <w:divBdr>
        <w:top w:val="none" w:sz="0" w:space="0" w:color="auto"/>
        <w:left w:val="none" w:sz="0" w:space="0" w:color="auto"/>
        <w:bottom w:val="none" w:sz="0" w:space="0" w:color="auto"/>
        <w:right w:val="none" w:sz="0" w:space="0" w:color="auto"/>
      </w:divBdr>
    </w:div>
    <w:div w:id="1840459596">
      <w:bodyDiv w:val="1"/>
      <w:marLeft w:val="0"/>
      <w:marRight w:val="0"/>
      <w:marTop w:val="0"/>
      <w:marBottom w:val="0"/>
      <w:divBdr>
        <w:top w:val="none" w:sz="0" w:space="0" w:color="auto"/>
        <w:left w:val="none" w:sz="0" w:space="0" w:color="auto"/>
        <w:bottom w:val="none" w:sz="0" w:space="0" w:color="auto"/>
        <w:right w:val="none" w:sz="0" w:space="0" w:color="auto"/>
      </w:divBdr>
    </w:div>
    <w:div w:id="2030832868">
      <w:bodyDiv w:val="1"/>
      <w:marLeft w:val="0"/>
      <w:marRight w:val="0"/>
      <w:marTop w:val="0"/>
      <w:marBottom w:val="0"/>
      <w:divBdr>
        <w:top w:val="none" w:sz="0" w:space="0" w:color="auto"/>
        <w:left w:val="none" w:sz="0" w:space="0" w:color="auto"/>
        <w:bottom w:val="none" w:sz="0" w:space="0" w:color="auto"/>
        <w:right w:val="none" w:sz="0" w:space="0" w:color="auto"/>
      </w:divBdr>
    </w:div>
    <w:div w:id="2033459923">
      <w:bodyDiv w:val="1"/>
      <w:marLeft w:val="0"/>
      <w:marRight w:val="0"/>
      <w:marTop w:val="0"/>
      <w:marBottom w:val="0"/>
      <w:divBdr>
        <w:top w:val="none" w:sz="0" w:space="0" w:color="auto"/>
        <w:left w:val="none" w:sz="0" w:space="0" w:color="auto"/>
        <w:bottom w:val="none" w:sz="0" w:space="0" w:color="auto"/>
        <w:right w:val="none" w:sz="0" w:space="0" w:color="auto"/>
      </w:divBdr>
    </w:div>
    <w:div w:id="20998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29193-4E70-446E-9121-5A7BA9C3213C}">
  <ds:schemaRefs>
    <ds:schemaRef ds:uri="http://schemas.microsoft.com/office/2006/metadata/properties"/>
    <ds:schemaRef ds:uri="http://schemas.microsoft.com/office/infopath/2007/PartnerControls"/>
    <ds:schemaRef ds:uri="1b66131c-dde2-47eb-aab6-bf4e8932aef7"/>
    <ds:schemaRef ds:uri="985ec44e-1bab-4c0b-9df0-6ba128686fc9"/>
  </ds:schemaRefs>
</ds:datastoreItem>
</file>

<file path=customXml/itemProps2.xml><?xml version="1.0" encoding="utf-8"?>
<ds:datastoreItem xmlns:ds="http://schemas.openxmlformats.org/officeDocument/2006/customXml" ds:itemID="{85A21316-25CA-4639-8C45-23E5E2F6A004}"/>
</file>

<file path=customXml/itemProps3.xml><?xml version="1.0" encoding="utf-8"?>
<ds:datastoreItem xmlns:ds="http://schemas.openxmlformats.org/officeDocument/2006/customXml" ds:itemID="{21DF0A6D-1512-4CE4-9254-B25318DC8D32}">
  <ds:schemaRefs>
    <ds:schemaRef ds:uri="http://schemas.microsoft.com/sharepoint/v3/contenttype/forms"/>
  </ds:schemaRefs>
</ds:datastoreItem>
</file>

<file path=customXml/itemProps4.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Plekhanov</dc:creator>
  <cp:keywords/>
  <dc:description/>
  <cp:lastModifiedBy>Juan Jose Martinez Badillo</cp:lastModifiedBy>
  <cp:revision>23</cp:revision>
  <dcterms:created xsi:type="dcterms:W3CDTF">2024-10-07T14:17:00Z</dcterms:created>
  <dcterms:modified xsi:type="dcterms:W3CDTF">2024-10-15T21:25:00Z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0x01010098E67939E49F43488880277401A25400</vt:lpwstr>
  </property>
</Properties>
</file>