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01DF7" w14:textId="77777777" w:rsidR="00E87662" w:rsidRDefault="00E87662" w:rsidP="00E14CEC">
      <w:pPr>
        <w:jc w:val="center"/>
        <w:rPr>
          <w:b/>
          <w:bCs/>
          <w:sz w:val="36"/>
          <w:szCs w:val="36"/>
        </w:rPr>
      </w:pPr>
      <w:r w:rsidRPr="00E87662">
        <w:rPr>
          <w:b/>
          <w:bCs/>
          <w:sz w:val="36"/>
          <w:szCs w:val="36"/>
        </w:rPr>
        <w:t>UNCTAD Financing Brief for FFD4</w:t>
      </w:r>
    </w:p>
    <w:p w14:paraId="2C8E35F7" w14:textId="1F225D85" w:rsidR="008055A7" w:rsidRDefault="00A9676A" w:rsidP="00E14C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Sovereign </w:t>
      </w:r>
      <w:r w:rsidRPr="00E14CEC">
        <w:rPr>
          <w:b/>
          <w:bCs/>
          <w:sz w:val="28"/>
          <w:szCs w:val="28"/>
        </w:rPr>
        <w:t>Debt Workout Mechanisms</w:t>
      </w:r>
      <w:r>
        <w:rPr>
          <w:b/>
          <w:bCs/>
          <w:sz w:val="28"/>
          <w:szCs w:val="28"/>
        </w:rPr>
        <w:t>: The G20 Common Framework and Beyond</w:t>
      </w:r>
    </w:p>
    <w:p w14:paraId="4B60E87F" w14:textId="77777777" w:rsidR="00D5183B" w:rsidRDefault="00D5183B" w:rsidP="008C5D61">
      <w:pPr>
        <w:rPr>
          <w:b/>
          <w:bCs/>
        </w:rPr>
      </w:pPr>
    </w:p>
    <w:p w14:paraId="02B0B753" w14:textId="77777777" w:rsidR="00D5183B" w:rsidRDefault="00D5183B" w:rsidP="008C5D61">
      <w:pPr>
        <w:rPr>
          <w:b/>
          <w:bCs/>
        </w:rPr>
      </w:pPr>
    </w:p>
    <w:p w14:paraId="5220655F" w14:textId="5FC42448" w:rsidR="008C5D61" w:rsidRDefault="008C5D61" w:rsidP="008C5D61">
      <w:pPr>
        <w:rPr>
          <w:b/>
          <w:bCs/>
        </w:rPr>
      </w:pPr>
      <w:r>
        <w:rPr>
          <w:b/>
          <w:bCs/>
        </w:rPr>
        <w:t>INTRO</w:t>
      </w:r>
      <w:r w:rsidR="00505FBC">
        <w:rPr>
          <w:b/>
          <w:bCs/>
        </w:rPr>
        <w:t>DUCTION</w:t>
      </w:r>
    </w:p>
    <w:p w14:paraId="2E079B33" w14:textId="158BA514" w:rsidR="009D2DE4" w:rsidRDefault="00B4555E" w:rsidP="00BC2268">
      <w:pPr>
        <w:jc w:val="both"/>
      </w:pPr>
      <w:r>
        <w:t>T</w:t>
      </w:r>
      <w:r w:rsidRPr="005A0952">
        <w:t xml:space="preserve">he </w:t>
      </w:r>
      <w:r w:rsidR="001B13E7">
        <w:t>first three</w:t>
      </w:r>
      <w:r w:rsidR="00E7474A">
        <w:t xml:space="preserve"> Financing for Development Conferences, which led respectively to the </w:t>
      </w:r>
      <w:r w:rsidRPr="005A0952">
        <w:t xml:space="preserve">Monterrey </w:t>
      </w:r>
      <w:r>
        <w:t>C</w:t>
      </w:r>
      <w:r w:rsidRPr="005A0952">
        <w:t xml:space="preserve">onsensus, the Doha Declaration and the Addis Ababa Action Agenda </w:t>
      </w:r>
      <w:r>
        <w:t>(AAAA)</w:t>
      </w:r>
      <w:r w:rsidR="00E73E2C">
        <w:t>,</w:t>
      </w:r>
      <w:r>
        <w:t xml:space="preserve"> stress</w:t>
      </w:r>
      <w:r w:rsidR="00E7474A">
        <w:t>ed</w:t>
      </w:r>
      <w:r>
        <w:t xml:space="preserve"> </w:t>
      </w:r>
      <w:r w:rsidR="00E7474A">
        <w:t xml:space="preserve">the role of </w:t>
      </w:r>
      <w:r>
        <w:t>s</w:t>
      </w:r>
      <w:r w:rsidR="00894F6E">
        <w:t>overeign e</w:t>
      </w:r>
      <w:r w:rsidR="00640F0E" w:rsidRPr="00A03599">
        <w:t xml:space="preserve">xternal </w:t>
      </w:r>
      <w:r w:rsidR="002C78B7">
        <w:t xml:space="preserve">debt </w:t>
      </w:r>
      <w:r w:rsidR="00E7474A">
        <w:t xml:space="preserve">as </w:t>
      </w:r>
      <w:r w:rsidR="008F0054">
        <w:t xml:space="preserve">an important </w:t>
      </w:r>
      <w:r w:rsidR="0029775C">
        <w:t xml:space="preserve">tool </w:t>
      </w:r>
      <w:r w:rsidR="008F0054">
        <w:t xml:space="preserve">for mobilizing </w:t>
      </w:r>
      <w:r w:rsidR="00A33447">
        <w:t xml:space="preserve">resources for public investments </w:t>
      </w:r>
      <w:r w:rsidR="00D618C2">
        <w:t>towards achieving</w:t>
      </w:r>
      <w:r w:rsidR="00175BAA">
        <w:t xml:space="preserve"> sustainable development</w:t>
      </w:r>
      <w:r w:rsidR="00D618C2">
        <w:t xml:space="preserve">. </w:t>
      </w:r>
      <w:r w:rsidR="000B0C44">
        <w:t>Ho</w:t>
      </w:r>
      <w:r w:rsidR="007B77E4">
        <w:t xml:space="preserve">wever, sovereign external debt for developing countries carries the </w:t>
      </w:r>
      <w:r w:rsidR="005D287B">
        <w:t>perpetual risk that foreign currency earnings must be generated</w:t>
      </w:r>
      <w:r w:rsidR="006A59B7">
        <w:t xml:space="preserve">, which </w:t>
      </w:r>
      <w:r w:rsidR="00DF0661">
        <w:t>depends</w:t>
      </w:r>
      <w:r w:rsidR="00A32289">
        <w:t xml:space="preserve"> significantly</w:t>
      </w:r>
      <w:r w:rsidR="00DF0661">
        <w:t xml:space="preserve"> on </w:t>
      </w:r>
      <w:r w:rsidR="00805C9F">
        <w:t xml:space="preserve">exogenous factors, such as </w:t>
      </w:r>
      <w:r w:rsidR="00DF0661">
        <w:t>external demand and</w:t>
      </w:r>
      <w:r w:rsidR="009D2DE4">
        <w:t xml:space="preserve"> terms of trade</w:t>
      </w:r>
      <w:r w:rsidR="00696A11">
        <w:t xml:space="preserve">. </w:t>
      </w:r>
    </w:p>
    <w:p w14:paraId="09C4285C" w14:textId="6162B158" w:rsidR="006526CC" w:rsidRDefault="00C46C88" w:rsidP="00BC2268">
      <w:pPr>
        <w:jc w:val="both"/>
      </w:pPr>
      <w:r>
        <w:t>D</w:t>
      </w:r>
      <w:r w:rsidR="00D76D3D">
        <w:t xml:space="preserve">eveloping countries’ debt sustainability </w:t>
      </w:r>
      <w:r w:rsidR="005D2B93">
        <w:t xml:space="preserve">has deteriorated substantially since </w:t>
      </w:r>
      <w:r w:rsidR="004739E2">
        <w:t xml:space="preserve">the AAAA. </w:t>
      </w:r>
      <w:r w:rsidR="00815EB6">
        <w:t xml:space="preserve"> </w:t>
      </w:r>
      <w:r w:rsidR="004739E2">
        <w:t>C</w:t>
      </w:r>
      <w:r w:rsidR="00CE66A0" w:rsidRPr="00A03599">
        <w:t xml:space="preserve">ascading crises </w:t>
      </w:r>
      <w:r w:rsidR="00FF00FD">
        <w:t>intensif</w:t>
      </w:r>
      <w:r w:rsidR="00814418">
        <w:t>ied</w:t>
      </w:r>
      <w:r w:rsidR="00CE66A0" w:rsidRPr="00A03599">
        <w:t xml:space="preserve"> what was already an unsustainable position for many developing countries</w:t>
      </w:r>
      <w:r w:rsidR="00851932">
        <w:t xml:space="preserve"> on the eve of the COVID-19 pandemic</w:t>
      </w:r>
      <w:r w:rsidR="006C692F">
        <w:t>.</w:t>
      </w:r>
      <w:r w:rsidR="00851932">
        <w:t xml:space="preserve"> </w:t>
      </w:r>
      <w:r w:rsidR="00211EFD">
        <w:t>A</w:t>
      </w:r>
      <w:r w:rsidR="00211EFD" w:rsidRPr="00A03599">
        <w:t xml:space="preserve"> development crisis is underway, with external and public debt service draining resources away from the 2030 Agenda and the Paris Agreement ambitions.</w:t>
      </w:r>
      <w:r w:rsidR="00E44761">
        <w:t xml:space="preserve"> </w:t>
      </w:r>
      <w:r w:rsidR="00A70CA0">
        <w:t xml:space="preserve"> </w:t>
      </w:r>
    </w:p>
    <w:p w14:paraId="455CC15F" w14:textId="195E7AE8" w:rsidR="008141E1" w:rsidRDefault="00A70CA0" w:rsidP="00A03599">
      <w:pPr>
        <w:jc w:val="both"/>
      </w:pPr>
      <w:r>
        <w:t xml:space="preserve">To address </w:t>
      </w:r>
      <w:r w:rsidR="006526CC">
        <w:t>th</w:t>
      </w:r>
      <w:r w:rsidR="002741FF">
        <w:t>is</w:t>
      </w:r>
      <w:r w:rsidR="0047289D">
        <w:t xml:space="preserve"> </w:t>
      </w:r>
      <w:r w:rsidR="00F61886">
        <w:t xml:space="preserve">crisis, it is necessary to respond to the call of </w:t>
      </w:r>
      <w:r w:rsidR="00487FDC">
        <w:t xml:space="preserve">the </w:t>
      </w:r>
      <w:r w:rsidR="004D518D">
        <w:t xml:space="preserve">first </w:t>
      </w:r>
      <w:r w:rsidR="00DA42F3">
        <w:t>three</w:t>
      </w:r>
      <w:r w:rsidR="00DA42F3" w:rsidDel="003C276D">
        <w:t xml:space="preserve"> </w:t>
      </w:r>
      <w:r w:rsidR="00487FDC">
        <w:t xml:space="preserve">FfD conferences </w:t>
      </w:r>
      <w:r w:rsidR="00293ADC">
        <w:t>for</w:t>
      </w:r>
      <w:r w:rsidR="00A03599">
        <w:t xml:space="preserve"> </w:t>
      </w:r>
      <w:r w:rsidR="00080527">
        <w:t xml:space="preserve">a </w:t>
      </w:r>
      <w:r w:rsidR="00A03599">
        <w:t xml:space="preserve">mechanism to </w:t>
      </w:r>
      <w:r w:rsidR="00A03599" w:rsidRPr="005A0952">
        <w:t xml:space="preserve">ensure </w:t>
      </w:r>
      <w:r w:rsidR="00A03599">
        <w:t xml:space="preserve">a </w:t>
      </w:r>
      <w:r w:rsidR="000F4F0F" w:rsidRPr="005A0952">
        <w:t xml:space="preserve">timely, orderly, fair and effective debt </w:t>
      </w:r>
      <w:r w:rsidR="002C1359">
        <w:t xml:space="preserve">workout </w:t>
      </w:r>
      <w:r w:rsidR="00A03599">
        <w:t xml:space="preserve">for developing countries. </w:t>
      </w:r>
      <w:r w:rsidR="00C62E22">
        <w:t>Section 2 propose</w:t>
      </w:r>
      <w:r w:rsidR="006A59B7">
        <w:t>s</w:t>
      </w:r>
      <w:r w:rsidR="00C62E22">
        <w:t xml:space="preserve"> a </w:t>
      </w:r>
      <w:r w:rsidR="00080527">
        <w:t xml:space="preserve">two-step </w:t>
      </w:r>
      <w:r w:rsidR="003B6A60">
        <w:t xml:space="preserve">approach </w:t>
      </w:r>
      <w:r w:rsidR="00C62E22">
        <w:t xml:space="preserve">to </w:t>
      </w:r>
      <w:r w:rsidR="003A6E61">
        <w:t>fill this implementation gap</w:t>
      </w:r>
      <w:r w:rsidR="003B6A60">
        <w:t xml:space="preserve"> </w:t>
      </w:r>
      <w:r w:rsidR="005A399C">
        <w:t xml:space="preserve">in </w:t>
      </w:r>
      <w:r w:rsidR="00E24B27">
        <w:t>t</w:t>
      </w:r>
      <w:r w:rsidR="003B6A60">
        <w:t>he FfD process</w:t>
      </w:r>
      <w:r w:rsidR="00814418">
        <w:t>.</w:t>
      </w:r>
    </w:p>
    <w:p w14:paraId="7A872950" w14:textId="77777777" w:rsidR="00814418" w:rsidRDefault="00814418" w:rsidP="00A03599">
      <w:pPr>
        <w:jc w:val="both"/>
        <w:rPr>
          <w:b/>
          <w:bCs/>
        </w:rPr>
      </w:pPr>
    </w:p>
    <w:p w14:paraId="0B68B984" w14:textId="0D3224F2" w:rsidR="00505FBC" w:rsidRPr="008C5D61" w:rsidRDefault="00505FBC" w:rsidP="008C5D61">
      <w:pPr>
        <w:rPr>
          <w:b/>
          <w:bCs/>
        </w:rPr>
      </w:pPr>
      <w:r>
        <w:rPr>
          <w:b/>
          <w:bCs/>
        </w:rPr>
        <w:t>THE PROBLEM WITH THE STATUS QUO</w:t>
      </w:r>
    </w:p>
    <w:p w14:paraId="3EAD86FD" w14:textId="3A4F32BA" w:rsidR="008D7A13" w:rsidRDefault="007E1149" w:rsidP="008141E1">
      <w:pPr>
        <w:jc w:val="both"/>
      </w:pPr>
      <w:r>
        <w:t xml:space="preserve">The total external debt of developing countries </w:t>
      </w:r>
      <w:r w:rsidR="0010029A">
        <w:t xml:space="preserve">grew </w:t>
      </w:r>
      <w:r>
        <w:t xml:space="preserve">from US$4.9 trillion in 2010 to </w:t>
      </w:r>
      <w:r w:rsidR="00453A01">
        <w:t xml:space="preserve">an estimated </w:t>
      </w:r>
      <w:r>
        <w:t>US$11.4 trillion in 2023</w:t>
      </w:r>
      <w:r w:rsidR="006A59B7">
        <w:t>. T</w:t>
      </w:r>
      <w:r>
        <w:t xml:space="preserve">he annual costs of servicing this debt increased </w:t>
      </w:r>
      <w:r w:rsidR="0010029A">
        <w:t xml:space="preserve">more than proportionally </w:t>
      </w:r>
      <w:r>
        <w:t>from US$</w:t>
      </w:r>
      <w:r w:rsidR="0010029A">
        <w:t>0.53 trillion</w:t>
      </w:r>
      <w:r>
        <w:t xml:space="preserve"> to over US$1.4 trillion over the same period</w:t>
      </w:r>
      <w:r w:rsidR="005E0116">
        <w:rPr>
          <w:rStyle w:val="FootnoteReference"/>
        </w:rPr>
        <w:footnoteReference w:id="1"/>
      </w:r>
      <w:r>
        <w:t>.</w:t>
      </w:r>
      <w:r w:rsidR="00A2213B">
        <w:t xml:space="preserve">  </w:t>
      </w:r>
      <w:r w:rsidR="00760927">
        <w:t xml:space="preserve">However, </w:t>
      </w:r>
      <w:r w:rsidR="00066506">
        <w:t>countries’</w:t>
      </w:r>
      <w:r w:rsidR="00760927">
        <w:t xml:space="preserve"> </w:t>
      </w:r>
      <w:r w:rsidR="00FA3A01">
        <w:t xml:space="preserve">debt </w:t>
      </w:r>
      <w:r w:rsidR="00760927">
        <w:t xml:space="preserve">experience </w:t>
      </w:r>
      <w:r w:rsidR="005B79A2">
        <w:t>is highly variable and influenced b</w:t>
      </w:r>
      <w:r w:rsidR="00C16E93">
        <w:t xml:space="preserve">y </w:t>
      </w:r>
      <w:r w:rsidR="00066506">
        <w:t xml:space="preserve">their </w:t>
      </w:r>
      <w:r w:rsidR="00660E62">
        <w:t>income</w:t>
      </w:r>
      <w:r w:rsidR="006A62BD">
        <w:t xml:space="preserve"> </w:t>
      </w:r>
      <w:r w:rsidR="00660E62">
        <w:t>level</w:t>
      </w:r>
      <w:r w:rsidR="006C448E">
        <w:t xml:space="preserve"> and </w:t>
      </w:r>
      <w:r w:rsidR="00C16E93">
        <w:t xml:space="preserve">level of </w:t>
      </w:r>
      <w:r w:rsidR="00402FAE">
        <w:t>international</w:t>
      </w:r>
      <w:r w:rsidR="00660E62">
        <w:t xml:space="preserve"> financial</w:t>
      </w:r>
      <w:r w:rsidR="00402FAE">
        <w:t xml:space="preserve"> </w:t>
      </w:r>
      <w:r w:rsidR="00C16E93">
        <w:t>integration</w:t>
      </w:r>
      <w:r w:rsidR="00660E62">
        <w:t xml:space="preserve">. </w:t>
      </w:r>
      <w:r w:rsidR="007452E6">
        <w:t>We identify</w:t>
      </w:r>
      <w:r w:rsidR="00117B57">
        <w:t xml:space="preserve"> three distinct groups: Emerging </w:t>
      </w:r>
      <w:r w:rsidR="002B00D6">
        <w:t xml:space="preserve">Market Economies </w:t>
      </w:r>
      <w:r w:rsidR="00B22F45">
        <w:t>(EMEs)</w:t>
      </w:r>
      <w:r w:rsidR="001C22DA">
        <w:t>,</w:t>
      </w:r>
      <w:r w:rsidR="00B22F45">
        <w:t xml:space="preserve"> </w:t>
      </w:r>
      <w:r w:rsidR="008315B6">
        <w:t>which</w:t>
      </w:r>
      <w:r w:rsidR="002B00D6">
        <w:t xml:space="preserve"> </w:t>
      </w:r>
      <w:r w:rsidR="00BE619A">
        <w:t xml:space="preserve">are </w:t>
      </w:r>
      <w:r w:rsidR="00CA6256">
        <w:t>primari</w:t>
      </w:r>
      <w:r w:rsidR="005869C4">
        <w:t xml:space="preserve">ly </w:t>
      </w:r>
      <w:r w:rsidR="002F696D">
        <w:t>upper-middle</w:t>
      </w:r>
      <w:r w:rsidR="001E041D">
        <w:t>-</w:t>
      </w:r>
      <w:r w:rsidR="002F696D">
        <w:t xml:space="preserve">income </w:t>
      </w:r>
      <w:r w:rsidR="00BE619A">
        <w:t xml:space="preserve">countries that </w:t>
      </w:r>
      <w:r w:rsidR="002B00D6">
        <w:t xml:space="preserve">integrated into </w:t>
      </w:r>
      <w:r w:rsidR="00B15C3C">
        <w:t xml:space="preserve">the </w:t>
      </w:r>
      <w:r w:rsidR="002B00D6">
        <w:t xml:space="preserve">global </w:t>
      </w:r>
      <w:r w:rsidR="00B15C3C">
        <w:t xml:space="preserve">capital </w:t>
      </w:r>
      <w:r w:rsidR="002B00D6">
        <w:t>market in the 1990s</w:t>
      </w:r>
      <w:r w:rsidR="008315B6">
        <w:t xml:space="preserve">; </w:t>
      </w:r>
      <w:r w:rsidR="00261FCB">
        <w:t xml:space="preserve">Frontier Market Economies </w:t>
      </w:r>
      <w:r w:rsidR="00B22F45">
        <w:t>(FMEs)</w:t>
      </w:r>
      <w:r w:rsidR="001C22DA">
        <w:t>,</w:t>
      </w:r>
      <w:r w:rsidR="00167F57">
        <w:t xml:space="preserve"> </w:t>
      </w:r>
      <w:r w:rsidR="008315B6">
        <w:t>which</w:t>
      </w:r>
      <w:r w:rsidR="00261FCB">
        <w:t xml:space="preserve"> </w:t>
      </w:r>
      <w:r w:rsidR="0047242E">
        <w:t>are</w:t>
      </w:r>
      <w:r w:rsidR="00457FB7">
        <w:t xml:space="preserve"> </w:t>
      </w:r>
      <w:r w:rsidR="00CA6256">
        <w:t xml:space="preserve">mostly </w:t>
      </w:r>
      <w:r w:rsidR="00457FB7" w:rsidRPr="0075629B">
        <w:rPr>
          <w:rFonts w:ascii="HelveticaNeueLT Std" w:hAnsi="HelveticaNeueLT Std" w:cs="Calibri"/>
          <w:sz w:val="22"/>
          <w:szCs w:val="22"/>
        </w:rPr>
        <w:t xml:space="preserve">lower-middle-income </w:t>
      </w:r>
      <w:r w:rsidR="00457FB7">
        <w:rPr>
          <w:rFonts w:ascii="HelveticaNeueLT Std" w:hAnsi="HelveticaNeueLT Std" w:cs="Calibri"/>
          <w:sz w:val="22"/>
          <w:szCs w:val="22"/>
        </w:rPr>
        <w:t xml:space="preserve">countries that </w:t>
      </w:r>
      <w:r w:rsidR="00261FCB">
        <w:t xml:space="preserve">integrated after the 2008 </w:t>
      </w:r>
      <w:r w:rsidR="00457FB7">
        <w:t>G</w:t>
      </w:r>
      <w:r w:rsidR="00261FCB">
        <w:t xml:space="preserve">lobal </w:t>
      </w:r>
      <w:r w:rsidR="00457FB7">
        <w:t>F</w:t>
      </w:r>
      <w:r w:rsidR="00261FCB">
        <w:t xml:space="preserve">inancial </w:t>
      </w:r>
      <w:r w:rsidR="00457FB7">
        <w:t>C</w:t>
      </w:r>
      <w:r w:rsidR="00261FCB">
        <w:t xml:space="preserve">risis </w:t>
      </w:r>
      <w:r w:rsidR="00167F57">
        <w:t xml:space="preserve">and </w:t>
      </w:r>
      <w:r w:rsidR="006407CE">
        <w:t xml:space="preserve">Other Developing Economies </w:t>
      </w:r>
      <w:r w:rsidR="00167F57">
        <w:t xml:space="preserve">(ODEs) </w:t>
      </w:r>
      <w:r w:rsidR="007C7FDB">
        <w:t xml:space="preserve">that </w:t>
      </w:r>
      <w:r w:rsidR="00CA6256">
        <w:t xml:space="preserve">are mainly </w:t>
      </w:r>
      <w:r w:rsidR="008315B6">
        <w:lastRenderedPageBreak/>
        <w:t>lower-middle and low-income countrie</w:t>
      </w:r>
      <w:r w:rsidR="00CD0A79">
        <w:t>s, which</w:t>
      </w:r>
      <w:r w:rsidR="008315B6">
        <w:t xml:space="preserve"> </w:t>
      </w:r>
      <w:r w:rsidR="007C7FDB">
        <w:t xml:space="preserve">have limited </w:t>
      </w:r>
      <w:r w:rsidR="00B15C3C">
        <w:t xml:space="preserve">financial </w:t>
      </w:r>
      <w:r w:rsidR="007C7FDB">
        <w:t>integration and</w:t>
      </w:r>
      <w:r w:rsidR="00F62298">
        <w:t xml:space="preserve"> </w:t>
      </w:r>
      <w:r w:rsidR="00632CA5">
        <w:t xml:space="preserve">remain </w:t>
      </w:r>
      <w:r w:rsidR="00167F57">
        <w:t xml:space="preserve">reliant on </w:t>
      </w:r>
      <w:r w:rsidR="007A61EE">
        <w:t xml:space="preserve">official </w:t>
      </w:r>
      <w:r w:rsidR="00FA1981">
        <w:t>financial flows</w:t>
      </w:r>
      <w:r w:rsidR="00FE3CFE">
        <w:t xml:space="preserve"> (Figure 1)</w:t>
      </w:r>
      <w:r w:rsidR="00FA1981">
        <w:t xml:space="preserve">.  </w:t>
      </w:r>
      <w:r w:rsidR="007C7FDB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585"/>
      </w:tblGrid>
      <w:tr w:rsidR="00BE14A7" w14:paraId="00212F9D" w14:textId="77777777" w:rsidTr="005266FE">
        <w:tc>
          <w:tcPr>
            <w:tcW w:w="9016" w:type="dxa"/>
            <w:gridSpan w:val="2"/>
          </w:tcPr>
          <w:p w14:paraId="5D00BB60" w14:textId="0FCAD6F2" w:rsidR="00BE14A7" w:rsidRDefault="00BE14A7" w:rsidP="005266FE">
            <w:pPr>
              <w:pStyle w:val="Caption"/>
            </w:pPr>
            <w:r>
              <w:t xml:space="preserve">Figure </w:t>
            </w:r>
            <w:r w:rsidR="00EE5854">
              <w:fldChar w:fldCharType="begin"/>
            </w:r>
            <w:r w:rsidR="00EE5854">
              <w:instrText xml:space="preserve"> SEQ Figure \* ARABIC </w:instrText>
            </w:r>
            <w:r w:rsidR="00EE5854">
              <w:fldChar w:fldCharType="separate"/>
            </w:r>
            <w:r w:rsidR="00820A13">
              <w:rPr>
                <w:noProof/>
              </w:rPr>
              <w:t>1</w:t>
            </w:r>
            <w:r w:rsidR="00EE5854">
              <w:rPr>
                <w:noProof/>
              </w:rPr>
              <w:fldChar w:fldCharType="end"/>
            </w:r>
            <w:r>
              <w:t xml:space="preserve">: Number of </w:t>
            </w:r>
            <w:r w:rsidR="00B510C1">
              <w:t>EMEs, FMEs and ODEs</w:t>
            </w:r>
            <w:r>
              <w:t xml:space="preserve"> with improving and deteriorating external debt sustainability (left) and median changes in export and remittance earnings and external debt service costs (right)</w:t>
            </w:r>
          </w:p>
        </w:tc>
      </w:tr>
      <w:tr w:rsidR="00BE14A7" w14:paraId="084F6717" w14:textId="77777777" w:rsidTr="005266FE">
        <w:tc>
          <w:tcPr>
            <w:tcW w:w="4431" w:type="dxa"/>
          </w:tcPr>
          <w:p w14:paraId="142C566E" w14:textId="77777777" w:rsidR="00BE14A7" w:rsidRDefault="00BE14A7" w:rsidP="005266FE">
            <w:r>
              <w:rPr>
                <w:noProof/>
              </w:rPr>
              <w:drawing>
                <wp:inline distT="0" distB="0" distL="0" distR="0" wp14:anchorId="0548180D" wp14:editId="516988BF">
                  <wp:extent cx="2676525" cy="3766820"/>
                  <wp:effectExtent l="0" t="0" r="0" b="5080"/>
                  <wp:docPr id="77850390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FE6010-65C7-D6AC-461B-82E764EAF8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585" w:type="dxa"/>
          </w:tcPr>
          <w:p w14:paraId="03FC7CE1" w14:textId="77777777" w:rsidR="00BE14A7" w:rsidRDefault="00BE14A7" w:rsidP="005266FE">
            <w:r>
              <w:rPr>
                <w:noProof/>
              </w:rPr>
              <w:drawing>
                <wp:inline distT="0" distB="0" distL="0" distR="0" wp14:anchorId="64718FC8" wp14:editId="2C2789A6">
                  <wp:extent cx="2709545" cy="3828415"/>
                  <wp:effectExtent l="0" t="0" r="0" b="635"/>
                  <wp:docPr id="644916627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BBB50B4-03E4-2068-E9F3-42223D1B3D6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BE14A7" w14:paraId="53913917" w14:textId="77777777" w:rsidTr="005266FE">
        <w:tc>
          <w:tcPr>
            <w:tcW w:w="9016" w:type="dxa"/>
            <w:gridSpan w:val="2"/>
          </w:tcPr>
          <w:p w14:paraId="69328E7D" w14:textId="77777777" w:rsidR="00BE14A7" w:rsidRPr="00DB1E6B" w:rsidRDefault="00BE14A7" w:rsidP="005266FE">
            <w:pPr>
              <w:keepNext/>
              <w:spacing w:line="24" w:lineRule="atLeast"/>
              <w:rPr>
                <w:rFonts w:ascii="HelveticaNeueLT Std Lt" w:hAnsi="HelveticaNeueLT Std Lt" w:cstheme="minorHAnsi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HelveticaNeueLT Std Lt" w:hAnsi="HelveticaNeueLT Std Lt" w:cstheme="minorHAnsi"/>
                <w:color w:val="000000" w:themeColor="text1"/>
                <w:sz w:val="18"/>
                <w:szCs w:val="18"/>
              </w:rPr>
              <w:t xml:space="preserve">Source: </w:t>
            </w:r>
            <w:r w:rsidRPr="0075629B">
              <w:rPr>
                <w:rFonts w:ascii="HelveticaNeueLT Std Lt" w:hAnsi="HelveticaNeueLT Std Lt" w:cstheme="minorHAnsi"/>
                <w:color w:val="000000" w:themeColor="text1"/>
                <w:sz w:val="18"/>
                <w:szCs w:val="18"/>
              </w:rPr>
              <w:t xml:space="preserve">UNCTAD calculations based on World Bank </w:t>
            </w:r>
            <w:r w:rsidRPr="0075629B">
              <w:rPr>
                <w:rFonts w:ascii="HelveticaNeueLT Std Lt" w:hAnsi="HelveticaNeueLT Std Lt" w:cstheme="minorHAnsi"/>
                <w:i/>
                <w:iCs/>
                <w:color w:val="000000" w:themeColor="text1"/>
                <w:sz w:val="18"/>
                <w:szCs w:val="18"/>
              </w:rPr>
              <w:t>International Debt Statistics</w:t>
            </w:r>
            <w:r w:rsidRPr="0075629B">
              <w:rPr>
                <w:rFonts w:ascii="HelveticaNeueLT Std Lt" w:hAnsi="HelveticaNeueLT Std Lt" w:cstheme="minorHAnsi"/>
                <w:color w:val="000000" w:themeColor="text1"/>
                <w:sz w:val="18"/>
                <w:szCs w:val="18"/>
              </w:rPr>
              <w:t xml:space="preserve"> and IMF </w:t>
            </w:r>
            <w:r w:rsidRPr="0075629B">
              <w:rPr>
                <w:rFonts w:ascii="HelveticaNeueLT Std Lt" w:hAnsi="HelveticaNeueLT Std Lt" w:cstheme="minorHAnsi"/>
                <w:i/>
                <w:iCs/>
                <w:color w:val="000000" w:themeColor="text1"/>
                <w:sz w:val="18"/>
                <w:szCs w:val="18"/>
              </w:rPr>
              <w:t>World Economic Outlook</w:t>
            </w:r>
            <w:r w:rsidRPr="0075629B">
              <w:rPr>
                <w:rFonts w:ascii="HelveticaNeueLT Std Lt" w:hAnsi="HelveticaNeueLT Std Lt" w:cstheme="minorHAnsi"/>
                <w:color w:val="000000" w:themeColor="text1"/>
                <w:sz w:val="18"/>
                <w:szCs w:val="18"/>
              </w:rPr>
              <w:t>.</w:t>
            </w:r>
          </w:p>
        </w:tc>
      </w:tr>
    </w:tbl>
    <w:p w14:paraId="7CD75637" w14:textId="77777777" w:rsidR="00CC29F3" w:rsidRDefault="00CC29F3" w:rsidP="008141E1">
      <w:pPr>
        <w:jc w:val="both"/>
        <w:rPr>
          <w:i/>
          <w:iCs/>
          <w:color w:val="0E2841" w:themeColor="text2"/>
          <w:sz w:val="18"/>
          <w:szCs w:val="18"/>
        </w:rPr>
      </w:pPr>
    </w:p>
    <w:p w14:paraId="7350DF3D" w14:textId="413CCF3C" w:rsidR="007E1149" w:rsidRDefault="00626691" w:rsidP="008141E1">
      <w:pPr>
        <w:jc w:val="both"/>
      </w:pPr>
      <w:r>
        <w:t xml:space="preserve">Overall, </w:t>
      </w:r>
      <w:r w:rsidR="00923B2A">
        <w:t>6</w:t>
      </w:r>
      <w:r w:rsidR="00C156A8">
        <w:t>7</w:t>
      </w:r>
      <w:r w:rsidR="00923B2A">
        <w:t xml:space="preserve"> per cent of </w:t>
      </w:r>
      <w:r w:rsidR="00B2733B">
        <w:t xml:space="preserve">developing countries </w:t>
      </w:r>
      <w:r w:rsidR="00DC2F09">
        <w:t xml:space="preserve">experienced </w:t>
      </w:r>
      <w:r w:rsidR="00C56A29">
        <w:t xml:space="preserve">faster increases in the costs of servicing </w:t>
      </w:r>
      <w:r w:rsidR="00A96794">
        <w:t xml:space="preserve">their </w:t>
      </w:r>
      <w:r w:rsidR="00C56A29">
        <w:t>external debt</w:t>
      </w:r>
      <w:r w:rsidR="000D69E8">
        <w:t xml:space="preserve"> than </w:t>
      </w:r>
      <w:r w:rsidR="00923B2A">
        <w:t>in</w:t>
      </w:r>
      <w:r w:rsidR="000D69E8">
        <w:t xml:space="preserve"> their </w:t>
      </w:r>
      <w:r w:rsidR="00923B2A">
        <w:t>earnings from exports and remittances</w:t>
      </w:r>
      <w:r w:rsidR="003A4F80">
        <w:t xml:space="preserve"> between </w:t>
      </w:r>
      <w:r w:rsidR="00C460DD">
        <w:t>2017 and 2023</w:t>
      </w:r>
      <w:r w:rsidR="002749FE">
        <w:t xml:space="preserve"> - </w:t>
      </w:r>
      <w:r w:rsidR="001733C2">
        <w:t>signaling</w:t>
      </w:r>
      <w:r w:rsidR="00A11AAE">
        <w:t xml:space="preserve"> a relative deterioration in their external debt sustainability</w:t>
      </w:r>
      <w:r w:rsidR="00263070">
        <w:t>,</w:t>
      </w:r>
      <w:r w:rsidR="00A11AAE">
        <w:t xml:space="preserve"> a diminish</w:t>
      </w:r>
      <w:r w:rsidR="00EA5E06">
        <w:t>ing</w:t>
      </w:r>
      <w:r w:rsidR="00A11AAE">
        <w:t xml:space="preserve"> capacity to pursue their respective development and climate agendas</w:t>
      </w:r>
      <w:r w:rsidR="00DB1F95">
        <w:t>, and an increased risk of debt distress</w:t>
      </w:r>
      <w:r w:rsidR="005A75FD">
        <w:t xml:space="preserve">.  </w:t>
      </w:r>
      <w:r w:rsidR="00555232">
        <w:t xml:space="preserve"> </w:t>
      </w:r>
      <w:r w:rsidR="005601DD">
        <w:t>Although</w:t>
      </w:r>
      <w:r w:rsidR="001934E7">
        <w:t xml:space="preserve"> only 2</w:t>
      </w:r>
      <w:r w:rsidR="00B45073">
        <w:t>4</w:t>
      </w:r>
      <w:r w:rsidR="001934E7">
        <w:t xml:space="preserve"> per cent of EMEs </w:t>
      </w:r>
      <w:r w:rsidR="008F2FDF">
        <w:t xml:space="preserve">(4 countries) </w:t>
      </w:r>
      <w:r w:rsidR="001934E7">
        <w:t>were affected, 6</w:t>
      </w:r>
      <w:r w:rsidR="007C0211">
        <w:t>5</w:t>
      </w:r>
      <w:r w:rsidR="001934E7">
        <w:t xml:space="preserve"> per cent of FMEs </w:t>
      </w:r>
      <w:r w:rsidR="003B6DC9">
        <w:t>(2</w:t>
      </w:r>
      <w:r w:rsidR="007C0211">
        <w:t>2</w:t>
      </w:r>
      <w:r w:rsidR="003B6DC9">
        <w:t xml:space="preserve"> countries) </w:t>
      </w:r>
      <w:r w:rsidR="001934E7">
        <w:t>and 8</w:t>
      </w:r>
      <w:r w:rsidR="007C0211">
        <w:t>1</w:t>
      </w:r>
      <w:r w:rsidR="001934E7">
        <w:t xml:space="preserve"> per cent of ODEs </w:t>
      </w:r>
      <w:r w:rsidR="003F464B">
        <w:t xml:space="preserve">(46 countries) </w:t>
      </w:r>
      <w:r w:rsidR="001934E7">
        <w:t>experienced this deterioration</w:t>
      </w:r>
      <w:r w:rsidR="007B3409">
        <w:t xml:space="preserve"> (Figure 1</w:t>
      </w:r>
      <w:r w:rsidR="00C31FA7">
        <w:t>)</w:t>
      </w:r>
      <w:r w:rsidR="00DF1E6F">
        <w:t xml:space="preserve">.  </w:t>
      </w:r>
      <w:r w:rsidR="009E0860">
        <w:t>T</w:t>
      </w:r>
      <w:r w:rsidR="0063037C">
        <w:t>herefore</w:t>
      </w:r>
      <w:r w:rsidR="009E0860">
        <w:t xml:space="preserve">, </w:t>
      </w:r>
      <w:r w:rsidR="00EB6AA6">
        <w:t>s</w:t>
      </w:r>
      <w:r w:rsidR="00555232">
        <w:t xml:space="preserve">ignificantly more developing countries </w:t>
      </w:r>
      <w:r w:rsidR="008D7A13">
        <w:t>have</w:t>
      </w:r>
      <w:r w:rsidR="003E4B8D">
        <w:t xml:space="preserve"> deteriorating </w:t>
      </w:r>
      <w:r w:rsidR="00D40AE9">
        <w:t xml:space="preserve">external debt dynamics </w:t>
      </w:r>
      <w:r w:rsidR="00555232">
        <w:t xml:space="preserve">than </w:t>
      </w:r>
      <w:r w:rsidR="00244807">
        <w:t>is</w:t>
      </w:r>
      <w:r w:rsidR="00555232">
        <w:t xml:space="preserve"> </w:t>
      </w:r>
      <w:r w:rsidR="00055338">
        <w:t>captured</w:t>
      </w:r>
      <w:r w:rsidR="00555232">
        <w:t xml:space="preserve"> </w:t>
      </w:r>
      <w:r w:rsidR="00943CAB">
        <w:t xml:space="preserve">by the IMF’s current </w:t>
      </w:r>
      <w:r w:rsidR="00410BB1">
        <w:t xml:space="preserve">(April 2024) </w:t>
      </w:r>
      <w:r w:rsidR="00943CAB">
        <w:t xml:space="preserve">assessment that </w:t>
      </w:r>
      <w:r w:rsidR="00A11AAE">
        <w:t xml:space="preserve">34 </w:t>
      </w:r>
      <w:r w:rsidR="0052501E">
        <w:t>Poverty Reduction and Growth Trust</w:t>
      </w:r>
      <w:r w:rsidR="00986AD3">
        <w:t xml:space="preserve"> (PRGT)</w:t>
      </w:r>
      <w:r w:rsidR="0052501E">
        <w:t xml:space="preserve">-eligible </w:t>
      </w:r>
      <w:r w:rsidR="00265820">
        <w:t xml:space="preserve">countries </w:t>
      </w:r>
      <w:r w:rsidR="00550501">
        <w:t>are</w:t>
      </w:r>
      <w:r w:rsidR="00265820">
        <w:t xml:space="preserve"> either at high risk of, or </w:t>
      </w:r>
      <w:r w:rsidR="00FE72A6">
        <w:t xml:space="preserve">already </w:t>
      </w:r>
      <w:r w:rsidR="00265820">
        <w:t>in, debt distress.</w:t>
      </w:r>
      <w:r w:rsidR="00E355DA">
        <w:t xml:space="preserve">  </w:t>
      </w:r>
    </w:p>
    <w:p w14:paraId="747BD2B4" w14:textId="770C8488" w:rsidR="00BC4ECB" w:rsidRDefault="00F66223" w:rsidP="008141E1">
      <w:pPr>
        <w:jc w:val="both"/>
      </w:pPr>
      <w:r>
        <w:t xml:space="preserve">A significant </w:t>
      </w:r>
      <w:r w:rsidR="0066649D">
        <w:t xml:space="preserve">driver of </w:t>
      </w:r>
      <w:r w:rsidR="00DE760D">
        <w:t xml:space="preserve">the </w:t>
      </w:r>
      <w:r w:rsidR="00E7791D">
        <w:t xml:space="preserve">distinct </w:t>
      </w:r>
      <w:r w:rsidR="00517323">
        <w:t>growth</w:t>
      </w:r>
      <w:r w:rsidR="008B684C">
        <w:t xml:space="preserve"> </w:t>
      </w:r>
      <w:r w:rsidR="00A46B35">
        <w:t>rate</w:t>
      </w:r>
      <w:r w:rsidR="00AF722C">
        <w:t>s</w:t>
      </w:r>
      <w:r w:rsidR="00A46B35">
        <w:t xml:space="preserve"> </w:t>
      </w:r>
      <w:r w:rsidR="00517323">
        <w:t xml:space="preserve">of </w:t>
      </w:r>
      <w:r w:rsidR="00A46B35">
        <w:t xml:space="preserve">debt service costs </w:t>
      </w:r>
      <w:r w:rsidR="00DA3EB5">
        <w:t>is</w:t>
      </w:r>
      <w:r w:rsidR="00517323">
        <w:t xml:space="preserve"> </w:t>
      </w:r>
      <w:r w:rsidR="008B684C">
        <w:t>the exposure</w:t>
      </w:r>
      <w:r w:rsidR="00E7791D">
        <w:t xml:space="preserve"> </w:t>
      </w:r>
      <w:r w:rsidR="00A24B20">
        <w:t xml:space="preserve">of each group </w:t>
      </w:r>
      <w:r w:rsidR="008B684C">
        <w:t xml:space="preserve">to different </w:t>
      </w:r>
      <w:r w:rsidR="00CC5E26">
        <w:t xml:space="preserve">external creditors and </w:t>
      </w:r>
      <w:r w:rsidR="00DA3EB5">
        <w:t>their lending</w:t>
      </w:r>
      <w:r w:rsidR="00B763A6">
        <w:t xml:space="preserve"> terms</w:t>
      </w:r>
      <w:r w:rsidR="009A3E7D">
        <w:t xml:space="preserve"> (Figure 2)</w:t>
      </w:r>
      <w:r w:rsidR="00B763A6">
        <w:t>.</w:t>
      </w:r>
      <w:r w:rsidR="00CC5E26">
        <w:t xml:space="preserve"> </w:t>
      </w:r>
      <w:r w:rsidR="00727495">
        <w:t xml:space="preserve"> </w:t>
      </w:r>
      <w:r w:rsidR="00761A42">
        <w:t xml:space="preserve"> </w:t>
      </w:r>
      <w:r w:rsidR="00356FC7">
        <w:t>A</w:t>
      </w:r>
      <w:r w:rsidR="00A24B20">
        <w:t>ll</w:t>
      </w:r>
      <w:r w:rsidR="00356FC7">
        <w:t xml:space="preserve"> groups owe</w:t>
      </w:r>
      <w:r w:rsidR="00A24B20">
        <w:t xml:space="preserve"> a</w:t>
      </w:r>
      <w:r w:rsidR="00091381">
        <w:t xml:space="preserve"> high proportion of </w:t>
      </w:r>
      <w:r w:rsidR="009A3E7D">
        <w:t xml:space="preserve">debt </w:t>
      </w:r>
      <w:r w:rsidR="00F522EE">
        <w:t>to multilateral creditors</w:t>
      </w:r>
      <w:r w:rsidR="009A3E7D">
        <w:t>.</w:t>
      </w:r>
      <w:r w:rsidR="00161407">
        <w:t xml:space="preserve">  While </w:t>
      </w:r>
      <w:r w:rsidR="00DA3EB5">
        <w:t>some</w:t>
      </w:r>
      <w:r w:rsidR="003E20C7">
        <w:t xml:space="preserve"> </w:t>
      </w:r>
      <w:r w:rsidR="00161407">
        <w:t xml:space="preserve">of this </w:t>
      </w:r>
      <w:r w:rsidR="003E20C7">
        <w:t xml:space="preserve">is </w:t>
      </w:r>
      <w:r w:rsidR="00901F83">
        <w:t xml:space="preserve">concessional, </w:t>
      </w:r>
      <w:r w:rsidR="003E20C7">
        <w:t xml:space="preserve">the </w:t>
      </w:r>
      <w:r w:rsidR="003D00E4">
        <w:t xml:space="preserve">cost of the </w:t>
      </w:r>
      <w:r w:rsidR="003E20C7">
        <w:t xml:space="preserve">non-concessional </w:t>
      </w:r>
      <w:r w:rsidR="003B5906">
        <w:t xml:space="preserve">share </w:t>
      </w:r>
      <w:r w:rsidR="00901F83">
        <w:t>is subject</w:t>
      </w:r>
      <w:r w:rsidR="00D62375">
        <w:t xml:space="preserve"> to</w:t>
      </w:r>
      <w:r w:rsidR="00901F83">
        <w:t xml:space="preserve"> </w:t>
      </w:r>
      <w:r w:rsidR="004E6256">
        <w:t xml:space="preserve">market-related </w:t>
      </w:r>
      <w:r w:rsidR="00901F83">
        <w:t>variation</w:t>
      </w:r>
      <w:r w:rsidR="00790778">
        <w:t>s</w:t>
      </w:r>
      <w:r w:rsidR="0027765C">
        <w:t xml:space="preserve"> and</w:t>
      </w:r>
      <w:r w:rsidR="00B029FB">
        <w:t xml:space="preserve"> </w:t>
      </w:r>
      <w:r w:rsidR="0027765C">
        <w:t xml:space="preserve">surcharges. </w:t>
      </w:r>
      <w:r w:rsidR="00704F48">
        <w:t>Higher levels of global financial integration</w:t>
      </w:r>
      <w:r w:rsidR="00F522EE">
        <w:t xml:space="preserve"> </w:t>
      </w:r>
      <w:r w:rsidR="00704F48">
        <w:t>are associated with</w:t>
      </w:r>
      <w:r w:rsidR="002F0954">
        <w:t xml:space="preserve"> a</w:t>
      </w:r>
      <w:r w:rsidR="0091159D">
        <w:t>n</w:t>
      </w:r>
      <w:r w:rsidR="00704F48">
        <w:t xml:space="preserve"> </w:t>
      </w:r>
      <w:r w:rsidR="002F0954">
        <w:t>increased exposure to private creditors</w:t>
      </w:r>
      <w:r w:rsidR="0091159D">
        <w:t>,</w:t>
      </w:r>
      <w:r w:rsidR="002F0954">
        <w:t xml:space="preserve"> primarily bondholders</w:t>
      </w:r>
      <w:r w:rsidR="0091159D">
        <w:t>,</w:t>
      </w:r>
      <w:r w:rsidR="002F0954">
        <w:t xml:space="preserve"> and </w:t>
      </w:r>
      <w:r w:rsidR="006E50D3">
        <w:t>a lower</w:t>
      </w:r>
      <w:r w:rsidR="008403F9">
        <w:t xml:space="preserve"> </w:t>
      </w:r>
      <w:r w:rsidR="008403F9">
        <w:lastRenderedPageBreak/>
        <w:t>e</w:t>
      </w:r>
      <w:r w:rsidR="00D62375">
        <w:t xml:space="preserve">xposure </w:t>
      </w:r>
      <w:r w:rsidR="00271CC3">
        <w:t xml:space="preserve">to </w:t>
      </w:r>
      <w:r w:rsidR="00963A4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24194" wp14:editId="7ECA7B3E">
                <wp:simplePos x="0" y="0"/>
                <wp:positionH relativeFrom="margin">
                  <wp:posOffset>0</wp:posOffset>
                </wp:positionH>
                <wp:positionV relativeFrom="paragraph">
                  <wp:posOffset>76835</wp:posOffset>
                </wp:positionV>
                <wp:extent cx="3296920" cy="8783320"/>
                <wp:effectExtent l="0" t="0" r="0" b="0"/>
                <wp:wrapSquare wrapText="bothSides"/>
                <wp:docPr id="13474364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920" cy="8783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99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93"/>
                            </w:tblGrid>
                            <w:tr w:rsidR="00963A45" w14:paraId="6ECC8E8E" w14:textId="77777777" w:rsidTr="00A70392">
                              <w:tc>
                                <w:tcPr>
                                  <w:tcW w:w="4989" w:type="dxa"/>
                                </w:tcPr>
                                <w:p w14:paraId="1C6BCE0D" w14:textId="1E1C4F03" w:rsidR="00963A45" w:rsidRDefault="00963A45" w:rsidP="007E0FE4">
                                  <w:pPr>
                                    <w:pStyle w:val="Caption"/>
                                    <w:spacing w:after="0"/>
                                  </w:pPr>
                                  <w:r>
                                    <w:t xml:space="preserve">Figure </w:t>
                                  </w:r>
                                  <w:r w:rsidR="00EE5854">
                                    <w:fldChar w:fldCharType="begin"/>
                                  </w:r>
                                  <w:r w:rsidR="00EE5854">
                                    <w:instrText xml:space="preserve"> SEQ Figure \* ARABIC </w:instrText>
                                  </w:r>
                                  <w:r w:rsidR="00EE5854"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t>2</w:t>
                                  </w:r>
                                  <w:r w:rsidR="00EE5854">
                                    <w:rPr>
                                      <w:noProof/>
                                    </w:rPr>
                                    <w:fldChar w:fldCharType="end"/>
                                  </w:r>
                                  <w:r>
                                    <w:t>: Creditor profile of EMEs, FMEs and ODEs with deteriorating external debt sustainability</w:t>
                                  </w:r>
                                  <w:r w:rsidR="00032C96">
                                    <w:t xml:space="preserve"> (2022)</w:t>
                                  </w:r>
                                </w:p>
                              </w:tc>
                            </w:tr>
                            <w:tr w:rsidR="00963A45" w14:paraId="7E840F33" w14:textId="77777777" w:rsidTr="00A70392">
                              <w:trPr>
                                <w:trHeight w:val="4252"/>
                              </w:trPr>
                              <w:tc>
                                <w:tcPr>
                                  <w:tcW w:w="4991" w:type="dxa"/>
                                </w:tcPr>
                                <w:p w14:paraId="3885C284" w14:textId="77777777" w:rsidR="00963A45" w:rsidRPr="004179F3" w:rsidRDefault="00963A45" w:rsidP="007E0FE4">
                                  <w:pPr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4179F3">
                                    <w:rPr>
                                      <w:noProof/>
                                      <w:sz w:val="15"/>
                                      <w:szCs w:val="15"/>
                                    </w:rPr>
                                    <w:drawing>
                                      <wp:inline distT="0" distB="0" distL="0" distR="0" wp14:anchorId="2E5C193D" wp14:editId="3823AE36">
                                        <wp:extent cx="2757054" cy="2604654"/>
                                        <wp:effectExtent l="0" t="0" r="0" b="0"/>
                                        <wp:docPr id="1320214406" name="Chart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8C118858-347B-4E1C-B485-FC14C88A832B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13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63A45" w14:paraId="0952C0C8" w14:textId="77777777" w:rsidTr="00A70392">
                              <w:trPr>
                                <w:trHeight w:val="4252"/>
                              </w:trPr>
                              <w:tc>
                                <w:tcPr>
                                  <w:tcW w:w="4991" w:type="dxa"/>
                                </w:tcPr>
                                <w:p w14:paraId="2B482225" w14:textId="77777777" w:rsidR="00963A45" w:rsidRDefault="00963A45" w:rsidP="007E0FE4">
                                  <w:pPr>
                                    <w:jc w:val="center"/>
                                  </w:pPr>
                                  <w:r w:rsidRPr="005F61C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1014DE" wp14:editId="66FD4BB5">
                                        <wp:extent cx="2909108" cy="2660015"/>
                                        <wp:effectExtent l="0" t="0" r="5715" b="6985"/>
                                        <wp:docPr id="567379655" name="Chart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69DF646A-6FE5-40C1-AD35-09BECA74144E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14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63A45" w14:paraId="7B3D2A37" w14:textId="77777777" w:rsidTr="00A70392">
                              <w:trPr>
                                <w:trHeight w:val="4252"/>
                              </w:trPr>
                              <w:tc>
                                <w:tcPr>
                                  <w:tcW w:w="4991" w:type="dxa"/>
                                </w:tcPr>
                                <w:p w14:paraId="46BA7C3E" w14:textId="77777777" w:rsidR="00963A45" w:rsidRDefault="00963A45" w:rsidP="007E0FE4">
                                  <w:pPr>
                                    <w:jc w:val="center"/>
                                  </w:pPr>
                                  <w:r w:rsidRPr="001F2D7F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E4E4E66" wp14:editId="3D226B42">
                                        <wp:extent cx="3033395" cy="2660072"/>
                                        <wp:effectExtent l="0" t="0" r="0" b="6985"/>
                                        <wp:docPr id="1178105999" name="Chart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2C98361B-1FEF-DE70-8DCC-CE3F961D8761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15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63A45" w:rsidRPr="00466AE1" w14:paraId="596943DC" w14:textId="77777777" w:rsidTr="00A70392">
                              <w:tc>
                                <w:tcPr>
                                  <w:tcW w:w="4991" w:type="dxa"/>
                                </w:tcPr>
                                <w:p w14:paraId="74897C0F" w14:textId="77777777" w:rsidR="00963A45" w:rsidRPr="00466AE1" w:rsidRDefault="00963A45" w:rsidP="007E0FE4">
                                  <w:pPr>
                                    <w:keepNext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66AE1">
                                    <w:rPr>
                                      <w:rFonts w:ascii="HelveticaNeueLT Std Lt" w:hAnsi="HelveticaNeueLT Std Lt"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Source: UNCTAD calculations based on World Bank </w:t>
                                  </w:r>
                                  <w:r w:rsidRPr="00466AE1">
                                    <w:rPr>
                                      <w:rFonts w:ascii="HelveticaNeueLT Std Lt" w:hAnsi="HelveticaNeueLT Std Lt" w:cstheme="minorHAnsi"/>
                                      <w:i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International Debt Statistics</w:t>
                                  </w:r>
                                  <w:r w:rsidRPr="00466AE1">
                                    <w:rPr>
                                      <w:rFonts w:ascii="HelveticaNeueLT Std Lt" w:hAnsi="HelveticaNeueLT Std Lt" w:cstheme="minorHAns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&amp; IMF </w:t>
                                  </w:r>
                                  <w:r w:rsidRPr="00466AE1">
                                    <w:rPr>
                                      <w:rFonts w:ascii="HelveticaNeueLT Std Lt" w:hAnsi="HelveticaNeueLT Std Lt" w:cstheme="minorHAnsi"/>
                                      <w:i/>
                                      <w:i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World Economic Outlook</w:t>
                                  </w:r>
                                </w:p>
                              </w:tc>
                            </w:tr>
                          </w:tbl>
                          <w:p w14:paraId="365D24DE" w14:textId="77777777" w:rsidR="00963A45" w:rsidRPr="00466AE1" w:rsidRDefault="00963A45" w:rsidP="00963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241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.05pt;width:259.6pt;height:69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499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93"/>
                      </w:tblGrid>
                      <w:tr w:rsidR="00963A45" w14:paraId="6ECC8E8E" w14:textId="77777777" w:rsidTr="00A70392">
                        <w:tc>
                          <w:tcPr>
                            <w:tcW w:w="4989" w:type="dxa"/>
                          </w:tcPr>
                          <w:p w14:paraId="1C6BCE0D" w14:textId="1E1C4F03" w:rsidR="00963A45" w:rsidRDefault="00963A45" w:rsidP="007E0FE4">
                            <w:pPr>
                              <w:pStyle w:val="Caption"/>
                              <w:spacing w:after="0"/>
                            </w:pPr>
                            <w:r>
                              <w:t xml:space="preserve">Figure </w:t>
                            </w:r>
                            <w:r w:rsidR="00EE5854">
                              <w:fldChar w:fldCharType="begin"/>
                            </w:r>
                            <w:r w:rsidR="00EE5854">
                              <w:instrText xml:space="preserve"> SEQ Figure \* ARABIC </w:instrText>
                            </w:r>
                            <w:r w:rsidR="00EE5854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EE5854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: Creditor profile of EMEs, FMEs and ODEs with deteriorating external debt sustainability</w:t>
                            </w:r>
                            <w:r w:rsidR="00032C96">
                              <w:t xml:space="preserve"> (2022)</w:t>
                            </w:r>
                          </w:p>
                        </w:tc>
                      </w:tr>
                      <w:tr w:rsidR="00963A45" w14:paraId="7E840F33" w14:textId="77777777" w:rsidTr="00A70392">
                        <w:trPr>
                          <w:trHeight w:val="4252"/>
                        </w:trPr>
                        <w:tc>
                          <w:tcPr>
                            <w:tcW w:w="4991" w:type="dxa"/>
                          </w:tcPr>
                          <w:p w14:paraId="3885C284" w14:textId="77777777" w:rsidR="00963A45" w:rsidRPr="004179F3" w:rsidRDefault="00963A45" w:rsidP="007E0FE4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4179F3">
                              <w:rPr>
                                <w:noProof/>
                                <w:sz w:val="15"/>
                                <w:szCs w:val="15"/>
                              </w:rPr>
                              <w:drawing>
                                <wp:inline distT="0" distB="0" distL="0" distR="0" wp14:anchorId="2E5C193D" wp14:editId="3823AE36">
                                  <wp:extent cx="2757054" cy="2604654"/>
                                  <wp:effectExtent l="0" t="0" r="0" b="0"/>
                                  <wp:docPr id="1320214406" name="Chart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C118858-347B-4E1C-B485-FC14C88A832B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63A45" w14:paraId="0952C0C8" w14:textId="77777777" w:rsidTr="00A70392">
                        <w:trPr>
                          <w:trHeight w:val="4252"/>
                        </w:trPr>
                        <w:tc>
                          <w:tcPr>
                            <w:tcW w:w="4991" w:type="dxa"/>
                          </w:tcPr>
                          <w:p w14:paraId="2B482225" w14:textId="77777777" w:rsidR="00963A45" w:rsidRDefault="00963A45" w:rsidP="007E0FE4">
                            <w:pPr>
                              <w:jc w:val="center"/>
                            </w:pPr>
                            <w:r w:rsidRPr="005F61C3">
                              <w:rPr>
                                <w:noProof/>
                              </w:rPr>
                              <w:drawing>
                                <wp:inline distT="0" distB="0" distL="0" distR="0" wp14:anchorId="3F1014DE" wp14:editId="66FD4BB5">
                                  <wp:extent cx="2909108" cy="2660015"/>
                                  <wp:effectExtent l="0" t="0" r="5715" b="6985"/>
                                  <wp:docPr id="567379655" name="Chart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69DF646A-6FE5-40C1-AD35-09BECA74144E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63A45" w14:paraId="7B3D2A37" w14:textId="77777777" w:rsidTr="00A70392">
                        <w:trPr>
                          <w:trHeight w:val="4252"/>
                        </w:trPr>
                        <w:tc>
                          <w:tcPr>
                            <w:tcW w:w="4991" w:type="dxa"/>
                          </w:tcPr>
                          <w:p w14:paraId="46BA7C3E" w14:textId="77777777" w:rsidR="00963A45" w:rsidRDefault="00963A45" w:rsidP="007E0FE4">
                            <w:pPr>
                              <w:jc w:val="center"/>
                            </w:pPr>
                            <w:r w:rsidRPr="001F2D7F">
                              <w:rPr>
                                <w:noProof/>
                              </w:rPr>
                              <w:drawing>
                                <wp:inline distT="0" distB="0" distL="0" distR="0" wp14:anchorId="1E4E4E66" wp14:editId="3D226B42">
                                  <wp:extent cx="3033395" cy="2660072"/>
                                  <wp:effectExtent l="0" t="0" r="0" b="6985"/>
                                  <wp:docPr id="1178105999" name="Chart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C98361B-1FEF-DE70-8DCC-CE3F961D8761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63A45" w:rsidRPr="00466AE1" w14:paraId="596943DC" w14:textId="77777777" w:rsidTr="00A70392">
                        <w:tc>
                          <w:tcPr>
                            <w:tcW w:w="4991" w:type="dxa"/>
                          </w:tcPr>
                          <w:p w14:paraId="74897C0F" w14:textId="77777777" w:rsidR="00963A45" w:rsidRPr="00466AE1" w:rsidRDefault="00963A45" w:rsidP="007E0FE4">
                            <w:pPr>
                              <w:keepNext/>
                              <w:rPr>
                                <w:sz w:val="16"/>
                                <w:szCs w:val="16"/>
                              </w:rPr>
                            </w:pPr>
                            <w:r w:rsidRPr="00466AE1">
                              <w:rPr>
                                <w:rFonts w:ascii="HelveticaNeueLT Std Lt" w:hAnsi="HelveticaNeueLT Std Lt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Source: UNCTAD calculations based on World Bank </w:t>
                            </w:r>
                            <w:r w:rsidRPr="00466AE1">
                              <w:rPr>
                                <w:rFonts w:ascii="HelveticaNeueLT Std Lt" w:hAnsi="HelveticaNeueLT Std Lt" w:cstheme="minorHAns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International Debt Statistics</w:t>
                            </w:r>
                            <w:r w:rsidRPr="00466AE1">
                              <w:rPr>
                                <w:rFonts w:ascii="HelveticaNeueLT Std Lt" w:hAnsi="HelveticaNeueLT Std Lt" w:cstheme="minorHAns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&amp; IMF </w:t>
                            </w:r>
                            <w:r w:rsidRPr="00466AE1">
                              <w:rPr>
                                <w:rFonts w:ascii="HelveticaNeueLT Std Lt" w:hAnsi="HelveticaNeueLT Std Lt" w:cstheme="minorHAnsi"/>
                                <w:i/>
                                <w:iCs/>
                                <w:color w:val="000000" w:themeColor="text1"/>
                                <w:sz w:val="16"/>
                                <w:szCs w:val="16"/>
                              </w:rPr>
                              <w:t>World Economic Outlook</w:t>
                            </w:r>
                          </w:p>
                        </w:tc>
                      </w:tr>
                    </w:tbl>
                    <w:p w14:paraId="365D24DE" w14:textId="77777777" w:rsidR="00963A45" w:rsidRPr="00466AE1" w:rsidRDefault="00963A45" w:rsidP="00963A4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1CC3">
        <w:t xml:space="preserve">bilateral creditors </w:t>
      </w:r>
      <w:r w:rsidR="0085074A">
        <w:t>–</w:t>
      </w:r>
      <w:r w:rsidR="000F2827">
        <w:t xml:space="preserve"> </w:t>
      </w:r>
      <w:r w:rsidR="001C6CE8">
        <w:t>particularly memb</w:t>
      </w:r>
      <w:r w:rsidR="00D13BE9">
        <w:t>ers of the Paris Club</w:t>
      </w:r>
      <w:r w:rsidR="0085074A">
        <w:t xml:space="preserve"> </w:t>
      </w:r>
      <w:r w:rsidR="00175D96">
        <w:t>–</w:t>
      </w:r>
      <w:r w:rsidR="008403F9">
        <w:t xml:space="preserve"> while </w:t>
      </w:r>
      <w:r w:rsidR="00FE71AF">
        <w:t xml:space="preserve">less integrated </w:t>
      </w:r>
      <w:r w:rsidR="00393B15">
        <w:t xml:space="preserve">country groups are </w:t>
      </w:r>
      <w:r w:rsidR="004130EA">
        <w:t>associated with</w:t>
      </w:r>
      <w:r w:rsidR="00287F3E">
        <w:t xml:space="preserve"> high</w:t>
      </w:r>
      <w:r w:rsidR="006E50D3">
        <w:t>er</w:t>
      </w:r>
      <w:r w:rsidR="00287F3E">
        <w:t xml:space="preserve"> exposure to non-Paris</w:t>
      </w:r>
      <w:r w:rsidR="006E50D3">
        <w:t xml:space="preserve"> </w:t>
      </w:r>
      <w:r w:rsidR="00287F3E">
        <w:t>bilateral creditors</w:t>
      </w:r>
      <w:r w:rsidR="006E50D3">
        <w:t xml:space="preserve">, </w:t>
      </w:r>
      <w:r w:rsidR="00393B15">
        <w:t xml:space="preserve">especially </w:t>
      </w:r>
      <w:r w:rsidR="006E50D3">
        <w:t>China</w:t>
      </w:r>
      <w:r w:rsidR="004A54E5">
        <w:t>.</w:t>
      </w:r>
      <w:r w:rsidR="00441A81">
        <w:t xml:space="preserve"> </w:t>
      </w:r>
    </w:p>
    <w:p w14:paraId="742251CE" w14:textId="3067BA44" w:rsidR="00EC62B1" w:rsidRDefault="00DA37D7" w:rsidP="00963A45">
      <w:pPr>
        <w:jc w:val="both"/>
      </w:pPr>
      <w:r>
        <w:t xml:space="preserve">This analysis highlights </w:t>
      </w:r>
      <w:r w:rsidR="00D4110B">
        <w:t>that the need</w:t>
      </w:r>
      <w:r w:rsidR="00E55E1B">
        <w:t xml:space="preserve"> </w:t>
      </w:r>
      <w:r w:rsidR="00D4110B">
        <w:t>to</w:t>
      </w:r>
      <w:r w:rsidR="00150B3C">
        <w:t xml:space="preserve"> </w:t>
      </w:r>
      <w:r w:rsidR="00855AFB">
        <w:t xml:space="preserve">access mechanisms </w:t>
      </w:r>
      <w:r w:rsidR="00C84B42">
        <w:t xml:space="preserve">to </w:t>
      </w:r>
      <w:r w:rsidR="00DC4889">
        <w:t>reprofil</w:t>
      </w:r>
      <w:r w:rsidR="007B652A">
        <w:t>e</w:t>
      </w:r>
      <w:r w:rsidR="00DC4889">
        <w:t xml:space="preserve"> and </w:t>
      </w:r>
      <w:r w:rsidR="00150B3C">
        <w:t>restructur</w:t>
      </w:r>
      <w:r w:rsidR="007B652A">
        <w:t>e</w:t>
      </w:r>
      <w:r w:rsidR="00C84B42">
        <w:t xml:space="preserve"> </w:t>
      </w:r>
      <w:r w:rsidR="00150B3C">
        <w:t xml:space="preserve">their external </w:t>
      </w:r>
      <w:r w:rsidR="00333ED1">
        <w:t xml:space="preserve">debt </w:t>
      </w:r>
      <w:r w:rsidR="00D4110B">
        <w:t xml:space="preserve">is </w:t>
      </w:r>
      <w:r w:rsidR="00AE4FE3">
        <w:t xml:space="preserve">likely to extend beyond low-income countries </w:t>
      </w:r>
      <w:r w:rsidR="00333ED1">
        <w:t>and</w:t>
      </w:r>
      <w:r w:rsidR="00C64B7F">
        <w:t xml:space="preserve"> that</w:t>
      </w:r>
      <w:r w:rsidR="00EB2492">
        <w:t xml:space="preserve"> private</w:t>
      </w:r>
      <w:r w:rsidR="00AE26B1">
        <w:t xml:space="preserve"> </w:t>
      </w:r>
      <w:r w:rsidR="00EB2492">
        <w:t>creditors</w:t>
      </w:r>
      <w:r w:rsidR="003F1BD5">
        <w:t xml:space="preserve"> </w:t>
      </w:r>
      <w:r w:rsidR="00DA3EB5">
        <w:t xml:space="preserve">are </w:t>
      </w:r>
      <w:r w:rsidR="00EC62B1">
        <w:t>respon</w:t>
      </w:r>
      <w:r w:rsidR="00DA3EB5">
        <w:t>sible</w:t>
      </w:r>
      <w:r w:rsidR="00EC62B1">
        <w:t xml:space="preserve"> for </w:t>
      </w:r>
      <w:r w:rsidR="00690BAB">
        <w:t xml:space="preserve">a </w:t>
      </w:r>
      <w:r w:rsidR="003F1BD5">
        <w:t xml:space="preserve">significant share </w:t>
      </w:r>
      <w:r w:rsidR="00EC65F5">
        <w:t>of</w:t>
      </w:r>
      <w:r w:rsidR="00D55C2F">
        <w:t xml:space="preserve"> the </w:t>
      </w:r>
      <w:r w:rsidR="00DA3EB5">
        <w:t xml:space="preserve">public and </w:t>
      </w:r>
      <w:proofErr w:type="gramStart"/>
      <w:r w:rsidR="00DA3EB5">
        <w:t>publicly</w:t>
      </w:r>
      <w:r w:rsidR="00DA3EB5">
        <w:rPr>
          <w:lang w:val="en-GB"/>
        </w:rPr>
        <w:t>-</w:t>
      </w:r>
      <w:r w:rsidR="00DA3EB5">
        <w:t>guaranteed</w:t>
      </w:r>
      <w:proofErr w:type="gramEnd"/>
      <w:r w:rsidR="00D55C2F">
        <w:t xml:space="preserve"> debt of</w:t>
      </w:r>
      <w:r w:rsidR="00EC65F5">
        <w:t xml:space="preserve"> </w:t>
      </w:r>
      <w:r w:rsidR="00690BAB">
        <w:t>EMEs</w:t>
      </w:r>
      <w:r w:rsidR="00DA3EB5">
        <w:t xml:space="preserve"> (43 per cent)</w:t>
      </w:r>
      <w:r w:rsidR="00690BAB">
        <w:t xml:space="preserve"> and FMEs</w:t>
      </w:r>
      <w:r w:rsidR="00DA3EB5">
        <w:t xml:space="preserve"> (31 per cent)</w:t>
      </w:r>
      <w:r w:rsidR="00D71A85">
        <w:t xml:space="preserve">. </w:t>
      </w:r>
    </w:p>
    <w:p w14:paraId="716116B7" w14:textId="7C3C896F" w:rsidR="00C50EE4" w:rsidRDefault="0081429D" w:rsidP="00963A45">
      <w:pPr>
        <w:jc w:val="both"/>
      </w:pPr>
      <w:r>
        <w:t>From a regional perspective, t</w:t>
      </w:r>
      <w:r w:rsidR="008A1C27">
        <w:t xml:space="preserve">he proportion of countries with deteriorating external debt sustainability is much greater in sub-Saharan Africa and South Asia, and relatively lower in Central Asia.  The creditor composition of these </w:t>
      </w:r>
      <w:r w:rsidR="008C6BB8">
        <w:t xml:space="preserve">regions </w:t>
      </w:r>
      <w:r w:rsidR="008A1C27">
        <w:t>also varies significantly (Figure 3).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4700"/>
      </w:tblGrid>
      <w:tr w:rsidR="004C7CE0" w14:paraId="0BA9BA06" w14:textId="77777777" w:rsidTr="00876739">
        <w:tc>
          <w:tcPr>
            <w:tcW w:w="9016" w:type="dxa"/>
            <w:gridSpan w:val="2"/>
          </w:tcPr>
          <w:p w14:paraId="40941300" w14:textId="56DBD647" w:rsidR="004C7CE0" w:rsidRDefault="004C7CE0" w:rsidP="004C7CE0">
            <w:pPr>
              <w:pStyle w:val="Caption"/>
              <w:rPr>
                <w:b/>
                <w:bCs/>
              </w:rPr>
            </w:pPr>
            <w:r>
              <w:lastRenderedPageBreak/>
              <w:t xml:space="preserve">Figure </w:t>
            </w:r>
            <w:r w:rsidR="00EE5854">
              <w:fldChar w:fldCharType="begin"/>
            </w:r>
            <w:r w:rsidR="00EE5854">
              <w:instrText xml:space="preserve"> SEQ Figure \* ARABIC </w:instrText>
            </w:r>
            <w:r w:rsidR="00EE5854">
              <w:fldChar w:fldCharType="separate"/>
            </w:r>
            <w:r>
              <w:rPr>
                <w:noProof/>
              </w:rPr>
              <w:t>3</w:t>
            </w:r>
            <w:r w:rsidR="00EE5854">
              <w:rPr>
                <w:noProof/>
              </w:rPr>
              <w:fldChar w:fldCharType="end"/>
            </w:r>
            <w:r>
              <w:t xml:space="preserve">: Share &amp; number of countries with deteriorating and improving </w:t>
            </w:r>
            <w:r w:rsidR="00876739">
              <w:t>external debt sustainability by region (left) and the creditor profile of deteriorating countries (right)</w:t>
            </w:r>
            <w:r w:rsidR="00371007">
              <w:t xml:space="preserve"> between 2017 and 2023</w:t>
            </w:r>
          </w:p>
        </w:tc>
      </w:tr>
      <w:tr w:rsidR="004C7CE0" w14:paraId="083A755A" w14:textId="77777777" w:rsidTr="00876739">
        <w:tc>
          <w:tcPr>
            <w:tcW w:w="4271" w:type="dxa"/>
          </w:tcPr>
          <w:p w14:paraId="0952358D" w14:textId="2D6E2EE4" w:rsidR="004C7CE0" w:rsidRDefault="004C7CE0" w:rsidP="003133BC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709A4A3" wp14:editId="7BE349A0">
                  <wp:extent cx="2671762" cy="3700145"/>
                  <wp:effectExtent l="0" t="0" r="0" b="0"/>
                  <wp:docPr id="47440934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452766-0147-168A-FA71-3F4CCCDD299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745" w:type="dxa"/>
          </w:tcPr>
          <w:p w14:paraId="31DD0CA2" w14:textId="021A45E5" w:rsidR="004C7CE0" w:rsidRDefault="004C7CE0" w:rsidP="003133BC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4F82507" wp14:editId="4D0B2306">
                  <wp:extent cx="2910205" cy="3743325"/>
                  <wp:effectExtent l="0" t="0" r="4445" b="0"/>
                  <wp:docPr id="1587837882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6FB4F3-FB44-2925-31A0-06C83BA79BE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876739" w14:paraId="7F683F2F" w14:textId="77777777" w:rsidTr="00876739">
        <w:tc>
          <w:tcPr>
            <w:tcW w:w="9016" w:type="dxa"/>
            <w:gridSpan w:val="2"/>
          </w:tcPr>
          <w:p w14:paraId="7FCEDB9D" w14:textId="77777777" w:rsidR="00814418" w:rsidRDefault="00814418" w:rsidP="003133BC">
            <w:pPr>
              <w:jc w:val="both"/>
              <w:rPr>
                <w:rFonts w:ascii="HelveticaNeueLT Std Lt" w:hAnsi="HelveticaNeueLT Std Lt" w:cstheme="minorHAnsi"/>
                <w:color w:val="000000" w:themeColor="text1"/>
                <w:sz w:val="16"/>
                <w:szCs w:val="16"/>
              </w:rPr>
            </w:pPr>
          </w:p>
          <w:p w14:paraId="3FE99790" w14:textId="41734FF2" w:rsidR="00876739" w:rsidRDefault="00876739" w:rsidP="003133BC">
            <w:pPr>
              <w:jc w:val="both"/>
              <w:rPr>
                <w:b/>
                <w:bCs/>
              </w:rPr>
            </w:pPr>
            <w:r w:rsidRPr="00466AE1">
              <w:rPr>
                <w:rFonts w:ascii="HelveticaNeueLT Std Lt" w:hAnsi="HelveticaNeueLT Std Lt" w:cstheme="minorHAnsi"/>
                <w:color w:val="000000" w:themeColor="text1"/>
                <w:sz w:val="16"/>
                <w:szCs w:val="16"/>
              </w:rPr>
              <w:t xml:space="preserve">Source: UNCTAD calculations based on World Bank </w:t>
            </w:r>
            <w:r w:rsidRPr="00466AE1">
              <w:rPr>
                <w:rFonts w:ascii="HelveticaNeueLT Std Lt" w:hAnsi="HelveticaNeueLT Std Lt" w:cstheme="minorHAnsi"/>
                <w:i/>
                <w:iCs/>
                <w:color w:val="000000" w:themeColor="text1"/>
                <w:sz w:val="16"/>
                <w:szCs w:val="16"/>
              </w:rPr>
              <w:t>International Debt Statistics</w:t>
            </w:r>
            <w:r w:rsidRPr="00466AE1">
              <w:rPr>
                <w:rFonts w:ascii="HelveticaNeueLT Std Lt" w:hAnsi="HelveticaNeueLT Std Lt" w:cstheme="minorHAnsi"/>
                <w:color w:val="000000" w:themeColor="text1"/>
                <w:sz w:val="16"/>
                <w:szCs w:val="16"/>
              </w:rPr>
              <w:t xml:space="preserve"> &amp; IMF </w:t>
            </w:r>
            <w:r w:rsidRPr="00466AE1">
              <w:rPr>
                <w:rFonts w:ascii="HelveticaNeueLT Std Lt" w:hAnsi="HelveticaNeueLT Std Lt" w:cstheme="minorHAnsi"/>
                <w:i/>
                <w:iCs/>
                <w:color w:val="000000" w:themeColor="text1"/>
                <w:sz w:val="16"/>
                <w:szCs w:val="16"/>
              </w:rPr>
              <w:t>World Economic Outlook</w:t>
            </w:r>
          </w:p>
        </w:tc>
      </w:tr>
    </w:tbl>
    <w:p w14:paraId="241D1E35" w14:textId="77777777" w:rsidR="002976AB" w:rsidRDefault="002976AB" w:rsidP="003133BC">
      <w:pPr>
        <w:jc w:val="both"/>
        <w:rPr>
          <w:b/>
          <w:bCs/>
        </w:rPr>
      </w:pPr>
    </w:p>
    <w:p w14:paraId="2A8A473B" w14:textId="39716D99" w:rsidR="008A1C27" w:rsidRDefault="008A1C27" w:rsidP="008A1C27">
      <w:pPr>
        <w:jc w:val="both"/>
      </w:pPr>
      <w:r>
        <w:t xml:space="preserve">In addition, 28 (or 82 per cent) of the PRGT countries at high risk of or in debt distress have been stuck in this situation since at least 2019. </w:t>
      </w:r>
      <w:r w:rsidR="00C707D6">
        <w:t>At the same time, c</w:t>
      </w:r>
      <w:r>
        <w:t>ountries</w:t>
      </w:r>
      <w:r w:rsidR="00C707D6">
        <w:t xml:space="preserve"> facing solvency</w:t>
      </w:r>
      <w:r>
        <w:t xml:space="preserve"> </w:t>
      </w:r>
      <w:r w:rsidR="00C707D6">
        <w:t xml:space="preserve">challenges </w:t>
      </w:r>
      <w:r>
        <w:t xml:space="preserve">are not </w:t>
      </w:r>
      <w:r w:rsidR="00A9703A">
        <w:t>using</w:t>
      </w:r>
      <w:r>
        <w:t xml:space="preserve"> debt workout mechanisms, such as the </w:t>
      </w:r>
      <w:r w:rsidRPr="00D76161">
        <w:t xml:space="preserve">G20 Common Framework </w:t>
      </w:r>
      <w:r w:rsidRPr="005A0952">
        <w:t>for Debt Treatment Beyond the Debt Service Suspension Initiative</w:t>
      </w:r>
      <w:r>
        <w:t xml:space="preserve">, as expected.  </w:t>
      </w:r>
    </w:p>
    <w:p w14:paraId="05E09A76" w14:textId="3E9F94D6" w:rsidR="00CB4BEF" w:rsidRPr="00EE518C" w:rsidRDefault="002976AB" w:rsidP="003133BC">
      <w:pPr>
        <w:jc w:val="both"/>
        <w:rPr>
          <w:b/>
          <w:bCs/>
        </w:rPr>
      </w:pPr>
      <w:r>
        <w:rPr>
          <w:b/>
          <w:bCs/>
        </w:rPr>
        <w:t>A PROPOSED APPROACH</w:t>
      </w:r>
    </w:p>
    <w:p w14:paraId="0EC59A2A" w14:textId="185920D5" w:rsidR="003133BC" w:rsidRDefault="003133BC" w:rsidP="003133BC">
      <w:pPr>
        <w:jc w:val="both"/>
      </w:pPr>
      <w:r w:rsidRPr="00D17CD8">
        <w:t xml:space="preserve">Sovereign external debt distress has historically been handled through </w:t>
      </w:r>
      <w:r>
        <w:t>long</w:t>
      </w:r>
      <w:r w:rsidR="002C7355">
        <w:t>,</w:t>
      </w:r>
      <w:r>
        <w:t xml:space="preserve"> </w:t>
      </w:r>
      <w:r w:rsidRPr="006C0FFE">
        <w:rPr>
          <w:i/>
          <w:iCs/>
        </w:rPr>
        <w:t>ad hoc</w:t>
      </w:r>
      <w:r>
        <w:t xml:space="preserve"> </w:t>
      </w:r>
      <w:r w:rsidRPr="00323F1D">
        <w:t xml:space="preserve">workout mechanisms based on voluntary </w:t>
      </w:r>
      <w:r w:rsidRPr="00D17CD8">
        <w:t xml:space="preserve">negotiations between </w:t>
      </w:r>
      <w:r>
        <w:t xml:space="preserve">the </w:t>
      </w:r>
      <w:r w:rsidRPr="00D17CD8">
        <w:t>debtor countr</w:t>
      </w:r>
      <w:r>
        <w:t>y and its</w:t>
      </w:r>
      <w:r w:rsidRPr="00D17CD8">
        <w:t xml:space="preserve"> foreign creditors. This approach </w:t>
      </w:r>
      <w:r w:rsidRPr="00A672DB">
        <w:t xml:space="preserve">has </w:t>
      </w:r>
      <w:r>
        <w:t xml:space="preserve">trapped </w:t>
      </w:r>
      <w:r w:rsidRPr="00A672DB">
        <w:t>developing countries in a vicious cycle</w:t>
      </w:r>
      <w:r>
        <w:t xml:space="preserve"> of market access loss, capital flight, economic recession and financial sector instability that has set </w:t>
      </w:r>
      <w:r w:rsidRPr="00A672DB">
        <w:t>development progress back</w:t>
      </w:r>
      <w:r>
        <w:t>. T</w:t>
      </w:r>
      <w:r w:rsidRPr="00D17CD8">
        <w:t>he situation has worsened with the</w:t>
      </w:r>
      <w:r>
        <w:t xml:space="preserve"> growing </w:t>
      </w:r>
      <w:r w:rsidRPr="00D17CD8">
        <w:t xml:space="preserve">complexity of the debt landscape, </w:t>
      </w:r>
      <w:r w:rsidR="004E6256">
        <w:t xml:space="preserve">encompassing </w:t>
      </w:r>
      <w:r>
        <w:t xml:space="preserve">a proliferation of official and private lenders, a </w:t>
      </w:r>
      <w:r w:rsidR="004E6256">
        <w:t>growing variety</w:t>
      </w:r>
      <w:r>
        <w:t xml:space="preserve"> of debt instruments and an increasing presence of non-resident investors in domestic sovereign debt markets. </w:t>
      </w:r>
    </w:p>
    <w:p w14:paraId="37771B24" w14:textId="0968B578" w:rsidR="007A0A99" w:rsidRPr="002F7C9D" w:rsidRDefault="003133BC" w:rsidP="003133BC">
      <w:pPr>
        <w:jc w:val="both"/>
        <w:rPr>
          <w:rStyle w:val="cf01"/>
          <w:sz w:val="24"/>
          <w:szCs w:val="24"/>
        </w:rPr>
      </w:pPr>
      <w:r w:rsidRPr="00D76161">
        <w:t xml:space="preserve">The G20 Common Framework is the primary multilateral approach to addressing developing countries' debt </w:t>
      </w:r>
      <w:r>
        <w:t>challenges</w:t>
      </w:r>
      <w:r w:rsidRPr="00D76161">
        <w:t xml:space="preserve"> after the COVID-19 pandemic. While it</w:t>
      </w:r>
      <w:r>
        <w:t xml:space="preserve"> is a </w:t>
      </w:r>
      <w:r w:rsidRPr="002F7C9D">
        <w:t xml:space="preserve">welcome initiative and improves upon past mechanisms by involving non-Paris Club G20 members in official bilateral creditors’ negotiations, it still has flaws. </w:t>
      </w:r>
      <w:r w:rsidR="002F7C9D" w:rsidRPr="002F7C9D">
        <w:t>Necessary</w:t>
      </w:r>
      <w:r w:rsidR="002B14EB" w:rsidRPr="002F7C9D">
        <w:t xml:space="preserve"> </w:t>
      </w:r>
      <w:r w:rsidR="002B14EB" w:rsidRPr="002F7C9D">
        <w:lastRenderedPageBreak/>
        <w:t xml:space="preserve">improvements include finding ways to reduce the burden on debtor countries to </w:t>
      </w:r>
      <w:r w:rsidR="002F7C9D">
        <w:rPr>
          <w:rStyle w:val="cf01"/>
          <w:rFonts w:asciiTheme="minorHAnsi" w:hAnsiTheme="minorHAnsi"/>
          <w:sz w:val="24"/>
          <w:szCs w:val="24"/>
        </w:rPr>
        <w:t xml:space="preserve">ensure </w:t>
      </w:r>
      <w:r w:rsidR="00D3674F" w:rsidRPr="002F7C9D">
        <w:rPr>
          <w:rStyle w:val="cf01"/>
          <w:rFonts w:asciiTheme="minorHAnsi" w:hAnsiTheme="minorHAnsi"/>
          <w:sz w:val="24"/>
          <w:szCs w:val="24"/>
        </w:rPr>
        <w:t>similar debt relief from private creditors to that received from official creditors</w:t>
      </w:r>
      <w:r w:rsidR="00957DFD" w:rsidRPr="002F7C9D">
        <w:rPr>
          <w:rStyle w:val="cf01"/>
          <w:rFonts w:asciiTheme="minorHAnsi" w:hAnsiTheme="minorHAnsi"/>
          <w:sz w:val="24"/>
          <w:szCs w:val="24"/>
        </w:rPr>
        <w:t>;</w:t>
      </w:r>
      <w:r w:rsidR="00D3674F" w:rsidRPr="002F7C9D">
        <w:rPr>
          <w:rStyle w:val="cf01"/>
          <w:rFonts w:asciiTheme="minorHAnsi" w:hAnsiTheme="minorHAnsi"/>
          <w:sz w:val="24"/>
          <w:szCs w:val="24"/>
        </w:rPr>
        <w:t xml:space="preserve"> </w:t>
      </w:r>
      <w:r w:rsidR="002B14EB" w:rsidRPr="002F7C9D">
        <w:rPr>
          <w:rStyle w:val="cf01"/>
          <w:rFonts w:asciiTheme="minorHAnsi" w:hAnsiTheme="minorHAnsi"/>
          <w:sz w:val="24"/>
          <w:szCs w:val="24"/>
        </w:rPr>
        <w:t xml:space="preserve">greater emphasis </w:t>
      </w:r>
      <w:r w:rsidR="00844932" w:rsidRPr="002F7C9D">
        <w:rPr>
          <w:rStyle w:val="cf01"/>
          <w:rFonts w:asciiTheme="minorHAnsi" w:hAnsiTheme="minorHAnsi"/>
          <w:sz w:val="24"/>
          <w:szCs w:val="24"/>
        </w:rPr>
        <w:t>of debt</w:t>
      </w:r>
      <w:r w:rsidR="00D3674F" w:rsidRPr="002F7C9D">
        <w:rPr>
          <w:rStyle w:val="cf01"/>
          <w:rFonts w:asciiTheme="minorHAnsi" w:hAnsiTheme="minorHAnsi"/>
          <w:sz w:val="24"/>
          <w:szCs w:val="24"/>
        </w:rPr>
        <w:t xml:space="preserve"> relief through </w:t>
      </w:r>
      <w:r w:rsidR="002B14EB" w:rsidRPr="002F7C9D">
        <w:rPr>
          <w:rStyle w:val="cf01"/>
          <w:rFonts w:asciiTheme="minorHAnsi" w:hAnsiTheme="minorHAnsi"/>
          <w:sz w:val="24"/>
          <w:szCs w:val="24"/>
        </w:rPr>
        <w:t xml:space="preserve">debt cancellation, rather than only </w:t>
      </w:r>
      <w:r w:rsidR="00D3674F" w:rsidRPr="002F7C9D">
        <w:rPr>
          <w:rStyle w:val="cf01"/>
          <w:rFonts w:asciiTheme="minorHAnsi" w:hAnsiTheme="minorHAnsi"/>
          <w:sz w:val="24"/>
          <w:szCs w:val="24"/>
        </w:rPr>
        <w:t>extending maturities and reducing interest rates</w:t>
      </w:r>
      <w:r w:rsidR="00844932">
        <w:rPr>
          <w:rStyle w:val="cf01"/>
          <w:rFonts w:asciiTheme="minorHAnsi" w:hAnsiTheme="minorHAnsi"/>
          <w:sz w:val="24"/>
          <w:szCs w:val="24"/>
        </w:rPr>
        <w:t xml:space="preserve">; </w:t>
      </w:r>
      <w:r w:rsidR="007A0A99" w:rsidRPr="002F7C9D">
        <w:rPr>
          <w:rStyle w:val="cf01"/>
          <w:rFonts w:asciiTheme="minorHAnsi" w:hAnsiTheme="minorHAnsi"/>
          <w:sz w:val="24"/>
          <w:szCs w:val="24"/>
        </w:rPr>
        <w:t>and improved transparency about the process.</w:t>
      </w:r>
      <w:r w:rsidR="007A0A99" w:rsidRPr="002F7C9D">
        <w:rPr>
          <w:rStyle w:val="cf01"/>
          <w:sz w:val="24"/>
          <w:szCs w:val="24"/>
        </w:rPr>
        <w:t xml:space="preserve"> </w:t>
      </w:r>
      <w:r w:rsidR="00D3674F" w:rsidRPr="002F7C9D">
        <w:rPr>
          <w:rStyle w:val="cf01"/>
          <w:sz w:val="24"/>
          <w:szCs w:val="24"/>
        </w:rPr>
        <w:t xml:space="preserve"> </w:t>
      </w:r>
    </w:p>
    <w:p w14:paraId="24170AEC" w14:textId="650622EF" w:rsidR="003133BC" w:rsidRDefault="003133BC" w:rsidP="003133BC">
      <w:pPr>
        <w:jc w:val="both"/>
      </w:pPr>
      <w:r>
        <w:t>T</w:t>
      </w:r>
      <w:r w:rsidRPr="005A0952">
        <w:t>he Common Framework</w:t>
      </w:r>
      <w:r>
        <w:t>’s</w:t>
      </w:r>
      <w:r w:rsidRPr="005A0952">
        <w:t xml:space="preserve"> shortcomings</w:t>
      </w:r>
      <w:r w:rsidRPr="00FA7F71">
        <w:t xml:space="preserve"> must be addressed</w:t>
      </w:r>
      <w:r>
        <w:t xml:space="preserve"> </w:t>
      </w:r>
      <w:r w:rsidR="00E709B4" w:rsidRPr="001C40DF">
        <w:t>in the short term</w:t>
      </w:r>
      <w:r w:rsidR="00E709B4">
        <w:t xml:space="preserve"> </w:t>
      </w:r>
      <w:r>
        <w:t>t</w:t>
      </w:r>
      <w:r w:rsidRPr="005A0952">
        <w:t xml:space="preserve">o ensure an improved </w:t>
      </w:r>
      <w:r w:rsidRPr="009958EE">
        <w:t xml:space="preserve">sovereign debt relief solution for addressing </w:t>
      </w:r>
      <w:r w:rsidRPr="001C40DF">
        <w:t xml:space="preserve">the unfolding debt </w:t>
      </w:r>
      <w:r w:rsidR="00E709B4">
        <w:t xml:space="preserve">and </w:t>
      </w:r>
      <w:r w:rsidR="00652958">
        <w:t>ongoing</w:t>
      </w:r>
      <w:r w:rsidR="00490242">
        <w:t xml:space="preserve"> </w:t>
      </w:r>
      <w:r w:rsidRPr="001C40DF">
        <w:t xml:space="preserve">development </w:t>
      </w:r>
      <w:r w:rsidR="00E709B4" w:rsidRPr="001C40DF">
        <w:t>cris</w:t>
      </w:r>
      <w:r w:rsidR="00E709B4">
        <w:t>e</w:t>
      </w:r>
      <w:r w:rsidR="00E709B4" w:rsidRPr="001C40DF">
        <w:t xml:space="preserve">s </w:t>
      </w:r>
      <w:r w:rsidRPr="001C40DF">
        <w:t>in developing countries.  The Global Sovereign Debt Roundtable has helped streamline sovereign debt restructurings and shorten timelines. However, an enhanced Common Framework should also</w:t>
      </w:r>
      <w:r w:rsidR="00E709B4">
        <w:t>:</w:t>
      </w:r>
      <w:r w:rsidRPr="001C40DF">
        <w:t xml:space="preserve"> include an automatic debt service standstill during negotiations</w:t>
      </w:r>
      <w:r w:rsidR="00E709B4">
        <w:t>;</w:t>
      </w:r>
      <w:r w:rsidR="00E709B4" w:rsidRPr="001C40DF">
        <w:t xml:space="preserve"> </w:t>
      </w:r>
      <w:r w:rsidRPr="001C40DF">
        <w:t>extend</w:t>
      </w:r>
      <w:r w:rsidRPr="00843C81">
        <w:t xml:space="preserve"> eligibility</w:t>
      </w:r>
      <w:r w:rsidRPr="009958EE">
        <w:t xml:space="preserve"> to middle-income countries</w:t>
      </w:r>
      <w:r w:rsidR="00E709B4">
        <w:t>;</w:t>
      </w:r>
      <w:r w:rsidR="00E709B4" w:rsidRPr="005A0952">
        <w:t xml:space="preserve"> </w:t>
      </w:r>
      <w:r w:rsidRPr="005A0952">
        <w:t>clari</w:t>
      </w:r>
      <w:r>
        <w:t>fy</w:t>
      </w:r>
      <w:r w:rsidRPr="005A0952">
        <w:t xml:space="preserve"> comparability of treatmen</w:t>
      </w:r>
      <w:r>
        <w:t>t</w:t>
      </w:r>
      <w:r w:rsidR="00E709B4">
        <w:t>;</w:t>
      </w:r>
      <w:r>
        <w:t xml:space="preserve"> </w:t>
      </w:r>
      <w:r w:rsidRPr="005A0952">
        <w:t xml:space="preserve">and </w:t>
      </w:r>
      <w:r>
        <w:t xml:space="preserve">provide </w:t>
      </w:r>
      <w:r w:rsidRPr="005A0952">
        <w:t xml:space="preserve">tools to </w:t>
      </w:r>
      <w:proofErr w:type="spellStart"/>
      <w:r w:rsidRPr="005A0952">
        <w:t>incentivise</w:t>
      </w:r>
      <w:proofErr w:type="spellEnd"/>
      <w:r w:rsidRPr="005A0952">
        <w:t xml:space="preserve"> or enforce private creditors</w:t>
      </w:r>
      <w:r w:rsidR="00B80158">
        <w:t>’</w:t>
      </w:r>
      <w:r>
        <w:t xml:space="preserve"> p</w:t>
      </w:r>
      <w:r w:rsidRPr="005A0952">
        <w:t>articipat</w:t>
      </w:r>
      <w:r>
        <w:t>ion</w:t>
      </w:r>
      <w:r w:rsidRPr="005A0952">
        <w:t xml:space="preserve">. </w:t>
      </w:r>
    </w:p>
    <w:p w14:paraId="230ACDD0" w14:textId="430D5EA6" w:rsidR="003133BC" w:rsidRDefault="003133BC" w:rsidP="003133BC">
      <w:pPr>
        <w:jc w:val="both"/>
      </w:pPr>
      <w:r w:rsidRPr="008D57B3">
        <w:t>Alongside</w:t>
      </w:r>
      <w:r w:rsidRPr="005A0952">
        <w:t xml:space="preserve"> improving the Common Framework, work towards a stable and permanent institutional framework to </w:t>
      </w:r>
      <w:r>
        <w:t xml:space="preserve">deal with </w:t>
      </w:r>
      <w:r w:rsidRPr="005A0952">
        <w:t>sovereign</w:t>
      </w:r>
      <w:r>
        <w:t xml:space="preserve"> debt</w:t>
      </w:r>
      <w:r w:rsidR="00EB1CDF">
        <w:t xml:space="preserve"> is urgently required</w:t>
      </w:r>
      <w:r w:rsidRPr="005A0952">
        <w:t xml:space="preserve">. </w:t>
      </w:r>
      <w:r>
        <w:t xml:space="preserve">The first step is creating a </w:t>
      </w:r>
      <w:r w:rsidRPr="005A0952">
        <w:t xml:space="preserve">multilateral sovereign debt workout mechanism </w:t>
      </w:r>
      <w:r w:rsidR="00453A01" w:rsidRPr="005A0952">
        <w:t xml:space="preserve">aligned with sustainable </w:t>
      </w:r>
      <w:r w:rsidR="00453A01">
        <w:t xml:space="preserve">and climate-resilient </w:t>
      </w:r>
      <w:r w:rsidR="00453A01" w:rsidRPr="005A0952">
        <w:t>development</w:t>
      </w:r>
      <w:r w:rsidR="00453A01">
        <w:t xml:space="preserve"> </w:t>
      </w:r>
      <w:r>
        <w:t xml:space="preserve">to </w:t>
      </w:r>
      <w:r w:rsidRPr="005A0952">
        <w:t xml:space="preserve">provide a definitive solution for debt </w:t>
      </w:r>
      <w:r>
        <w:t>crises</w:t>
      </w:r>
      <w:r w:rsidRPr="005A0952">
        <w:t xml:space="preserve">. </w:t>
      </w:r>
      <w:r>
        <w:t xml:space="preserve">It </w:t>
      </w:r>
      <w:r w:rsidR="00EB1CDF">
        <w:t xml:space="preserve">must </w:t>
      </w:r>
      <w:r>
        <w:t>address a major fault line i</w:t>
      </w:r>
      <w:r w:rsidRPr="00D17CD8">
        <w:t>n the global debt</w:t>
      </w:r>
      <w:r w:rsidRPr="00323F1D">
        <w:t xml:space="preserve"> architecture</w:t>
      </w:r>
      <w:r w:rsidRPr="00D17CD8">
        <w:t xml:space="preserve">: sovereigns </w:t>
      </w:r>
      <w:r>
        <w:t xml:space="preserve">are </w:t>
      </w:r>
      <w:r w:rsidRPr="00D17CD8">
        <w:t>treated as commercial entities in international finance</w:t>
      </w:r>
      <w:r>
        <w:t xml:space="preserve"> but</w:t>
      </w:r>
      <w:r w:rsidRPr="00D17CD8">
        <w:t xml:space="preserve"> lack the legal protections of corporate bankruptcy</w:t>
      </w:r>
      <w:r>
        <w:t xml:space="preserve">. </w:t>
      </w:r>
      <w:r w:rsidR="00B95E7F">
        <w:t>Previous Ff</w:t>
      </w:r>
      <w:r w:rsidR="00A15522">
        <w:t>D outcome documents</w:t>
      </w:r>
      <w:r>
        <w:t xml:space="preserve"> </w:t>
      </w:r>
      <w:r w:rsidRPr="005A0952">
        <w:t>called for</w:t>
      </w:r>
      <w:r>
        <w:t xml:space="preserve"> such a mechanism </w:t>
      </w:r>
      <w:r w:rsidR="00EB1CDF">
        <w:t xml:space="preserve">to </w:t>
      </w:r>
      <w:r w:rsidRPr="005A0952">
        <w:t>ensure fair burden-sharing</w:t>
      </w:r>
      <w:r>
        <w:t>,</w:t>
      </w:r>
      <w:r w:rsidRPr="005A0952">
        <w:t xml:space="preserve"> just treatment of creditors and debtors</w:t>
      </w:r>
      <w:r>
        <w:t xml:space="preserve"> </w:t>
      </w:r>
      <w:r w:rsidRPr="005A0952">
        <w:t>and timely, orderly, fair and effective debt restructuring</w:t>
      </w:r>
      <w:r>
        <w:t xml:space="preserve">s for all developing countries at the brink </w:t>
      </w:r>
      <w:r w:rsidR="00EB1CDF">
        <w:t xml:space="preserve">of, </w:t>
      </w:r>
      <w:r>
        <w:t>or in</w:t>
      </w:r>
      <w:r w:rsidR="00EB1CDF">
        <w:t>,</w:t>
      </w:r>
      <w:r>
        <w:t xml:space="preserve"> debt distress</w:t>
      </w:r>
      <w:r w:rsidRPr="005A0952">
        <w:t>.</w:t>
      </w:r>
      <w:r>
        <w:t xml:space="preserve"> </w:t>
      </w:r>
    </w:p>
    <w:p w14:paraId="70866260" w14:textId="56161646" w:rsidR="003133BC" w:rsidRDefault="003133BC" w:rsidP="003133BC">
      <w:pPr>
        <w:jc w:val="both"/>
      </w:pPr>
      <w:r w:rsidRPr="00E2237E">
        <w:t>The next step is to establish a global debt authority to oversee th</w:t>
      </w:r>
      <w:r>
        <w:t xml:space="preserve">e </w:t>
      </w:r>
      <w:r w:rsidRPr="005A0952">
        <w:t>multilateral sovereign debt workout</w:t>
      </w:r>
      <w:r w:rsidRPr="00E2237E">
        <w:t xml:space="preserve"> mechanism and </w:t>
      </w:r>
      <w:r>
        <w:t xml:space="preserve">promote </w:t>
      </w:r>
      <w:r w:rsidR="00D55E0E">
        <w:t xml:space="preserve">or </w:t>
      </w:r>
      <w:r w:rsidR="008D7A13">
        <w:t>implement</w:t>
      </w:r>
      <w:r w:rsidRPr="00E2237E">
        <w:t xml:space="preserve"> </w:t>
      </w:r>
      <w:r>
        <w:t>other substantive changes</w:t>
      </w:r>
      <w:r w:rsidR="00EB1CDF">
        <w:t xml:space="preserve"> </w:t>
      </w:r>
      <w:r>
        <w:t xml:space="preserve">of </w:t>
      </w:r>
      <w:r w:rsidR="00B80158">
        <w:t xml:space="preserve">a </w:t>
      </w:r>
      <w:r>
        <w:t xml:space="preserve">statutory and contractual nature in sovereign debt management. </w:t>
      </w:r>
      <w:r w:rsidR="00B80158">
        <w:t xml:space="preserve">This </w:t>
      </w:r>
      <w:r>
        <w:t>includes</w:t>
      </w:r>
      <w:r w:rsidRPr="00E2237E">
        <w:t xml:space="preserve"> development-focused debt sustainability analysis, a borrowers</w:t>
      </w:r>
      <w:r w:rsidR="00453A01">
        <w:t>’</w:t>
      </w:r>
      <w:r w:rsidRPr="00E2237E">
        <w:t xml:space="preserve"> club, </w:t>
      </w:r>
      <w:r w:rsidR="00B80158">
        <w:t xml:space="preserve">the regulation of </w:t>
      </w:r>
      <w:r>
        <w:t>capital flows and innovative financial instruments</w:t>
      </w:r>
      <w:r w:rsidR="00B80158">
        <w:t xml:space="preserve"> - such as state-contingent clauses </w:t>
      </w:r>
      <w:r w:rsidR="00A85B4E">
        <w:t xml:space="preserve">and Climate Resilient Debt Clauses </w:t>
      </w:r>
      <w:r w:rsidR="00B80158">
        <w:t>-</w:t>
      </w:r>
      <w:r>
        <w:t xml:space="preserve"> </w:t>
      </w:r>
      <w:r w:rsidRPr="005A0952">
        <w:t>to prevent debt cris</w:t>
      </w:r>
      <w:r>
        <w:t>e</w:t>
      </w:r>
      <w:r w:rsidRPr="005A0952">
        <w:t>s and ensure resilience</w:t>
      </w:r>
      <w:r w:rsidRPr="00E2237E">
        <w:t xml:space="preserve">. </w:t>
      </w:r>
      <w:r w:rsidR="00B80158">
        <w:t xml:space="preserve">This </w:t>
      </w:r>
      <w:r>
        <w:t xml:space="preserve">authority could also support countries in </w:t>
      </w:r>
      <w:r w:rsidRPr="00AF6742">
        <w:t>strengthening domestic legislatio</w:t>
      </w:r>
      <w:r>
        <w:t>n</w:t>
      </w:r>
      <w:r w:rsidRPr="00AF6742">
        <w:t xml:space="preserve"> to reflect guid</w:t>
      </w:r>
      <w:r w:rsidRPr="00AF6742">
        <w:softHyphen/>
        <w:t>ing principles for effective, timely, orderly and fair resolution of sovereign debt crises</w:t>
      </w:r>
      <w:r>
        <w:t>, as the AAAA called for</w:t>
      </w:r>
      <w:r w:rsidRPr="00AF6742">
        <w:t>.</w:t>
      </w:r>
      <w:r>
        <w:t xml:space="preserve"> </w:t>
      </w:r>
    </w:p>
    <w:p w14:paraId="51F43E32" w14:textId="025EB761" w:rsidR="008A2FE2" w:rsidRDefault="003133BC" w:rsidP="003133BC">
      <w:pPr>
        <w:jc w:val="both"/>
      </w:pPr>
      <w:r w:rsidRPr="005A0952">
        <w:t xml:space="preserve">This </w:t>
      </w:r>
      <w:r w:rsidR="00B80158">
        <w:t xml:space="preserve">proposed </w:t>
      </w:r>
      <w:r>
        <w:t xml:space="preserve">two-step </w:t>
      </w:r>
      <w:r w:rsidR="00347F82">
        <w:t xml:space="preserve">approach </w:t>
      </w:r>
      <w:r w:rsidRPr="005A0952">
        <w:t>will need support from a broad set of member States and actors, including courts and international financial institutions.</w:t>
      </w:r>
      <w:r>
        <w:t xml:space="preserve"> </w:t>
      </w:r>
      <w:r w:rsidRPr="005A0952">
        <w:t xml:space="preserve">The road </w:t>
      </w:r>
      <w:r w:rsidR="00B80158">
        <w:t>forward</w:t>
      </w:r>
      <w:r w:rsidRPr="005A0952">
        <w:t xml:space="preserve"> could start with small beginnings, as </w:t>
      </w:r>
      <w:r w:rsidR="00B80158">
        <w:t xml:space="preserve">the </w:t>
      </w:r>
      <w:r w:rsidR="00B80158" w:rsidRPr="00EC77BD">
        <w:rPr>
          <w:rFonts w:ascii="Aptos" w:hAnsi="Aptos"/>
          <w:szCs w:val="18"/>
        </w:rPr>
        <w:t>UN Trade and Development</w:t>
      </w:r>
      <w:r w:rsidR="00045CDA">
        <w:rPr>
          <w:rFonts w:ascii="Aptos" w:hAnsi="Aptos"/>
          <w:i/>
          <w:iCs/>
          <w:szCs w:val="18"/>
        </w:rPr>
        <w:t xml:space="preserve"> </w:t>
      </w:r>
      <w:r w:rsidR="00045CDA" w:rsidRPr="006C0FFE">
        <w:rPr>
          <w:rFonts w:ascii="Aptos" w:hAnsi="Aptos"/>
          <w:szCs w:val="18"/>
        </w:rPr>
        <w:t>details in</w:t>
      </w:r>
      <w:r w:rsidR="00783037">
        <w:rPr>
          <w:rFonts w:ascii="Aptos" w:hAnsi="Aptos"/>
          <w:szCs w:val="18"/>
        </w:rPr>
        <w:t xml:space="preserve"> the</w:t>
      </w:r>
      <w:r w:rsidR="00B80158" w:rsidRPr="007F21AD">
        <w:rPr>
          <w:rFonts w:ascii="Aptos" w:hAnsi="Aptos"/>
          <w:i/>
          <w:iCs/>
          <w:szCs w:val="18"/>
        </w:rPr>
        <w:t xml:space="preserve"> Trade and Development Report</w:t>
      </w:r>
      <w:r w:rsidR="00B80158" w:rsidRPr="005A0952" w:rsidDel="00B80158">
        <w:t xml:space="preserve"> </w:t>
      </w:r>
      <w:r w:rsidRPr="005A0952">
        <w:t xml:space="preserve">2023. </w:t>
      </w:r>
    </w:p>
    <w:p w14:paraId="629B8314" w14:textId="1798A26F" w:rsidR="008A2FE2" w:rsidRPr="008A2FE2" w:rsidRDefault="008A2FE2" w:rsidP="003133BC">
      <w:pPr>
        <w:jc w:val="both"/>
        <w:rPr>
          <w:b/>
          <w:bCs/>
        </w:rPr>
      </w:pPr>
      <w:r w:rsidRPr="008A2FE2">
        <w:rPr>
          <w:b/>
          <w:bCs/>
        </w:rPr>
        <w:t>CONCLUSION</w:t>
      </w:r>
    </w:p>
    <w:p w14:paraId="2D88AD83" w14:textId="7625BE62" w:rsidR="0068063B" w:rsidRDefault="00163264" w:rsidP="003133BC">
      <w:pPr>
        <w:jc w:val="both"/>
      </w:pPr>
      <w:r>
        <w:t xml:space="preserve">Many </w:t>
      </w:r>
      <w:r w:rsidR="00FD7D29">
        <w:t xml:space="preserve">developing countries </w:t>
      </w:r>
      <w:r w:rsidR="00453A01">
        <w:t xml:space="preserve">are </w:t>
      </w:r>
      <w:r w:rsidR="007A052F">
        <w:t>prioritizing servicing</w:t>
      </w:r>
      <w:r w:rsidR="00453A01">
        <w:t xml:space="preserve"> </w:t>
      </w:r>
      <w:r w:rsidR="0018612B">
        <w:t xml:space="preserve">external </w:t>
      </w:r>
      <w:r w:rsidR="00453A01">
        <w:t xml:space="preserve">debt service </w:t>
      </w:r>
      <w:r w:rsidR="00FC0C3D">
        <w:t>and</w:t>
      </w:r>
      <w:r w:rsidR="0041714C">
        <w:t xml:space="preserve"> </w:t>
      </w:r>
      <w:r w:rsidR="008D7A13">
        <w:t>avoiding</w:t>
      </w:r>
      <w:r w:rsidR="00FC0C3D">
        <w:t xml:space="preserve"> </w:t>
      </w:r>
      <w:r>
        <w:t xml:space="preserve">sovereign default at the cost of </w:t>
      </w:r>
      <w:r w:rsidR="00BA39B9">
        <w:t xml:space="preserve">achieving </w:t>
      </w:r>
      <w:r w:rsidR="00D34C2E">
        <w:t xml:space="preserve">sustainable and </w:t>
      </w:r>
      <w:r>
        <w:t>climate</w:t>
      </w:r>
      <w:r w:rsidR="008D7A13">
        <w:t xml:space="preserve">-resilient </w:t>
      </w:r>
      <w:r w:rsidR="00D34C2E">
        <w:t>development</w:t>
      </w:r>
      <w:r w:rsidR="00727F2B">
        <w:t xml:space="preserve">.  </w:t>
      </w:r>
      <w:r w:rsidR="003912E8">
        <w:t xml:space="preserve">Besides </w:t>
      </w:r>
      <w:r w:rsidR="00727F2B">
        <w:t xml:space="preserve">having to deal with the associated stigma, they are deterred from embarking on </w:t>
      </w:r>
      <w:r w:rsidR="00727F2B">
        <w:lastRenderedPageBreak/>
        <w:t>a process of debt restructuring because an appropriate mechanism is</w:t>
      </w:r>
      <w:r w:rsidR="00D0366C">
        <w:t xml:space="preserve"> either</w:t>
      </w:r>
      <w:r w:rsidR="00BA39B9">
        <w:t xml:space="preserve"> </w:t>
      </w:r>
      <w:r w:rsidR="00130872">
        <w:t>un</w:t>
      </w:r>
      <w:r w:rsidR="00727F2B">
        <w:t>available (</w:t>
      </w:r>
      <w:r w:rsidR="008A30DB">
        <w:t xml:space="preserve">for </w:t>
      </w:r>
      <w:r w:rsidR="00727F2B">
        <w:t>middle</w:t>
      </w:r>
      <w:r w:rsidR="008D7A13">
        <w:t>-</w:t>
      </w:r>
      <w:r w:rsidR="00727F2B">
        <w:t>income countries) or</w:t>
      </w:r>
      <w:r w:rsidR="003A21D8">
        <w:t xml:space="preserve"> is</w:t>
      </w:r>
      <w:r w:rsidR="00727F2B">
        <w:t xml:space="preserve"> slow, cumbersome and costly</w:t>
      </w:r>
      <w:r w:rsidR="00453A01">
        <w:t xml:space="preserve"> </w:t>
      </w:r>
      <w:r w:rsidR="00727F2B">
        <w:t>(</w:t>
      </w:r>
      <w:r w:rsidR="006E5326">
        <w:t xml:space="preserve">for </w:t>
      </w:r>
      <w:r w:rsidR="00727F2B">
        <w:t>countries</w:t>
      </w:r>
      <w:r w:rsidR="00215A72">
        <w:t xml:space="preserve"> eligible </w:t>
      </w:r>
      <w:r w:rsidR="00772753">
        <w:t>for</w:t>
      </w:r>
      <w:r w:rsidR="008D7A13">
        <w:t xml:space="preserve"> </w:t>
      </w:r>
      <w:r w:rsidR="00727F2B">
        <w:t xml:space="preserve">the </w:t>
      </w:r>
      <w:r w:rsidR="00130872">
        <w:t xml:space="preserve">G20 </w:t>
      </w:r>
      <w:r w:rsidR="00727F2B">
        <w:t>Common Framework).</w:t>
      </w:r>
      <w:r w:rsidR="0068063B">
        <w:t xml:space="preserve">  </w:t>
      </w:r>
    </w:p>
    <w:p w14:paraId="31BA23A3" w14:textId="2105B50F" w:rsidR="003133BC" w:rsidRPr="00D15530" w:rsidRDefault="0068063B" w:rsidP="003133BC">
      <w:pPr>
        <w:jc w:val="both"/>
      </w:pPr>
      <w:r>
        <w:t xml:space="preserve">UN Trade and Development believes that parallel approaches to this problem are required.  Steps must be taken to </w:t>
      </w:r>
      <w:r w:rsidR="0065623B">
        <w:t xml:space="preserve">fix </w:t>
      </w:r>
      <w:r>
        <w:t>the most significant flaws in the Common Framework</w:t>
      </w:r>
      <w:r w:rsidR="00547847">
        <w:t>. However,</w:t>
      </w:r>
      <w:r>
        <w:t xml:space="preserve"> work to develop a </w:t>
      </w:r>
      <w:r w:rsidRPr="005A0952">
        <w:t>stable</w:t>
      </w:r>
      <w:r>
        <w:t>,</w:t>
      </w:r>
      <w:r w:rsidRPr="005A0952">
        <w:t xml:space="preserve"> permanent </w:t>
      </w:r>
      <w:r>
        <w:t xml:space="preserve">and universally available </w:t>
      </w:r>
      <w:r w:rsidRPr="005A0952">
        <w:t xml:space="preserve">institutional framework to </w:t>
      </w:r>
      <w:r>
        <w:t xml:space="preserve">deal with </w:t>
      </w:r>
      <w:r w:rsidRPr="005A0952">
        <w:t>sovereign</w:t>
      </w:r>
      <w:r>
        <w:t xml:space="preserve"> debt must commence urgently</w:t>
      </w:r>
      <w:r w:rsidR="00864416">
        <w:t xml:space="preserve">.  The latter entails creating a </w:t>
      </w:r>
      <w:r w:rsidR="001C422A">
        <w:t xml:space="preserve">multilateral </w:t>
      </w:r>
      <w:r w:rsidR="00864416" w:rsidRPr="005A0952">
        <w:t>sovereign debt workout mechanism</w:t>
      </w:r>
      <w:r w:rsidR="00864416">
        <w:t xml:space="preserve"> and establish</w:t>
      </w:r>
      <w:r w:rsidR="001C422A">
        <w:t>ing</w:t>
      </w:r>
      <w:r w:rsidR="00864416">
        <w:t xml:space="preserve"> a global debt authority to</w:t>
      </w:r>
      <w:r w:rsidR="002629B9">
        <w:t xml:space="preserve"> oversee this mechanism</w:t>
      </w:r>
      <w:r w:rsidR="00222B96">
        <w:t>.</w:t>
      </w:r>
      <w:r w:rsidR="002629B9">
        <w:t xml:space="preserve"> </w:t>
      </w:r>
    </w:p>
    <w:p w14:paraId="22E2B88C" w14:textId="77777777" w:rsidR="00681D1F" w:rsidRPr="003133BC" w:rsidRDefault="00681D1F" w:rsidP="003133BC">
      <w:pPr>
        <w:jc w:val="both"/>
        <w:rPr>
          <w:lang w:val="en-GB"/>
        </w:rPr>
      </w:pPr>
    </w:p>
    <w:p w14:paraId="38EBB4E2" w14:textId="77777777" w:rsidR="004A54E5" w:rsidRDefault="004A54E5" w:rsidP="003133BC">
      <w:pPr>
        <w:jc w:val="both"/>
      </w:pPr>
    </w:p>
    <w:p w14:paraId="1A2B5DB2" w14:textId="77777777" w:rsidR="009A3309" w:rsidRPr="007E1149" w:rsidRDefault="009A3309" w:rsidP="003133BC">
      <w:pPr>
        <w:jc w:val="both"/>
      </w:pPr>
    </w:p>
    <w:sectPr w:rsidR="009A3309" w:rsidRPr="007E1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C826E" w14:textId="77777777" w:rsidR="002D5048" w:rsidRDefault="002D5048" w:rsidP="003133BC">
      <w:pPr>
        <w:spacing w:after="0" w:line="240" w:lineRule="auto"/>
      </w:pPr>
      <w:r>
        <w:separator/>
      </w:r>
    </w:p>
  </w:endnote>
  <w:endnote w:type="continuationSeparator" w:id="0">
    <w:p w14:paraId="06B61882" w14:textId="77777777" w:rsidR="002D5048" w:rsidRDefault="002D5048" w:rsidP="0031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82A76" w14:textId="77777777" w:rsidR="002D5048" w:rsidRDefault="002D5048" w:rsidP="003133BC">
      <w:pPr>
        <w:spacing w:after="0" w:line="240" w:lineRule="auto"/>
      </w:pPr>
      <w:r>
        <w:separator/>
      </w:r>
    </w:p>
  </w:footnote>
  <w:footnote w:type="continuationSeparator" w:id="0">
    <w:p w14:paraId="7A7C0AC6" w14:textId="77777777" w:rsidR="002D5048" w:rsidRDefault="002D5048" w:rsidP="003133BC">
      <w:pPr>
        <w:spacing w:after="0" w:line="240" w:lineRule="auto"/>
      </w:pPr>
      <w:r>
        <w:continuationSeparator/>
      </w:r>
    </w:p>
  </w:footnote>
  <w:footnote w:id="1">
    <w:p w14:paraId="74AA2615" w14:textId="6E589F45" w:rsidR="005E0116" w:rsidRPr="006C0FFE" w:rsidRDefault="005E0116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968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49"/>
    <w:rsid w:val="00002446"/>
    <w:rsid w:val="000072CF"/>
    <w:rsid w:val="0001101B"/>
    <w:rsid w:val="000231CC"/>
    <w:rsid w:val="00024273"/>
    <w:rsid w:val="000272D8"/>
    <w:rsid w:val="00027972"/>
    <w:rsid w:val="00032C96"/>
    <w:rsid w:val="00036E99"/>
    <w:rsid w:val="0004575A"/>
    <w:rsid w:val="00045CDA"/>
    <w:rsid w:val="00050916"/>
    <w:rsid w:val="00051F13"/>
    <w:rsid w:val="000522C7"/>
    <w:rsid w:val="00055338"/>
    <w:rsid w:val="00066506"/>
    <w:rsid w:val="000668A8"/>
    <w:rsid w:val="00066FC2"/>
    <w:rsid w:val="00067012"/>
    <w:rsid w:val="00074535"/>
    <w:rsid w:val="0008025D"/>
    <w:rsid w:val="00080527"/>
    <w:rsid w:val="00083551"/>
    <w:rsid w:val="0008457E"/>
    <w:rsid w:val="00091381"/>
    <w:rsid w:val="000A750C"/>
    <w:rsid w:val="000B0C44"/>
    <w:rsid w:val="000B1A5E"/>
    <w:rsid w:val="000D69E8"/>
    <w:rsid w:val="000E2A4E"/>
    <w:rsid w:val="000E5094"/>
    <w:rsid w:val="000E5181"/>
    <w:rsid w:val="000E74D8"/>
    <w:rsid w:val="000E7C0F"/>
    <w:rsid w:val="000F01E2"/>
    <w:rsid w:val="000F14CA"/>
    <w:rsid w:val="000F1CE6"/>
    <w:rsid w:val="000F2827"/>
    <w:rsid w:val="000F4F0F"/>
    <w:rsid w:val="000F5EF9"/>
    <w:rsid w:val="0010029A"/>
    <w:rsid w:val="001006C2"/>
    <w:rsid w:val="00100AD2"/>
    <w:rsid w:val="00106B2E"/>
    <w:rsid w:val="00107E0A"/>
    <w:rsid w:val="00107E85"/>
    <w:rsid w:val="00113706"/>
    <w:rsid w:val="00117B57"/>
    <w:rsid w:val="00130872"/>
    <w:rsid w:val="001334A4"/>
    <w:rsid w:val="00140FAE"/>
    <w:rsid w:val="001415AD"/>
    <w:rsid w:val="00143169"/>
    <w:rsid w:val="00143D72"/>
    <w:rsid w:val="0014564B"/>
    <w:rsid w:val="00150B3C"/>
    <w:rsid w:val="00161407"/>
    <w:rsid w:val="00163264"/>
    <w:rsid w:val="001647D5"/>
    <w:rsid w:val="00167F57"/>
    <w:rsid w:val="001702E6"/>
    <w:rsid w:val="001733C2"/>
    <w:rsid w:val="00175BAA"/>
    <w:rsid w:val="00175D96"/>
    <w:rsid w:val="00181F33"/>
    <w:rsid w:val="0018612B"/>
    <w:rsid w:val="00193245"/>
    <w:rsid w:val="001934E7"/>
    <w:rsid w:val="00193AB7"/>
    <w:rsid w:val="00195DAA"/>
    <w:rsid w:val="001B13E7"/>
    <w:rsid w:val="001B1E11"/>
    <w:rsid w:val="001C1AC3"/>
    <w:rsid w:val="001C22DA"/>
    <w:rsid w:val="001C40DF"/>
    <w:rsid w:val="001C422A"/>
    <w:rsid w:val="001C4DAF"/>
    <w:rsid w:val="001C6CE8"/>
    <w:rsid w:val="001E041D"/>
    <w:rsid w:val="001E1994"/>
    <w:rsid w:val="001E3002"/>
    <w:rsid w:val="001E7C7C"/>
    <w:rsid w:val="001F2D7F"/>
    <w:rsid w:val="002013E1"/>
    <w:rsid w:val="00201848"/>
    <w:rsid w:val="0020426A"/>
    <w:rsid w:val="002049A3"/>
    <w:rsid w:val="00211EFD"/>
    <w:rsid w:val="002131EA"/>
    <w:rsid w:val="002156F0"/>
    <w:rsid w:val="00215A72"/>
    <w:rsid w:val="00220D7D"/>
    <w:rsid w:val="002221D4"/>
    <w:rsid w:val="00222B96"/>
    <w:rsid w:val="0023127C"/>
    <w:rsid w:val="00244449"/>
    <w:rsid w:val="002447F6"/>
    <w:rsid w:val="00244807"/>
    <w:rsid w:val="00246A51"/>
    <w:rsid w:val="00261FCB"/>
    <w:rsid w:val="00262081"/>
    <w:rsid w:val="002629B9"/>
    <w:rsid w:val="00263070"/>
    <w:rsid w:val="00265820"/>
    <w:rsid w:val="00271CC3"/>
    <w:rsid w:val="002741FF"/>
    <w:rsid w:val="002749FE"/>
    <w:rsid w:val="00275C87"/>
    <w:rsid w:val="0027765C"/>
    <w:rsid w:val="00287E7D"/>
    <w:rsid w:val="00287F3E"/>
    <w:rsid w:val="00293ADC"/>
    <w:rsid w:val="002976AB"/>
    <w:rsid w:val="0029775C"/>
    <w:rsid w:val="002A3F96"/>
    <w:rsid w:val="002B00D6"/>
    <w:rsid w:val="002B14EB"/>
    <w:rsid w:val="002C1359"/>
    <w:rsid w:val="002C1B8B"/>
    <w:rsid w:val="002C388D"/>
    <w:rsid w:val="002C563A"/>
    <w:rsid w:val="002C5BA5"/>
    <w:rsid w:val="002C7355"/>
    <w:rsid w:val="002C78B7"/>
    <w:rsid w:val="002D0E00"/>
    <w:rsid w:val="002D322F"/>
    <w:rsid w:val="002D5048"/>
    <w:rsid w:val="002D6CAB"/>
    <w:rsid w:val="002F0954"/>
    <w:rsid w:val="002F0D65"/>
    <w:rsid w:val="002F696D"/>
    <w:rsid w:val="002F7C9D"/>
    <w:rsid w:val="00307F95"/>
    <w:rsid w:val="00311939"/>
    <w:rsid w:val="00311E72"/>
    <w:rsid w:val="003133BC"/>
    <w:rsid w:val="0031775A"/>
    <w:rsid w:val="00321EA5"/>
    <w:rsid w:val="003310DD"/>
    <w:rsid w:val="003318AE"/>
    <w:rsid w:val="00333ED1"/>
    <w:rsid w:val="0033590D"/>
    <w:rsid w:val="00336BE6"/>
    <w:rsid w:val="003437D2"/>
    <w:rsid w:val="00347F82"/>
    <w:rsid w:val="00356BBC"/>
    <w:rsid w:val="00356FC7"/>
    <w:rsid w:val="00362384"/>
    <w:rsid w:val="00363D5B"/>
    <w:rsid w:val="00371007"/>
    <w:rsid w:val="003765B6"/>
    <w:rsid w:val="003769ED"/>
    <w:rsid w:val="00377B26"/>
    <w:rsid w:val="00382D9C"/>
    <w:rsid w:val="00383D76"/>
    <w:rsid w:val="00390F67"/>
    <w:rsid w:val="003912E8"/>
    <w:rsid w:val="00391D0B"/>
    <w:rsid w:val="00392178"/>
    <w:rsid w:val="003924D6"/>
    <w:rsid w:val="00393B15"/>
    <w:rsid w:val="003941C1"/>
    <w:rsid w:val="003A1353"/>
    <w:rsid w:val="003A21D8"/>
    <w:rsid w:val="003A46CF"/>
    <w:rsid w:val="003A4F80"/>
    <w:rsid w:val="003A6E61"/>
    <w:rsid w:val="003B5906"/>
    <w:rsid w:val="003B6A60"/>
    <w:rsid w:val="003B6DC9"/>
    <w:rsid w:val="003B7D76"/>
    <w:rsid w:val="003C276D"/>
    <w:rsid w:val="003C341E"/>
    <w:rsid w:val="003C4678"/>
    <w:rsid w:val="003D00E4"/>
    <w:rsid w:val="003D3A49"/>
    <w:rsid w:val="003E128C"/>
    <w:rsid w:val="003E20C7"/>
    <w:rsid w:val="003E4B8D"/>
    <w:rsid w:val="003E5C2C"/>
    <w:rsid w:val="003F1BD5"/>
    <w:rsid w:val="003F2217"/>
    <w:rsid w:val="003F464B"/>
    <w:rsid w:val="003F78EB"/>
    <w:rsid w:val="00402FAE"/>
    <w:rsid w:val="00410BB1"/>
    <w:rsid w:val="004130EA"/>
    <w:rsid w:val="0041436F"/>
    <w:rsid w:val="0041714C"/>
    <w:rsid w:val="004179F3"/>
    <w:rsid w:val="00417B4C"/>
    <w:rsid w:val="00432BCA"/>
    <w:rsid w:val="00435304"/>
    <w:rsid w:val="00440F68"/>
    <w:rsid w:val="00441A81"/>
    <w:rsid w:val="004429A5"/>
    <w:rsid w:val="00444C34"/>
    <w:rsid w:val="00453A01"/>
    <w:rsid w:val="00455586"/>
    <w:rsid w:val="00457FB7"/>
    <w:rsid w:val="00460E7D"/>
    <w:rsid w:val="00461447"/>
    <w:rsid w:val="00461557"/>
    <w:rsid w:val="00466AE1"/>
    <w:rsid w:val="00466E86"/>
    <w:rsid w:val="0047242E"/>
    <w:rsid w:val="0047289D"/>
    <w:rsid w:val="004739E2"/>
    <w:rsid w:val="00480F72"/>
    <w:rsid w:val="004810A7"/>
    <w:rsid w:val="004815C2"/>
    <w:rsid w:val="00481B72"/>
    <w:rsid w:val="0048267B"/>
    <w:rsid w:val="004853F5"/>
    <w:rsid w:val="004878C3"/>
    <w:rsid w:val="00487FDC"/>
    <w:rsid w:val="00490242"/>
    <w:rsid w:val="00497671"/>
    <w:rsid w:val="004A4A7F"/>
    <w:rsid w:val="004A54E5"/>
    <w:rsid w:val="004B1699"/>
    <w:rsid w:val="004B467C"/>
    <w:rsid w:val="004C3E67"/>
    <w:rsid w:val="004C738E"/>
    <w:rsid w:val="004C7CE0"/>
    <w:rsid w:val="004D4ABF"/>
    <w:rsid w:val="004D518D"/>
    <w:rsid w:val="004D7955"/>
    <w:rsid w:val="004E47C5"/>
    <w:rsid w:val="004E6256"/>
    <w:rsid w:val="004F0B62"/>
    <w:rsid w:val="004F5051"/>
    <w:rsid w:val="004F63F3"/>
    <w:rsid w:val="004F661D"/>
    <w:rsid w:val="00504038"/>
    <w:rsid w:val="0050538B"/>
    <w:rsid w:val="00505FBC"/>
    <w:rsid w:val="0051208B"/>
    <w:rsid w:val="00517323"/>
    <w:rsid w:val="0052501E"/>
    <w:rsid w:val="00533AB1"/>
    <w:rsid w:val="005374F1"/>
    <w:rsid w:val="00547847"/>
    <w:rsid w:val="00550501"/>
    <w:rsid w:val="00555232"/>
    <w:rsid w:val="005601DD"/>
    <w:rsid w:val="00560B57"/>
    <w:rsid w:val="00561BC5"/>
    <w:rsid w:val="00561EF4"/>
    <w:rsid w:val="0056471B"/>
    <w:rsid w:val="0056505E"/>
    <w:rsid w:val="0056595E"/>
    <w:rsid w:val="00574641"/>
    <w:rsid w:val="0057507F"/>
    <w:rsid w:val="00575C71"/>
    <w:rsid w:val="00577C2B"/>
    <w:rsid w:val="0058421E"/>
    <w:rsid w:val="005848B2"/>
    <w:rsid w:val="005869C4"/>
    <w:rsid w:val="00597310"/>
    <w:rsid w:val="005A0A1E"/>
    <w:rsid w:val="005A399C"/>
    <w:rsid w:val="005A568B"/>
    <w:rsid w:val="005A7015"/>
    <w:rsid w:val="005A75FD"/>
    <w:rsid w:val="005B0B1A"/>
    <w:rsid w:val="005B586F"/>
    <w:rsid w:val="005B79A2"/>
    <w:rsid w:val="005C08FD"/>
    <w:rsid w:val="005C5319"/>
    <w:rsid w:val="005C736F"/>
    <w:rsid w:val="005D0EA8"/>
    <w:rsid w:val="005D287B"/>
    <w:rsid w:val="005D2B93"/>
    <w:rsid w:val="005D5423"/>
    <w:rsid w:val="005E0116"/>
    <w:rsid w:val="005E2901"/>
    <w:rsid w:val="005E7F84"/>
    <w:rsid w:val="005F61C3"/>
    <w:rsid w:val="005F6BC1"/>
    <w:rsid w:val="00606132"/>
    <w:rsid w:val="00617A66"/>
    <w:rsid w:val="0062604C"/>
    <w:rsid w:val="00626691"/>
    <w:rsid w:val="00630004"/>
    <w:rsid w:val="0063037C"/>
    <w:rsid w:val="00632CA5"/>
    <w:rsid w:val="00634B15"/>
    <w:rsid w:val="00637D3D"/>
    <w:rsid w:val="00637FF0"/>
    <w:rsid w:val="006407CE"/>
    <w:rsid w:val="00640F0E"/>
    <w:rsid w:val="00641345"/>
    <w:rsid w:val="006526CC"/>
    <w:rsid w:val="00652958"/>
    <w:rsid w:val="0065623B"/>
    <w:rsid w:val="00660E3A"/>
    <w:rsid w:val="00660E62"/>
    <w:rsid w:val="00661607"/>
    <w:rsid w:val="006640E9"/>
    <w:rsid w:val="0066632E"/>
    <w:rsid w:val="0066649D"/>
    <w:rsid w:val="00666E76"/>
    <w:rsid w:val="00667686"/>
    <w:rsid w:val="00673EF0"/>
    <w:rsid w:val="0068063B"/>
    <w:rsid w:val="00681685"/>
    <w:rsid w:val="00681D1F"/>
    <w:rsid w:val="00690BAB"/>
    <w:rsid w:val="00695765"/>
    <w:rsid w:val="00696845"/>
    <w:rsid w:val="00696A11"/>
    <w:rsid w:val="006A1496"/>
    <w:rsid w:val="006A218B"/>
    <w:rsid w:val="006A268C"/>
    <w:rsid w:val="006A59B7"/>
    <w:rsid w:val="006A62BD"/>
    <w:rsid w:val="006B13C6"/>
    <w:rsid w:val="006B629C"/>
    <w:rsid w:val="006C0FFE"/>
    <w:rsid w:val="006C448E"/>
    <w:rsid w:val="006C4717"/>
    <w:rsid w:val="006C692F"/>
    <w:rsid w:val="006D66F6"/>
    <w:rsid w:val="006D684B"/>
    <w:rsid w:val="006E2580"/>
    <w:rsid w:val="006E50D3"/>
    <w:rsid w:val="006E5326"/>
    <w:rsid w:val="006E6317"/>
    <w:rsid w:val="006E6975"/>
    <w:rsid w:val="00701C11"/>
    <w:rsid w:val="007026B8"/>
    <w:rsid w:val="00704F48"/>
    <w:rsid w:val="00713812"/>
    <w:rsid w:val="00721DCB"/>
    <w:rsid w:val="007228C8"/>
    <w:rsid w:val="0072614C"/>
    <w:rsid w:val="00726C61"/>
    <w:rsid w:val="00727495"/>
    <w:rsid w:val="00727F2B"/>
    <w:rsid w:val="00736E83"/>
    <w:rsid w:val="007452E6"/>
    <w:rsid w:val="007462A5"/>
    <w:rsid w:val="00750421"/>
    <w:rsid w:val="00755F37"/>
    <w:rsid w:val="0075792F"/>
    <w:rsid w:val="00760927"/>
    <w:rsid w:val="00760982"/>
    <w:rsid w:val="00761A42"/>
    <w:rsid w:val="00763C87"/>
    <w:rsid w:val="00771661"/>
    <w:rsid w:val="00772753"/>
    <w:rsid w:val="00775EEE"/>
    <w:rsid w:val="00777F42"/>
    <w:rsid w:val="00781736"/>
    <w:rsid w:val="00783037"/>
    <w:rsid w:val="00786C20"/>
    <w:rsid w:val="00787D87"/>
    <w:rsid w:val="00790778"/>
    <w:rsid w:val="00793FCE"/>
    <w:rsid w:val="007A052F"/>
    <w:rsid w:val="007A0A99"/>
    <w:rsid w:val="007A3A7C"/>
    <w:rsid w:val="007A4590"/>
    <w:rsid w:val="007A61EE"/>
    <w:rsid w:val="007B3409"/>
    <w:rsid w:val="007B3CCD"/>
    <w:rsid w:val="007B6073"/>
    <w:rsid w:val="007B652A"/>
    <w:rsid w:val="007B77E4"/>
    <w:rsid w:val="007C0211"/>
    <w:rsid w:val="007C2147"/>
    <w:rsid w:val="007C7FDB"/>
    <w:rsid w:val="007D2D47"/>
    <w:rsid w:val="007E0FE4"/>
    <w:rsid w:val="007E1035"/>
    <w:rsid w:val="007E1149"/>
    <w:rsid w:val="007E3B8F"/>
    <w:rsid w:val="008017F4"/>
    <w:rsid w:val="008055A7"/>
    <w:rsid w:val="00805C9F"/>
    <w:rsid w:val="008141E1"/>
    <w:rsid w:val="0081429D"/>
    <w:rsid w:val="00814418"/>
    <w:rsid w:val="008154C1"/>
    <w:rsid w:val="00815EB6"/>
    <w:rsid w:val="00816062"/>
    <w:rsid w:val="00820A13"/>
    <w:rsid w:val="00827368"/>
    <w:rsid w:val="008315B6"/>
    <w:rsid w:val="00834062"/>
    <w:rsid w:val="00834233"/>
    <w:rsid w:val="008403F9"/>
    <w:rsid w:val="008421F7"/>
    <w:rsid w:val="0084229C"/>
    <w:rsid w:val="00843C81"/>
    <w:rsid w:val="00844932"/>
    <w:rsid w:val="0085074A"/>
    <w:rsid w:val="00851932"/>
    <w:rsid w:val="00855AFB"/>
    <w:rsid w:val="00864416"/>
    <w:rsid w:val="008663A2"/>
    <w:rsid w:val="008672B7"/>
    <w:rsid w:val="00873F0B"/>
    <w:rsid w:val="00876739"/>
    <w:rsid w:val="00877380"/>
    <w:rsid w:val="008800DE"/>
    <w:rsid w:val="00880C3D"/>
    <w:rsid w:val="00883EB3"/>
    <w:rsid w:val="00887169"/>
    <w:rsid w:val="00893079"/>
    <w:rsid w:val="00893B52"/>
    <w:rsid w:val="00893FB7"/>
    <w:rsid w:val="00894F6E"/>
    <w:rsid w:val="0089785B"/>
    <w:rsid w:val="008A0270"/>
    <w:rsid w:val="008A1C27"/>
    <w:rsid w:val="008A2FE2"/>
    <w:rsid w:val="008A30DB"/>
    <w:rsid w:val="008B14D9"/>
    <w:rsid w:val="008B47A4"/>
    <w:rsid w:val="008B684C"/>
    <w:rsid w:val="008B7EB4"/>
    <w:rsid w:val="008C3D21"/>
    <w:rsid w:val="008C5D61"/>
    <w:rsid w:val="008C6BB8"/>
    <w:rsid w:val="008D475E"/>
    <w:rsid w:val="008D7A13"/>
    <w:rsid w:val="008E37A3"/>
    <w:rsid w:val="008E53C3"/>
    <w:rsid w:val="008F0054"/>
    <w:rsid w:val="008F2FDF"/>
    <w:rsid w:val="008F5350"/>
    <w:rsid w:val="008F5F47"/>
    <w:rsid w:val="00901F83"/>
    <w:rsid w:val="00905764"/>
    <w:rsid w:val="0091159D"/>
    <w:rsid w:val="0091671A"/>
    <w:rsid w:val="00923B2A"/>
    <w:rsid w:val="00925700"/>
    <w:rsid w:val="0093621E"/>
    <w:rsid w:val="00940FE9"/>
    <w:rsid w:val="009410EB"/>
    <w:rsid w:val="00942899"/>
    <w:rsid w:val="00942FC5"/>
    <w:rsid w:val="00943CAB"/>
    <w:rsid w:val="00947409"/>
    <w:rsid w:val="0095648B"/>
    <w:rsid w:val="00956A69"/>
    <w:rsid w:val="00957DFD"/>
    <w:rsid w:val="009600BC"/>
    <w:rsid w:val="00963A45"/>
    <w:rsid w:val="009741A5"/>
    <w:rsid w:val="0097533D"/>
    <w:rsid w:val="00977BE3"/>
    <w:rsid w:val="00981EC7"/>
    <w:rsid w:val="00983250"/>
    <w:rsid w:val="00986AD3"/>
    <w:rsid w:val="00993A00"/>
    <w:rsid w:val="009958EE"/>
    <w:rsid w:val="009A3309"/>
    <w:rsid w:val="009A3E7D"/>
    <w:rsid w:val="009B0B2F"/>
    <w:rsid w:val="009B1FC9"/>
    <w:rsid w:val="009B4939"/>
    <w:rsid w:val="009C0991"/>
    <w:rsid w:val="009C5A38"/>
    <w:rsid w:val="009C779E"/>
    <w:rsid w:val="009D2DE4"/>
    <w:rsid w:val="009D34CE"/>
    <w:rsid w:val="009E0860"/>
    <w:rsid w:val="009E57A3"/>
    <w:rsid w:val="009F3DAE"/>
    <w:rsid w:val="009F406A"/>
    <w:rsid w:val="00A03599"/>
    <w:rsid w:val="00A11AAE"/>
    <w:rsid w:val="00A15522"/>
    <w:rsid w:val="00A17B2E"/>
    <w:rsid w:val="00A2213B"/>
    <w:rsid w:val="00A23790"/>
    <w:rsid w:val="00A24B20"/>
    <w:rsid w:val="00A2579E"/>
    <w:rsid w:val="00A32289"/>
    <w:rsid w:val="00A33331"/>
    <w:rsid w:val="00A33447"/>
    <w:rsid w:val="00A46B35"/>
    <w:rsid w:val="00A56F1B"/>
    <w:rsid w:val="00A6216B"/>
    <w:rsid w:val="00A70392"/>
    <w:rsid w:val="00A70CA0"/>
    <w:rsid w:val="00A76063"/>
    <w:rsid w:val="00A7661B"/>
    <w:rsid w:val="00A77D50"/>
    <w:rsid w:val="00A85B4E"/>
    <w:rsid w:val="00A9173D"/>
    <w:rsid w:val="00A9676A"/>
    <w:rsid w:val="00A96794"/>
    <w:rsid w:val="00A9703A"/>
    <w:rsid w:val="00AA20D7"/>
    <w:rsid w:val="00AB3A80"/>
    <w:rsid w:val="00AC00E7"/>
    <w:rsid w:val="00AC2881"/>
    <w:rsid w:val="00AD62D6"/>
    <w:rsid w:val="00AE2064"/>
    <w:rsid w:val="00AE26B1"/>
    <w:rsid w:val="00AE4FE3"/>
    <w:rsid w:val="00AF6C25"/>
    <w:rsid w:val="00AF722C"/>
    <w:rsid w:val="00AF7EE3"/>
    <w:rsid w:val="00B029FB"/>
    <w:rsid w:val="00B03571"/>
    <w:rsid w:val="00B0757E"/>
    <w:rsid w:val="00B15C3C"/>
    <w:rsid w:val="00B215E9"/>
    <w:rsid w:val="00B22F45"/>
    <w:rsid w:val="00B2733B"/>
    <w:rsid w:val="00B31BA2"/>
    <w:rsid w:val="00B32849"/>
    <w:rsid w:val="00B35276"/>
    <w:rsid w:val="00B45073"/>
    <w:rsid w:val="00B4555E"/>
    <w:rsid w:val="00B47BE3"/>
    <w:rsid w:val="00B510C1"/>
    <w:rsid w:val="00B53C6F"/>
    <w:rsid w:val="00B56E60"/>
    <w:rsid w:val="00B56F62"/>
    <w:rsid w:val="00B67DB5"/>
    <w:rsid w:val="00B763A6"/>
    <w:rsid w:val="00B80158"/>
    <w:rsid w:val="00B83D68"/>
    <w:rsid w:val="00B94DCD"/>
    <w:rsid w:val="00B95E7F"/>
    <w:rsid w:val="00BA39B9"/>
    <w:rsid w:val="00BB16ED"/>
    <w:rsid w:val="00BC2268"/>
    <w:rsid w:val="00BC4ECB"/>
    <w:rsid w:val="00BC4F5C"/>
    <w:rsid w:val="00BD01ED"/>
    <w:rsid w:val="00BD1BE6"/>
    <w:rsid w:val="00BD7D66"/>
    <w:rsid w:val="00BE14A7"/>
    <w:rsid w:val="00BE3E7E"/>
    <w:rsid w:val="00BE619A"/>
    <w:rsid w:val="00BF1407"/>
    <w:rsid w:val="00BF6EBC"/>
    <w:rsid w:val="00BF758F"/>
    <w:rsid w:val="00C00462"/>
    <w:rsid w:val="00C05669"/>
    <w:rsid w:val="00C0570E"/>
    <w:rsid w:val="00C06CEC"/>
    <w:rsid w:val="00C14D83"/>
    <w:rsid w:val="00C156A8"/>
    <w:rsid w:val="00C16E93"/>
    <w:rsid w:val="00C27B3D"/>
    <w:rsid w:val="00C31354"/>
    <w:rsid w:val="00C31FA7"/>
    <w:rsid w:val="00C37884"/>
    <w:rsid w:val="00C4450A"/>
    <w:rsid w:val="00C460DD"/>
    <w:rsid w:val="00C46C88"/>
    <w:rsid w:val="00C477EA"/>
    <w:rsid w:val="00C50EE4"/>
    <w:rsid w:val="00C51A1A"/>
    <w:rsid w:val="00C54133"/>
    <w:rsid w:val="00C56045"/>
    <w:rsid w:val="00C56A29"/>
    <w:rsid w:val="00C60CD7"/>
    <w:rsid w:val="00C62E22"/>
    <w:rsid w:val="00C64B7F"/>
    <w:rsid w:val="00C66A32"/>
    <w:rsid w:val="00C67C03"/>
    <w:rsid w:val="00C704DE"/>
    <w:rsid w:val="00C707D6"/>
    <w:rsid w:val="00C84B42"/>
    <w:rsid w:val="00CA6256"/>
    <w:rsid w:val="00CB08C1"/>
    <w:rsid w:val="00CB4BEF"/>
    <w:rsid w:val="00CB534A"/>
    <w:rsid w:val="00CC08E6"/>
    <w:rsid w:val="00CC29F3"/>
    <w:rsid w:val="00CC5AE8"/>
    <w:rsid w:val="00CC5E26"/>
    <w:rsid w:val="00CD0A79"/>
    <w:rsid w:val="00CD4A2D"/>
    <w:rsid w:val="00CD7271"/>
    <w:rsid w:val="00CD7D17"/>
    <w:rsid w:val="00CE66A0"/>
    <w:rsid w:val="00CF5341"/>
    <w:rsid w:val="00CF76E3"/>
    <w:rsid w:val="00D0366C"/>
    <w:rsid w:val="00D03DC8"/>
    <w:rsid w:val="00D044CC"/>
    <w:rsid w:val="00D10F88"/>
    <w:rsid w:val="00D13BE9"/>
    <w:rsid w:val="00D15530"/>
    <w:rsid w:val="00D17FBD"/>
    <w:rsid w:val="00D20FF8"/>
    <w:rsid w:val="00D23695"/>
    <w:rsid w:val="00D25AB5"/>
    <w:rsid w:val="00D34A10"/>
    <w:rsid w:val="00D34C2E"/>
    <w:rsid w:val="00D3674F"/>
    <w:rsid w:val="00D40AE9"/>
    <w:rsid w:val="00D4110B"/>
    <w:rsid w:val="00D5183B"/>
    <w:rsid w:val="00D55C2F"/>
    <w:rsid w:val="00D55E0E"/>
    <w:rsid w:val="00D568B1"/>
    <w:rsid w:val="00D618C2"/>
    <w:rsid w:val="00D62375"/>
    <w:rsid w:val="00D649B6"/>
    <w:rsid w:val="00D71A85"/>
    <w:rsid w:val="00D76D3D"/>
    <w:rsid w:val="00D7763B"/>
    <w:rsid w:val="00D83730"/>
    <w:rsid w:val="00D8523C"/>
    <w:rsid w:val="00DA043A"/>
    <w:rsid w:val="00DA0A75"/>
    <w:rsid w:val="00DA12F6"/>
    <w:rsid w:val="00DA37D7"/>
    <w:rsid w:val="00DA3EB5"/>
    <w:rsid w:val="00DA42F3"/>
    <w:rsid w:val="00DB1E6B"/>
    <w:rsid w:val="00DB1F95"/>
    <w:rsid w:val="00DB204E"/>
    <w:rsid w:val="00DB23F7"/>
    <w:rsid w:val="00DC096C"/>
    <w:rsid w:val="00DC2F09"/>
    <w:rsid w:val="00DC4889"/>
    <w:rsid w:val="00DD5F06"/>
    <w:rsid w:val="00DE6853"/>
    <w:rsid w:val="00DE6F99"/>
    <w:rsid w:val="00DE760D"/>
    <w:rsid w:val="00DF0661"/>
    <w:rsid w:val="00DF1E6F"/>
    <w:rsid w:val="00DF301E"/>
    <w:rsid w:val="00E04293"/>
    <w:rsid w:val="00E0483D"/>
    <w:rsid w:val="00E14CEC"/>
    <w:rsid w:val="00E21307"/>
    <w:rsid w:val="00E245AB"/>
    <w:rsid w:val="00E24B27"/>
    <w:rsid w:val="00E2589E"/>
    <w:rsid w:val="00E27503"/>
    <w:rsid w:val="00E3098E"/>
    <w:rsid w:val="00E31B1F"/>
    <w:rsid w:val="00E33A09"/>
    <w:rsid w:val="00E355DA"/>
    <w:rsid w:val="00E4072B"/>
    <w:rsid w:val="00E40910"/>
    <w:rsid w:val="00E44761"/>
    <w:rsid w:val="00E45FD0"/>
    <w:rsid w:val="00E55E1B"/>
    <w:rsid w:val="00E5710E"/>
    <w:rsid w:val="00E61793"/>
    <w:rsid w:val="00E709B4"/>
    <w:rsid w:val="00E72E8F"/>
    <w:rsid w:val="00E73E2C"/>
    <w:rsid w:val="00E7474A"/>
    <w:rsid w:val="00E776FB"/>
    <w:rsid w:val="00E7791D"/>
    <w:rsid w:val="00E8382F"/>
    <w:rsid w:val="00E84418"/>
    <w:rsid w:val="00E86FDC"/>
    <w:rsid w:val="00E87662"/>
    <w:rsid w:val="00E87B06"/>
    <w:rsid w:val="00E952FD"/>
    <w:rsid w:val="00E953D5"/>
    <w:rsid w:val="00E95B6D"/>
    <w:rsid w:val="00E9637E"/>
    <w:rsid w:val="00EA1F7F"/>
    <w:rsid w:val="00EA5707"/>
    <w:rsid w:val="00EA5E06"/>
    <w:rsid w:val="00EB074B"/>
    <w:rsid w:val="00EB1CDF"/>
    <w:rsid w:val="00EB2492"/>
    <w:rsid w:val="00EB6AA6"/>
    <w:rsid w:val="00EC62B1"/>
    <w:rsid w:val="00EC65F5"/>
    <w:rsid w:val="00ED0FB0"/>
    <w:rsid w:val="00EE2254"/>
    <w:rsid w:val="00EE2D72"/>
    <w:rsid w:val="00EE518C"/>
    <w:rsid w:val="00EE5854"/>
    <w:rsid w:val="00EF1F86"/>
    <w:rsid w:val="00EF70D1"/>
    <w:rsid w:val="00F00773"/>
    <w:rsid w:val="00F135A1"/>
    <w:rsid w:val="00F20371"/>
    <w:rsid w:val="00F22186"/>
    <w:rsid w:val="00F3105A"/>
    <w:rsid w:val="00F522EE"/>
    <w:rsid w:val="00F53753"/>
    <w:rsid w:val="00F55279"/>
    <w:rsid w:val="00F579CE"/>
    <w:rsid w:val="00F61886"/>
    <w:rsid w:val="00F62298"/>
    <w:rsid w:val="00F66223"/>
    <w:rsid w:val="00F673C7"/>
    <w:rsid w:val="00F753B3"/>
    <w:rsid w:val="00F7716D"/>
    <w:rsid w:val="00F80897"/>
    <w:rsid w:val="00F8756C"/>
    <w:rsid w:val="00F9009B"/>
    <w:rsid w:val="00F92698"/>
    <w:rsid w:val="00F947CA"/>
    <w:rsid w:val="00FA1981"/>
    <w:rsid w:val="00FA3A01"/>
    <w:rsid w:val="00FB070C"/>
    <w:rsid w:val="00FB52F1"/>
    <w:rsid w:val="00FB72A3"/>
    <w:rsid w:val="00FC0C3D"/>
    <w:rsid w:val="00FC1B10"/>
    <w:rsid w:val="00FC37C8"/>
    <w:rsid w:val="00FC4C38"/>
    <w:rsid w:val="00FD3D1E"/>
    <w:rsid w:val="00FD7D29"/>
    <w:rsid w:val="00FE3CFE"/>
    <w:rsid w:val="00FE69B7"/>
    <w:rsid w:val="00FE71AF"/>
    <w:rsid w:val="00FE72A6"/>
    <w:rsid w:val="00FF00FD"/>
    <w:rsid w:val="00FF25C3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C94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1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8325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ParaNoG">
    <w:name w:val="_ParaNo._G"/>
    <w:basedOn w:val="Normal"/>
    <w:rsid w:val="003133BC"/>
    <w:pPr>
      <w:numPr>
        <w:numId w:val="1"/>
      </w:numPr>
      <w:suppressAutoHyphens/>
      <w:kinsoku w:val="0"/>
      <w:overflowPunct w:val="0"/>
      <w:autoSpaceDE w:val="0"/>
      <w:autoSpaceDN w:val="0"/>
      <w:adjustRightInd w:val="0"/>
      <w:snapToGrid w:val="0"/>
      <w:spacing w:after="120" w:line="240" w:lineRule="atLeast"/>
      <w:ind w:right="1134"/>
      <w:jc w:val="both"/>
    </w:pPr>
    <w:rPr>
      <w:rFonts w:ascii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FootnoteText">
    <w:name w:val="footnote text"/>
    <w:aliases w:val="5_G,ADB,single space,fn,ft,Footnote Text Char1,Footnote Text Char Char,FOOTNOTES,Schriftart: 9 pt,Schriftart: 10 pt,Schriftart: 8 pt,Footnotes,Footnote ak,Footnote Text Char1 Char1 Char,Footnote Text Char Char Char1 Char,footnote text Char"/>
    <w:basedOn w:val="Normal"/>
    <w:link w:val="FootnoteTextChar"/>
    <w:uiPriority w:val="99"/>
    <w:qFormat/>
    <w:rsid w:val="003133BC"/>
    <w:pPr>
      <w:tabs>
        <w:tab w:val="right" w:pos="1021"/>
      </w:tabs>
      <w:suppressAutoHyphens/>
      <w:kinsoku w:val="0"/>
      <w:overflowPunct w:val="0"/>
      <w:autoSpaceDE w:val="0"/>
      <w:autoSpaceDN w:val="0"/>
      <w:adjustRightInd w:val="0"/>
      <w:snapToGrid w:val="0"/>
      <w:spacing w:after="0" w:line="220" w:lineRule="exact"/>
      <w:ind w:left="1134" w:right="1134" w:hanging="1134"/>
    </w:pPr>
    <w:rPr>
      <w:rFonts w:ascii="Times New Roman" w:hAnsi="Times New Roman" w:cs="Times New Roman"/>
      <w:kern w:val="0"/>
      <w:sz w:val="18"/>
      <w:szCs w:val="20"/>
      <w:lang w:val="en-GB"/>
      <w14:ligatures w14:val="none"/>
    </w:rPr>
  </w:style>
  <w:style w:type="character" w:customStyle="1" w:styleId="FootnoteTextChar">
    <w:name w:val="Footnote Text Char"/>
    <w:aliases w:val="5_G Char,ADB Char,single space Char,fn Char,ft Char,Footnote Text Char1 Char,Footnote Text Char Char Char,FOOTNOTES Char,Schriftart: 9 pt Char,Schriftart: 10 pt Char,Schriftart: 8 pt Char,Footnotes Char,Footnote ak Char"/>
    <w:basedOn w:val="DefaultParagraphFont"/>
    <w:link w:val="FootnoteText"/>
    <w:uiPriority w:val="99"/>
    <w:qFormat/>
    <w:rsid w:val="003133BC"/>
    <w:rPr>
      <w:rFonts w:ascii="Times New Roman" w:hAnsi="Times New Roman" w:cs="Times New Roman"/>
      <w:kern w:val="0"/>
      <w:sz w:val="18"/>
      <w:szCs w:val="20"/>
      <w:lang w:val="en-GB"/>
      <w14:ligatures w14:val="none"/>
    </w:rPr>
  </w:style>
  <w:style w:type="character" w:styleId="FootnoteReference">
    <w:name w:val="footnote reference"/>
    <w:aliases w:val="4_G,Ref,de nota al pie,ftref, BVI fnr,16 Point,Superscript 6 Point,(Diplomarbeit FZ),BVI fnr,Знак сноски 1,FNRefe Char Char Char,BVI fnr Char Char Char,BVI fnr Char Char Char Char,BVI fnr Car Car Char Char Char Char,Style 12,FR,Style "/>
    <w:link w:val="Char2"/>
    <w:uiPriority w:val="99"/>
    <w:qFormat/>
    <w:rsid w:val="003133BC"/>
    <w:rPr>
      <w:rFonts w:ascii="Times New Roman" w:hAnsi="Times New Roman"/>
      <w:sz w:val="18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3133BC"/>
    <w:pPr>
      <w:spacing w:line="240" w:lineRule="exact"/>
      <w:jc w:val="both"/>
    </w:pPr>
    <w:rPr>
      <w:rFonts w:ascii="Times New Roman" w:hAnsi="Times New Roman"/>
      <w:sz w:val="18"/>
      <w:vertAlign w:val="superscript"/>
    </w:rPr>
  </w:style>
  <w:style w:type="paragraph" w:styleId="Revision">
    <w:name w:val="Revision"/>
    <w:hidden/>
    <w:uiPriority w:val="99"/>
    <w:semiHidden/>
    <w:rsid w:val="0010029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00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02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02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29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D72"/>
  </w:style>
  <w:style w:type="paragraph" w:styleId="Footer">
    <w:name w:val="footer"/>
    <w:basedOn w:val="Normal"/>
    <w:link w:val="FooterChar"/>
    <w:uiPriority w:val="99"/>
    <w:unhideWhenUsed/>
    <w:rsid w:val="00EE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D72"/>
  </w:style>
  <w:style w:type="character" w:customStyle="1" w:styleId="cf01">
    <w:name w:val="cf01"/>
    <w:basedOn w:val="DefaultParagraphFont"/>
    <w:rsid w:val="00D3674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9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unitednations-my.sharepoint.com/personal/keith_lockwood_un_org/Documents/FfD4/Policy%20Briefs/External%20Debt%20Sustainability%20Analysis%20and%20Creditor%20Composition%202%20Sept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unitednations-my.sharepoint.com/personal/keith_lockwood_un_org/Documents/FfD4/Policy%20Briefs/External%20Debt%20Sustainability%20Analysis%20and%20Creditor%20Composition%202%20Sept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unitednations-my.sharepoint.com/personal/keith_lockwood_un_org/Documents/FfD4/Policy%20Briefs/External%20Debt%20Sustainability%20Analysis%20and%20Creditor%20Composition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unitednations-my.sharepoint.com/personal/keith_lockwood_un_org/Documents/FfD4/Policy%20Briefs/External%20Debt%20Sustainability%20Analysis%20and%20Creditor%20Composition.xlsx" TargetMode="Externa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unitednations-my.sharepoint.com/personal/keith_lockwood_un_org/Documents/FfD4/Policy%20Briefs/External%20Debt%20Sustainability%20Analysis%20and%20Creditor%20Composition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unitednations-my.sharepoint.com/personal/keith_lockwood_un_org/Documents/FfD4/Policy%20Briefs/External%20Debt%20Sustainability%20Analysis%20and%20Creditor%20Composition%202%20Sept%20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unitednations-my.sharepoint.com/personal/keith_lockwood_un_org/Documents/FfD4/Policy%20Briefs/External%20Debt%20Sustainability%20Analysis%20and%20Creditor%20Composition%202%20Sept%20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920876883272152"/>
          <c:y val="3.708385517068926E-2"/>
          <c:w val="0.82023594025835755"/>
          <c:h val="0.814383757643070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Graphs!$C$219</c:f>
              <c:strCache>
                <c:ptCount val="1"/>
                <c:pt idx="0">
                  <c:v>Improving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Graphs!$B$220:$B$222</c:f>
              <c:strCache>
                <c:ptCount val="3"/>
                <c:pt idx="0">
                  <c:v>Emerging  Market Economies </c:v>
                </c:pt>
                <c:pt idx="1">
                  <c:v>Frontier Market Economies</c:v>
                </c:pt>
                <c:pt idx="2">
                  <c:v>Other Developing Countries</c:v>
                </c:pt>
              </c:strCache>
            </c:strRef>
          </c:cat>
          <c:val>
            <c:numRef>
              <c:f>Graphs!$C$220:$C$222</c:f>
              <c:numCache>
                <c:formatCode>General</c:formatCode>
                <c:ptCount val="3"/>
                <c:pt idx="0">
                  <c:v>13</c:v>
                </c:pt>
                <c:pt idx="1">
                  <c:v>12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22-4289-B100-366148FE949F}"/>
            </c:ext>
          </c:extLst>
        </c:ser>
        <c:ser>
          <c:idx val="1"/>
          <c:order val="1"/>
          <c:tx>
            <c:strRef>
              <c:f>Graphs!$D$219</c:f>
              <c:strCache>
                <c:ptCount val="1"/>
                <c:pt idx="0">
                  <c:v>Deteriorating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Graphs!$B$220:$B$222</c:f>
              <c:strCache>
                <c:ptCount val="3"/>
                <c:pt idx="0">
                  <c:v>Emerging  Market Economies </c:v>
                </c:pt>
                <c:pt idx="1">
                  <c:v>Frontier Market Economies</c:v>
                </c:pt>
                <c:pt idx="2">
                  <c:v>Other Developing Countries</c:v>
                </c:pt>
              </c:strCache>
            </c:strRef>
          </c:cat>
          <c:val>
            <c:numRef>
              <c:f>Graphs!$D$220:$D$222</c:f>
              <c:numCache>
                <c:formatCode>General</c:formatCode>
                <c:ptCount val="3"/>
                <c:pt idx="0">
                  <c:v>4</c:v>
                </c:pt>
                <c:pt idx="1">
                  <c:v>22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22-4289-B100-366148FE94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507115983"/>
        <c:axId val="507116463"/>
      </c:barChart>
      <c:catAx>
        <c:axId val="5071159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7116463"/>
        <c:crosses val="autoZero"/>
        <c:auto val="1"/>
        <c:lblAlgn val="ctr"/>
        <c:lblOffset val="100"/>
        <c:noMultiLvlLbl val="0"/>
      </c:catAx>
      <c:valAx>
        <c:axId val="507116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/>
                  <a:t>Number of Countries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71159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905623896657046"/>
          <c:y val="5.9834024455641628E-2"/>
          <c:w val="0.31375787401574801"/>
          <c:h val="0.106763264504276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472202897534456"/>
          <c:y val="3.649029689832476E-2"/>
          <c:w val="0.73371949903028011"/>
          <c:h val="0.812120159387109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Graphs!$D$213</c:f>
              <c:strCache>
                <c:ptCount val="1"/>
                <c:pt idx="0">
                  <c:v>Exports Plus Remittances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(Graphs!$B$214,Graphs!$B$216:$B$217)</c:f>
              <c:strCache>
                <c:ptCount val="3"/>
                <c:pt idx="0">
                  <c:v>Emerging  Market Economies </c:v>
                </c:pt>
                <c:pt idx="1">
                  <c:v>Frontier Market Economies</c:v>
                </c:pt>
                <c:pt idx="2">
                  <c:v>Other Developing Countries</c:v>
                </c:pt>
              </c:strCache>
            </c:strRef>
          </c:cat>
          <c:val>
            <c:numRef>
              <c:f>(Graphs!$D$214,Graphs!$D$216:$D$217)</c:f>
              <c:numCache>
                <c:formatCode>0.0%</c:formatCode>
                <c:ptCount val="3"/>
                <c:pt idx="0">
                  <c:v>6.4430953508783695E-2</c:v>
                </c:pt>
                <c:pt idx="1">
                  <c:v>6.0811070654198884E-2</c:v>
                </c:pt>
                <c:pt idx="2">
                  <c:v>5.0176258019703823E-2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AA-404C-9D89-089995339095}"/>
            </c:ext>
          </c:extLst>
        </c:ser>
        <c:ser>
          <c:idx val="2"/>
          <c:order val="1"/>
          <c:tx>
            <c:strRef>
              <c:f>Graphs!$E$213</c:f>
              <c:strCache>
                <c:ptCount val="1"/>
                <c:pt idx="0">
                  <c:v>Total External Debt Service Costs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(Graphs!$B$214,Graphs!$B$216:$B$217)</c:f>
              <c:strCache>
                <c:ptCount val="3"/>
                <c:pt idx="0">
                  <c:v>Emerging  Market Economies </c:v>
                </c:pt>
                <c:pt idx="1">
                  <c:v>Frontier Market Economies</c:v>
                </c:pt>
                <c:pt idx="2">
                  <c:v>Other Developing Countries</c:v>
                </c:pt>
              </c:strCache>
            </c:strRef>
          </c:cat>
          <c:val>
            <c:numRef>
              <c:f>(Graphs!$E$214,Graphs!$E$216:$E$217)</c:f>
              <c:numCache>
                <c:formatCode>0.0%</c:formatCode>
                <c:ptCount val="3"/>
                <c:pt idx="0">
                  <c:v>2.440056545011382E-2</c:v>
                </c:pt>
                <c:pt idx="1">
                  <c:v>0.11817711132894226</c:v>
                </c:pt>
                <c:pt idx="2">
                  <c:v>0.16165358656741335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AA-404C-9D89-0899953390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10"/>
        <c:axId val="550866656"/>
        <c:axId val="550865696"/>
      </c:barChart>
      <c:catAx>
        <c:axId val="550866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865696"/>
        <c:crosses val="autoZero"/>
        <c:auto val="1"/>
        <c:lblAlgn val="ctr"/>
        <c:lblOffset val="100"/>
        <c:noMultiLvlLbl val="0"/>
      </c:catAx>
      <c:valAx>
        <c:axId val="55086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/>
                  <a:t>Median Annual Change: 2017 to 2023</a:t>
                </a:r>
              </a:p>
            </c:rich>
          </c:tx>
          <c:layout>
            <c:manualLayout>
              <c:xMode val="edge"/>
              <c:yMode val="edge"/>
              <c:x val="2.8122802906022967E-2"/>
              <c:y val="0.2193126920670825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086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4494223199836135"/>
          <c:y val="7.1968686780299412E-2"/>
          <c:w val="0.52751784776719723"/>
          <c:h val="0.124178358906402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2.3081586465724294E-2"/>
          <c:w val="0.96141027988674943"/>
          <c:h val="0.9707443602739993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260-496A-9D50-8F58AE0C9F3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260-496A-9D50-8F58AE0C9F3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260-496A-9D50-8F58AE0C9F3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260-496A-9D50-8F58AE0C9F35}"/>
              </c:ext>
            </c:extLst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260-496A-9D50-8F58AE0C9F3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260-496A-9D50-8F58AE0C9F3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260-496A-9D50-8F58AE0C9F3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260-496A-9D50-8F58AE0C9F35}"/>
              </c:ext>
            </c:extLst>
          </c:dPt>
          <c:dPt>
            <c:idx val="8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260-496A-9D50-8F58AE0C9F3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5260-496A-9D50-8F58AE0C9F3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5260-496A-9D50-8F58AE0C9F3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EB305C0-EED8-44C9-8D33-418788BD9727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
</a:t>
                    </a:r>
                    <a:fld id="{FC4419A9-31CB-461A-B310-DA31FC0C06C1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30CFDDB3-9F67-4799-8FC3-612ED0B851BE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787126126725111"/>
                      <c:h val="0.18568041744845201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5260-496A-9D50-8F58AE0C9F35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5260-496A-9D50-8F58AE0C9F3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5260-496A-9D50-8F58AE0C9F35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5260-496A-9D50-8F58AE0C9F35}"/>
                </c:ext>
              </c:extLst>
            </c:dLbl>
            <c:dLbl>
              <c:idx val="4"/>
              <c:layout>
                <c:manualLayout>
                  <c:x val="-2.7777777777777779E-3"/>
                  <c:y val="3.3648545110774773E-2"/>
                </c:manualLayout>
              </c:layout>
              <c:tx>
                <c:rich>
                  <a:bodyPr/>
                  <a:lstStyle/>
                  <a:p>
                    <a:fld id="{2BAAB7C8-1616-45B7-8C96-F8786BF8F779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
</a:t>
                    </a:r>
                    <a:fld id="{59527609-0C7E-47A6-857B-7EE6EE0E3F06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77DB0273-BDD4-4A63-906A-C373F0647AC1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5260-496A-9D50-8F58AE0C9F35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B-5260-496A-9D50-8F58AE0C9F35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D-5260-496A-9D50-8F58AE0C9F35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F-5260-496A-9D50-8F58AE0C9F35}"/>
                </c:ext>
              </c:extLst>
            </c:dLbl>
            <c:dLbl>
              <c:idx val="8"/>
              <c:layout>
                <c:manualLayout>
                  <c:x val="-8.3333333333333332E-3"/>
                  <c:y val="-2.2546323151834004E-2"/>
                </c:manualLayout>
              </c:layout>
              <c:tx>
                <c:rich>
                  <a:bodyPr/>
                  <a:lstStyle/>
                  <a:p>
                    <a:fld id="{51FCE94E-8581-4C56-B38A-C6419E81E658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
</a:t>
                    </a:r>
                    <a:fld id="{FE1B3A8E-0AC6-4C12-B29B-74EBB369BA65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E79C5AC3-D356-4B8E-BC92-28CD4C644EEB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1-5260-496A-9D50-8F58AE0C9F35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3-5260-496A-9D50-8F58AE0C9F35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5-5260-496A-9D50-8F58AE0C9F35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50" b="0" i="0" u="none" strike="noStrike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Analysis!$AS$267:$AS$277</c:f>
              <c:strCache>
                <c:ptCount val="11"/>
                <c:pt idx="1">
                  <c:v>IMF</c:v>
                </c:pt>
                <c:pt idx="2">
                  <c:v>World Bank</c:v>
                </c:pt>
                <c:pt idx="3">
                  <c:v>MDBs</c:v>
                </c:pt>
                <c:pt idx="5">
                  <c:v>Paris Club</c:v>
                </c:pt>
                <c:pt idx="6">
                  <c:v>Non-Paris Club Ex China</c:v>
                </c:pt>
                <c:pt idx="7">
                  <c:v>China</c:v>
                </c:pt>
                <c:pt idx="9">
                  <c:v>Bondholders</c:v>
                </c:pt>
                <c:pt idx="10">
                  <c:v>Other Lenders</c:v>
                </c:pt>
              </c:strCache>
            </c:strRef>
          </c:cat>
          <c:val>
            <c:numRef>
              <c:f>Analysis!$AT$187:$AT$197</c:f>
              <c:numCache>
                <c:formatCode>General</c:formatCode>
                <c:ptCount val="11"/>
                <c:pt idx="0" formatCode="0.0%">
                  <c:v>0.43978561774367303</c:v>
                </c:pt>
                <c:pt idx="4" formatCode="0.0%">
                  <c:v>0.12690788156733232</c:v>
                </c:pt>
                <c:pt idx="8" formatCode="0.0%">
                  <c:v>0.43330650068899479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Analysis!$AR$267:$AR$277</c15:f>
                <c15:dlblRangeCache>
                  <c:ptCount val="11"/>
                  <c:pt idx="0">
                    <c:v>Multilateral</c:v>
                  </c:pt>
                  <c:pt idx="4">
                    <c:v>Bilateral</c:v>
                  </c:pt>
                  <c:pt idx="8">
                    <c:v>Private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6-5260-496A-9D50-8F58AE0C9F3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5260-496A-9D50-8F58AE0C9F35}"/>
              </c:ext>
            </c:extLst>
          </c:dPt>
          <c:dPt>
            <c:idx val="1"/>
            <c:bubble3D val="0"/>
            <c:spPr>
              <a:solidFill>
                <a:schemeClr val="tx2">
                  <a:lumMod val="50000"/>
                  <a:alpha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5260-496A-9D50-8F58AE0C9F35}"/>
              </c:ext>
            </c:extLst>
          </c:dPt>
          <c:dPt>
            <c:idx val="2"/>
            <c:bubble3D val="0"/>
            <c:spPr>
              <a:solidFill>
                <a:schemeClr val="tx2">
                  <a:lumMod val="50000"/>
                  <a:alpha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5260-496A-9D50-8F58AE0C9F35}"/>
              </c:ext>
            </c:extLst>
          </c:dPt>
          <c:dPt>
            <c:idx val="3"/>
            <c:bubble3D val="0"/>
            <c:spPr>
              <a:solidFill>
                <a:schemeClr val="tx2">
                  <a:lumMod val="50000"/>
                  <a:alpha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5260-496A-9D50-8F58AE0C9F3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5260-496A-9D50-8F58AE0C9F35}"/>
              </c:ext>
            </c:extLst>
          </c:dPt>
          <c:dPt>
            <c:idx val="5"/>
            <c:bubble3D val="0"/>
            <c:spPr>
              <a:solidFill>
                <a:schemeClr val="accent2">
                  <a:lumMod val="75000"/>
                  <a:alpha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5260-496A-9D50-8F58AE0C9F35}"/>
              </c:ext>
            </c:extLst>
          </c:dPt>
          <c:dPt>
            <c:idx val="6"/>
            <c:bubble3D val="0"/>
            <c:spPr>
              <a:solidFill>
                <a:schemeClr val="accent2">
                  <a:lumMod val="75000"/>
                  <a:alpha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5260-496A-9D50-8F58AE0C9F35}"/>
              </c:ext>
            </c:extLst>
          </c:dPt>
          <c:dPt>
            <c:idx val="7"/>
            <c:bubble3D val="0"/>
            <c:spPr>
              <a:solidFill>
                <a:schemeClr val="accent2">
                  <a:lumMod val="75000"/>
                  <a:alpha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5260-496A-9D50-8F58AE0C9F3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5260-496A-9D50-8F58AE0C9F35}"/>
              </c:ext>
            </c:extLst>
          </c:dPt>
          <c:dPt>
            <c:idx val="9"/>
            <c:bubble3D val="0"/>
            <c:spPr>
              <a:solidFill>
                <a:schemeClr val="accent6">
                  <a:lumMod val="75000"/>
                  <a:alpha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5260-496A-9D50-8F58AE0C9F35}"/>
              </c:ext>
            </c:extLst>
          </c:dPt>
          <c:dPt>
            <c:idx val="10"/>
            <c:bubble3D val="0"/>
            <c:spPr>
              <a:solidFill>
                <a:schemeClr val="accent6">
                  <a:lumMod val="75000"/>
                  <a:alpha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5260-496A-9D50-8F58AE0C9F35}"/>
              </c:ext>
            </c:extLst>
          </c:dPt>
          <c:dLbls>
            <c:dLbl>
              <c:idx val="5"/>
              <c:layout>
                <c:manualLayout>
                  <c:x val="0.28306108298585708"/>
                  <c:y val="7.7282796601551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50" b="0" i="0" u="none" strike="noStrike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789011907248797"/>
                      <c:h val="0.1232305267616864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2-5260-496A-9D50-8F58AE0C9F35}"/>
                </c:ext>
              </c:extLst>
            </c:dLbl>
            <c:dLbl>
              <c:idx val="6"/>
              <c:layout>
                <c:manualLayout>
                  <c:x val="4.4059585096173446E-4"/>
                  <c:y val="6.195682539591801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945936191027991"/>
                      <c:h val="0.2543333007658671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4-5260-496A-9D50-8F58AE0C9F35}"/>
                </c:ext>
              </c:extLst>
            </c:dLbl>
            <c:dLbl>
              <c:idx val="7"/>
              <c:layout>
                <c:manualLayout>
                  <c:x val="-0.21729282030337282"/>
                  <c:y val="9.40882073205015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50" b="0" i="0" u="none" strike="noStrike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5260-496A-9D50-8F58AE0C9F35}"/>
                </c:ext>
              </c:extLst>
            </c:dLbl>
            <c:dLbl>
              <c:idx val="9"/>
              <c:layout>
                <c:manualLayout>
                  <c:x val="5.2224775433465626E-2"/>
                  <c:y val="-0.1542721518987342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948803271327036"/>
                      <c:h val="0.142227212698096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A-5260-496A-9D50-8F58AE0C9F35}"/>
                </c:ext>
              </c:extLst>
            </c:dLbl>
            <c:dLbl>
              <c:idx val="10"/>
              <c:layout>
                <c:manualLayout>
                  <c:x val="-7.2380156340529807E-3"/>
                  <c:y val="-2.886906482853229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595176809171471"/>
                      <c:h val="0.1966829038747973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C-5260-496A-9D50-8F58AE0C9F3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50" b="0" i="0" u="none" strike="noStrike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Analysis!$AS$267:$AS$277</c:f>
              <c:strCache>
                <c:ptCount val="11"/>
                <c:pt idx="1">
                  <c:v>IMF</c:v>
                </c:pt>
                <c:pt idx="2">
                  <c:v>World Bank</c:v>
                </c:pt>
                <c:pt idx="3">
                  <c:v>MDBs</c:v>
                </c:pt>
                <c:pt idx="5">
                  <c:v>Paris Club</c:v>
                </c:pt>
                <c:pt idx="6">
                  <c:v>Non-Paris Club Ex China</c:v>
                </c:pt>
                <c:pt idx="7">
                  <c:v>China</c:v>
                </c:pt>
                <c:pt idx="9">
                  <c:v>Bondholders</c:v>
                </c:pt>
                <c:pt idx="10">
                  <c:v>Other Lenders</c:v>
                </c:pt>
              </c:strCache>
            </c:strRef>
          </c:cat>
          <c:val>
            <c:numRef>
              <c:f>Analysis!$AU$187:$AU$197</c:f>
              <c:numCache>
                <c:formatCode>0.0%</c:formatCode>
                <c:ptCount val="11"/>
                <c:pt idx="1">
                  <c:v>0.21156541674420065</c:v>
                </c:pt>
                <c:pt idx="2">
                  <c:v>8.3019776511273888E-2</c:v>
                </c:pt>
                <c:pt idx="3">
                  <c:v>0.14520042448819848</c:v>
                </c:pt>
                <c:pt idx="5">
                  <c:v>4.0626689237199809E-2</c:v>
                </c:pt>
                <c:pt idx="6">
                  <c:v>6.8196558927695675E-2</c:v>
                </c:pt>
                <c:pt idx="7">
                  <c:v>1.8084633402436847E-2</c:v>
                </c:pt>
                <c:pt idx="9">
                  <c:v>0.37396716205904967</c:v>
                </c:pt>
                <c:pt idx="10">
                  <c:v>5.9339338629945143E-2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5260-496A-9D50-8F58AE0C9F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50"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2919602154993781E-2"/>
          <c:y val="8.3380297715664273E-3"/>
          <c:w val="0.88934128813466096"/>
          <c:h val="0.97256444042608781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F1D-4031-ADA3-85FD9DBDAA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F1D-4031-ADA3-85FD9DBDAA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F1D-4031-ADA3-85FD9DBDAA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F1D-4031-ADA3-85FD9DBDAA0E}"/>
              </c:ext>
            </c:extLst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F1D-4031-ADA3-85FD9DBDAA0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F1D-4031-ADA3-85FD9DBDAA0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F1D-4031-ADA3-85FD9DBDAA0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F1D-4031-ADA3-85FD9DBDAA0E}"/>
              </c:ext>
            </c:extLst>
          </c:dPt>
          <c:dPt>
            <c:idx val="8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F1D-4031-ADA3-85FD9DBDAA0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F1D-4031-ADA3-85FD9DBDAA0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F1D-4031-ADA3-85FD9DBDAA0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B560E0CE-99C7-4C52-9BF4-F2E41E5B9895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
</a:t>
                    </a:r>
                    <a:fld id="{C0486656-45C1-4A3D-B6D5-E0D8B76939B9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E564461D-E869-4B9A-AA07-A897E291B6E1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110491176069045"/>
                      <c:h val="0.1876099120703437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2F1D-4031-ADA3-85FD9DBDAA0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2F1D-4031-ADA3-85FD9DBDAA0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2F1D-4031-ADA3-85FD9DBDAA0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2F1D-4031-ADA3-85FD9DBDAA0E}"/>
                </c:ext>
              </c:extLst>
            </c:dLbl>
            <c:dLbl>
              <c:idx val="4"/>
              <c:layout>
                <c:manualLayout>
                  <c:x val="-5.5555555555556061E-3"/>
                  <c:y val="1.6760189193739474E-2"/>
                </c:manualLayout>
              </c:layout>
              <c:tx>
                <c:rich>
                  <a:bodyPr/>
                  <a:lstStyle/>
                  <a:p>
                    <a:fld id="{4FF49F4D-BF60-4E0D-906D-6E5CB04E8B13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
</a:t>
                    </a:r>
                    <a:fld id="{BA60AE77-29D2-494F-99E6-4F8BBA030854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3DEC6185-C624-4452-9D8B-93256BD7E3C5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2F1D-4031-ADA3-85FD9DBDAA0E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B-2F1D-4031-ADA3-85FD9DBDAA0E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D-2F1D-4031-ADA3-85FD9DBDAA0E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F-2F1D-4031-ADA3-85FD9DBDAA0E}"/>
                </c:ext>
              </c:extLst>
            </c:dLbl>
            <c:dLbl>
              <c:idx val="8"/>
              <c:layout>
                <c:manualLayout>
                  <c:x val="-8.3333333333333332E-3"/>
                  <c:y val="-2.2546323151834004E-2"/>
                </c:manualLayout>
              </c:layout>
              <c:tx>
                <c:rich>
                  <a:bodyPr/>
                  <a:lstStyle/>
                  <a:p>
                    <a:fld id="{59C3A3D2-CD7D-41F5-8B40-D76D8E07EBD9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
</a:t>
                    </a:r>
                    <a:fld id="{70C53A9C-7311-4A43-8D10-386AF40949AF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ABAD7726-4D68-486A-97E0-2104C3338347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1-2F1D-4031-ADA3-85FD9DBDAA0E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3-2F1D-4031-ADA3-85FD9DBDAA0E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5-2F1D-4031-ADA3-85FD9DBDAA0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50" b="0" i="0" u="none" strike="noStrike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Analysis!$AS$267:$AS$277</c:f>
              <c:strCache>
                <c:ptCount val="11"/>
                <c:pt idx="1">
                  <c:v>IMF</c:v>
                </c:pt>
                <c:pt idx="2">
                  <c:v>World Bank</c:v>
                </c:pt>
                <c:pt idx="3">
                  <c:v>MDBs</c:v>
                </c:pt>
                <c:pt idx="5">
                  <c:v>Paris Club</c:v>
                </c:pt>
                <c:pt idx="6">
                  <c:v>Non-Paris Club Ex China</c:v>
                </c:pt>
                <c:pt idx="7">
                  <c:v>China</c:v>
                </c:pt>
                <c:pt idx="9">
                  <c:v>Bondholders</c:v>
                </c:pt>
                <c:pt idx="10">
                  <c:v>Other Lenders</c:v>
                </c:pt>
              </c:strCache>
            </c:strRef>
          </c:cat>
          <c:val>
            <c:numRef>
              <c:f>Analysis!$AT$221:$AT$231</c:f>
              <c:numCache>
                <c:formatCode>General</c:formatCode>
                <c:ptCount val="11"/>
                <c:pt idx="0" formatCode="0.0%">
                  <c:v>0.45324113391268139</c:v>
                </c:pt>
                <c:pt idx="4" formatCode="0.0%">
                  <c:v>0.23927152113798855</c:v>
                </c:pt>
                <c:pt idx="8" formatCode="0.0%">
                  <c:v>0.30748734494933017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Analysis!$AR$267:$AR$277</c15:f>
                <c15:dlblRangeCache>
                  <c:ptCount val="11"/>
                  <c:pt idx="0">
                    <c:v>Multilateral</c:v>
                  </c:pt>
                  <c:pt idx="4">
                    <c:v>Bilateral</c:v>
                  </c:pt>
                  <c:pt idx="8">
                    <c:v>Private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6-2F1D-4031-ADA3-85FD9DBDAA0E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2F1D-4031-ADA3-85FD9DBDAA0E}"/>
              </c:ext>
            </c:extLst>
          </c:dPt>
          <c:dPt>
            <c:idx val="1"/>
            <c:bubble3D val="0"/>
            <c:spPr>
              <a:solidFill>
                <a:schemeClr val="tx2">
                  <a:lumMod val="50000"/>
                  <a:alpha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2F1D-4031-ADA3-85FD9DBDAA0E}"/>
              </c:ext>
            </c:extLst>
          </c:dPt>
          <c:dPt>
            <c:idx val="2"/>
            <c:bubble3D val="0"/>
            <c:spPr>
              <a:solidFill>
                <a:schemeClr val="tx2">
                  <a:lumMod val="50000"/>
                  <a:alpha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2F1D-4031-ADA3-85FD9DBDAA0E}"/>
              </c:ext>
            </c:extLst>
          </c:dPt>
          <c:dPt>
            <c:idx val="3"/>
            <c:bubble3D val="0"/>
            <c:spPr>
              <a:solidFill>
                <a:schemeClr val="tx2">
                  <a:lumMod val="50000"/>
                  <a:alpha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2F1D-4031-ADA3-85FD9DBDAA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2F1D-4031-ADA3-85FD9DBDAA0E}"/>
              </c:ext>
            </c:extLst>
          </c:dPt>
          <c:dPt>
            <c:idx val="5"/>
            <c:bubble3D val="0"/>
            <c:spPr>
              <a:solidFill>
                <a:schemeClr val="accent2">
                  <a:lumMod val="75000"/>
                  <a:alpha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2F1D-4031-ADA3-85FD9DBDAA0E}"/>
              </c:ext>
            </c:extLst>
          </c:dPt>
          <c:dPt>
            <c:idx val="6"/>
            <c:bubble3D val="0"/>
            <c:spPr>
              <a:solidFill>
                <a:schemeClr val="accent2">
                  <a:lumMod val="75000"/>
                  <a:alpha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2F1D-4031-ADA3-85FD9DBDAA0E}"/>
              </c:ext>
            </c:extLst>
          </c:dPt>
          <c:dPt>
            <c:idx val="7"/>
            <c:bubble3D val="0"/>
            <c:spPr>
              <a:solidFill>
                <a:schemeClr val="accent2">
                  <a:lumMod val="75000"/>
                  <a:alpha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2F1D-4031-ADA3-85FD9DBDAA0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2F1D-4031-ADA3-85FD9DBDAA0E}"/>
              </c:ext>
            </c:extLst>
          </c:dPt>
          <c:dPt>
            <c:idx val="9"/>
            <c:bubble3D val="0"/>
            <c:spPr>
              <a:solidFill>
                <a:schemeClr val="accent6">
                  <a:lumMod val="75000"/>
                  <a:alpha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2F1D-4031-ADA3-85FD9DBDAA0E}"/>
              </c:ext>
            </c:extLst>
          </c:dPt>
          <c:dPt>
            <c:idx val="10"/>
            <c:bubble3D val="0"/>
            <c:spPr>
              <a:solidFill>
                <a:schemeClr val="accent6">
                  <a:lumMod val="75000"/>
                  <a:alpha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2F1D-4031-ADA3-85FD9DBDAA0E}"/>
              </c:ext>
            </c:extLst>
          </c:dPt>
          <c:dLbls>
            <c:dLbl>
              <c:idx val="6"/>
              <c:layout>
                <c:manualLayout>
                  <c:x val="-0.27398931904345292"/>
                  <c:y val="7.220348037350332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50" b="0" i="0" u="none" strike="noStrike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548410615339747"/>
                      <c:h val="0.2011781752188039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4-2F1D-4031-ADA3-85FD9DBDAA0E}"/>
                </c:ext>
              </c:extLst>
            </c:dLbl>
            <c:dLbl>
              <c:idx val="9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53100506785931"/>
                      <c:h val="0.1437051933256544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A-2F1D-4031-ADA3-85FD9DBDAA0E}"/>
                </c:ext>
              </c:extLst>
            </c:dLbl>
            <c:dLbl>
              <c:idx val="10"/>
              <c:layout>
                <c:manualLayout>
                  <c:x val="-8.3559640693545018E-3"/>
                  <c:y val="-1.393578050945071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360622354835686"/>
                      <c:h val="0.1786970423661070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C-2F1D-4031-ADA3-85FD9DBDAA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50" b="0" i="0" u="none" strike="noStrike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Analysis!$AS$267:$AS$277</c:f>
              <c:strCache>
                <c:ptCount val="11"/>
                <c:pt idx="1">
                  <c:v>IMF</c:v>
                </c:pt>
                <c:pt idx="2">
                  <c:v>World Bank</c:v>
                </c:pt>
                <c:pt idx="3">
                  <c:v>MDBs</c:v>
                </c:pt>
                <c:pt idx="5">
                  <c:v>Paris Club</c:v>
                </c:pt>
                <c:pt idx="6">
                  <c:v>Non-Paris Club Ex China</c:v>
                </c:pt>
                <c:pt idx="7">
                  <c:v>China</c:v>
                </c:pt>
                <c:pt idx="9">
                  <c:v>Bondholders</c:v>
                </c:pt>
                <c:pt idx="10">
                  <c:v>Other Lenders</c:v>
                </c:pt>
              </c:strCache>
            </c:strRef>
          </c:cat>
          <c:val>
            <c:numRef>
              <c:f>Analysis!$AU$221:$AU$231</c:f>
              <c:numCache>
                <c:formatCode>0.0%</c:formatCode>
                <c:ptCount val="11"/>
                <c:pt idx="1">
                  <c:v>0.10127110498756572</c:v>
                </c:pt>
                <c:pt idx="2">
                  <c:v>0.19572590431995213</c:v>
                </c:pt>
                <c:pt idx="3">
                  <c:v>0.15624412460516357</c:v>
                </c:pt>
                <c:pt idx="5">
                  <c:v>0.1010958550711156</c:v>
                </c:pt>
                <c:pt idx="6">
                  <c:v>1.9912341542049045E-2</c:v>
                </c:pt>
                <c:pt idx="7">
                  <c:v>0.11826332452482391</c:v>
                </c:pt>
                <c:pt idx="9">
                  <c:v>0.17919041000583036</c:v>
                </c:pt>
                <c:pt idx="10">
                  <c:v>0.12829693494349981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2F1D-4031-ADA3-85FD9DBDAA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0"/>
      </c:doughnutChart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50"/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1379364023120822E-2"/>
          <c:y val="0"/>
          <c:w val="0.87551596784705632"/>
          <c:h val="0.98774509803921573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70A-4D74-818E-D01B0B47B1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70A-4D74-818E-D01B0B47B1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70A-4D74-818E-D01B0B47B1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70A-4D74-818E-D01B0B47B194}"/>
              </c:ext>
            </c:extLst>
          </c:dPt>
          <c:dPt>
            <c:idx val="4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70A-4D74-818E-D01B0B47B19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70A-4D74-818E-D01B0B47B19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70A-4D74-818E-D01B0B47B19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70A-4D74-818E-D01B0B47B194}"/>
              </c:ext>
            </c:extLst>
          </c:dPt>
          <c:dPt>
            <c:idx val="8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70A-4D74-818E-D01B0B47B19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70A-4D74-818E-D01B0B47B19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770A-4D74-818E-D01B0B47B19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757618D-3B7D-462A-937C-6D64D4183F65}" type="CELLRANGE">
                      <a:rPr lang="en-US"/>
                      <a:pPr/>
                      <a:t>[CELLRANGE]</a:t>
                    </a:fld>
                    <a:r>
                      <a:rPr lang="en-US" baseline="0"/>
                      <a:t>
</a:t>
                    </a:r>
                    <a:fld id="{19BDC2ED-3E77-4D39-A818-3C0D679627E5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9506B3FB-E992-416D-947F-25F60D95701B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1-770A-4D74-818E-D01B0B47B19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3-770A-4D74-818E-D01B0B47B19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5-770A-4D74-818E-D01B0B47B19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7-770A-4D74-818E-D01B0B47B194}"/>
                </c:ext>
              </c:extLst>
            </c:dLbl>
            <c:dLbl>
              <c:idx val="4"/>
              <c:layout>
                <c:manualLayout>
                  <c:x val="-8.3333333333333835E-3"/>
                  <c:y val="2.6746904572308642E-3"/>
                </c:manualLayout>
              </c:layout>
              <c:tx>
                <c:rich>
                  <a:bodyPr/>
                  <a:lstStyle/>
                  <a:p>
                    <a:fld id="{99BA3FF6-1920-4083-8F64-79AC95749934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
</a:t>
                    </a:r>
                    <a:fld id="{382AA035-8CCB-4FBD-8913-504672A8A28F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7E5F7212-E0CB-4997-B369-B683E0C40A47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770A-4D74-818E-D01B0B47B19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B-770A-4D74-818E-D01B0B47B194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D-770A-4D74-818E-D01B0B47B194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F-770A-4D74-818E-D01B0B47B194}"/>
                </c:ext>
              </c:extLst>
            </c:dLbl>
            <c:dLbl>
              <c:idx val="8"/>
              <c:layout>
                <c:manualLayout>
                  <c:x val="-8.3333333333333332E-3"/>
                  <c:y val="-2.2546323151834004E-2"/>
                </c:manualLayout>
              </c:layout>
              <c:tx>
                <c:rich>
                  <a:bodyPr/>
                  <a:lstStyle/>
                  <a:p>
                    <a:fld id="{1AB7FA9B-5772-4F50-8AFE-0DF069D7F90E}" type="CELLRANGE">
                      <a:rPr lang="en-US" baseline="0"/>
                      <a:pPr/>
                      <a:t>[CELLRANGE]</a:t>
                    </a:fld>
                    <a:r>
                      <a:rPr lang="en-US" baseline="0"/>
                      <a:t>
</a:t>
                    </a:r>
                    <a:fld id="{C1DC8D74-CC52-4F56-AD3B-BB39517CD6B6}" type="CATEGORYNAME">
                      <a:rPr lang="en-US" baseline="0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fld id="{753AAF0F-8820-43BA-AB65-FD05B17B4F6A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11-770A-4D74-818E-D01B0B47B194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3-770A-4D74-818E-D01B0B47B194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endParaRPr 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15-770A-4D74-818E-D01B0B47B194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50" b="0" i="0" u="none" strike="noStrike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Analysis!$AS$267:$AS$277</c:f>
              <c:strCache>
                <c:ptCount val="11"/>
                <c:pt idx="1">
                  <c:v>IMF</c:v>
                </c:pt>
                <c:pt idx="2">
                  <c:v>World Bank</c:v>
                </c:pt>
                <c:pt idx="3">
                  <c:v>MDBs</c:v>
                </c:pt>
                <c:pt idx="5">
                  <c:v>Paris Club</c:v>
                </c:pt>
                <c:pt idx="6">
                  <c:v>Non-Paris Club Ex China</c:v>
                </c:pt>
                <c:pt idx="7">
                  <c:v>China</c:v>
                </c:pt>
                <c:pt idx="9">
                  <c:v>Bondholders</c:v>
                </c:pt>
                <c:pt idx="10">
                  <c:v>Other Lenders</c:v>
                </c:pt>
              </c:strCache>
            </c:strRef>
          </c:cat>
          <c:val>
            <c:numRef>
              <c:f>Analysis!$AT$267:$AT$277</c:f>
              <c:numCache>
                <c:formatCode>General</c:formatCode>
                <c:ptCount val="11"/>
                <c:pt idx="0" formatCode="0.0%">
                  <c:v>0.49146104989272227</c:v>
                </c:pt>
                <c:pt idx="4" formatCode="0.0%">
                  <c:v>0.32400076766479535</c:v>
                </c:pt>
                <c:pt idx="8" formatCode="0.0%">
                  <c:v>0.1845381824424828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Analysis!$AR$267:$AR$277</c15:f>
                <c15:dlblRangeCache>
                  <c:ptCount val="11"/>
                  <c:pt idx="0">
                    <c:v>Multilateral</c:v>
                  </c:pt>
                  <c:pt idx="4">
                    <c:v>Bilateral</c:v>
                  </c:pt>
                  <c:pt idx="8">
                    <c:v>Private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6-770A-4D74-818E-D01B0B47B194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770A-4D74-818E-D01B0B47B194}"/>
              </c:ext>
            </c:extLst>
          </c:dPt>
          <c:dPt>
            <c:idx val="1"/>
            <c:bubble3D val="0"/>
            <c:spPr>
              <a:solidFill>
                <a:schemeClr val="tx2">
                  <a:lumMod val="50000"/>
                  <a:alpha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770A-4D74-818E-D01B0B47B194}"/>
              </c:ext>
            </c:extLst>
          </c:dPt>
          <c:dPt>
            <c:idx val="2"/>
            <c:bubble3D val="0"/>
            <c:spPr>
              <a:solidFill>
                <a:schemeClr val="tx2">
                  <a:lumMod val="50000"/>
                  <a:alpha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770A-4D74-818E-D01B0B47B194}"/>
              </c:ext>
            </c:extLst>
          </c:dPt>
          <c:dPt>
            <c:idx val="3"/>
            <c:bubble3D val="0"/>
            <c:spPr>
              <a:solidFill>
                <a:schemeClr val="tx2">
                  <a:lumMod val="50000"/>
                  <a:alpha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770A-4D74-818E-D01B0B47B1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770A-4D74-818E-D01B0B47B194}"/>
              </c:ext>
            </c:extLst>
          </c:dPt>
          <c:dPt>
            <c:idx val="5"/>
            <c:bubble3D val="0"/>
            <c:spPr>
              <a:solidFill>
                <a:schemeClr val="accent2">
                  <a:lumMod val="75000"/>
                  <a:alpha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770A-4D74-818E-D01B0B47B194}"/>
              </c:ext>
            </c:extLst>
          </c:dPt>
          <c:dPt>
            <c:idx val="6"/>
            <c:bubble3D val="0"/>
            <c:spPr>
              <a:solidFill>
                <a:schemeClr val="accent2">
                  <a:lumMod val="75000"/>
                  <a:alpha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770A-4D74-818E-D01B0B47B194}"/>
              </c:ext>
            </c:extLst>
          </c:dPt>
          <c:dPt>
            <c:idx val="7"/>
            <c:bubble3D val="0"/>
            <c:spPr>
              <a:solidFill>
                <a:schemeClr val="accent2">
                  <a:lumMod val="75000"/>
                  <a:alpha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770A-4D74-818E-D01B0B47B19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770A-4D74-818E-D01B0B47B194}"/>
              </c:ext>
            </c:extLst>
          </c:dPt>
          <c:dPt>
            <c:idx val="9"/>
            <c:bubble3D val="0"/>
            <c:spPr>
              <a:solidFill>
                <a:schemeClr val="accent6">
                  <a:lumMod val="75000"/>
                  <a:alpha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770A-4D74-818E-D01B0B47B194}"/>
              </c:ext>
            </c:extLst>
          </c:dPt>
          <c:dPt>
            <c:idx val="10"/>
            <c:bubble3D val="0"/>
            <c:spPr>
              <a:solidFill>
                <a:schemeClr val="accent6">
                  <a:lumMod val="75000"/>
                  <a:alpha val="7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770A-4D74-818E-D01B0B47B194}"/>
              </c:ext>
            </c:extLst>
          </c:dPt>
          <c:dLbls>
            <c:dLbl>
              <c:idx val="6"/>
              <c:layout>
                <c:manualLayout>
                  <c:x val="-0.13117737659218454"/>
                  <c:y val="0.1888214065153621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50" b="0" i="0" u="none" strike="noStrike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337504865123798"/>
                      <c:h val="0.2215076424270495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4-770A-4D74-818E-D01B0B47B194}"/>
                </c:ext>
              </c:extLst>
            </c:dLbl>
            <c:dLbl>
              <c:idx val="9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146176594845793"/>
                      <c:h val="0.158309016519993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A-770A-4D74-818E-D01B0B47B194}"/>
                </c:ext>
              </c:extLst>
            </c:dLbl>
            <c:dLbl>
              <c:idx val="10"/>
              <c:layout>
                <c:manualLayout>
                  <c:x val="-4.2247570764681027E-3"/>
                  <c:y val="-2.90942951983943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909976081887102"/>
                      <c:h val="0.170856106222016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C-770A-4D74-818E-D01B0B47B1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50" b="0" i="0" u="none" strike="noStrike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Analysis!$AS$267:$AS$277</c:f>
              <c:strCache>
                <c:ptCount val="11"/>
                <c:pt idx="1">
                  <c:v>IMF</c:v>
                </c:pt>
                <c:pt idx="2">
                  <c:v>World Bank</c:v>
                </c:pt>
                <c:pt idx="3">
                  <c:v>MDBs</c:v>
                </c:pt>
                <c:pt idx="5">
                  <c:v>Paris Club</c:v>
                </c:pt>
                <c:pt idx="6">
                  <c:v>Non-Paris Club Ex China</c:v>
                </c:pt>
                <c:pt idx="7">
                  <c:v>China</c:v>
                </c:pt>
                <c:pt idx="9">
                  <c:v>Bondholders</c:v>
                </c:pt>
                <c:pt idx="10">
                  <c:v>Other Lenders</c:v>
                </c:pt>
              </c:strCache>
            </c:strRef>
          </c:cat>
          <c:val>
            <c:numRef>
              <c:f>Analysis!$AU$267:$AU$277</c:f>
              <c:numCache>
                <c:formatCode>0.0%</c:formatCode>
                <c:ptCount val="11"/>
                <c:pt idx="1">
                  <c:v>0.11819282801818325</c:v>
                </c:pt>
                <c:pt idx="2">
                  <c:v>0.19698114423066579</c:v>
                </c:pt>
                <c:pt idx="3">
                  <c:v>0.17628707764387325</c:v>
                </c:pt>
                <c:pt idx="5">
                  <c:v>0.13312974063264232</c:v>
                </c:pt>
                <c:pt idx="6">
                  <c:v>6.6237195401631574E-2</c:v>
                </c:pt>
                <c:pt idx="7">
                  <c:v>0.12463383163052143</c:v>
                </c:pt>
                <c:pt idx="9">
                  <c:v>0.11027340251229931</c:v>
                </c:pt>
                <c:pt idx="10">
                  <c:v>7.4264779930183489E-2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770A-4D74-818E-D01B0B47B1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0"/>
      </c:doughnut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50"/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465696453715427"/>
          <c:y val="3.8115038115038115E-2"/>
          <c:w val="0.67167140823669313"/>
          <c:h val="0.5920586164252386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'Country Group Analysis'!$E$301</c:f>
              <c:strCache>
                <c:ptCount val="1"/>
                <c:pt idx="0">
                  <c:v>Deteriorating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6E40A482-13AA-42C2-A539-5E15AC2BE956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95776D1F-1D94-4D5A-99B8-3F3BA79CDCE4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0-022B-434E-A313-6DB05364D66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D0F78E1-46CF-434B-9FC8-A536946B48A4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C9F903C1-8650-499C-A84D-1115B1143F25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022B-434E-A313-6DB05364D66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B32CD74-E41D-448F-8600-BF6DBC3ADCC9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C667CC53-BDF3-436E-B6CA-01660A780908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2-022B-434E-A313-6DB05364D66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0CA1F6C8-CD0B-45B5-BFE8-A429767E0216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9D6708F7-DD8D-4CC6-B225-49C55861E5A4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022B-434E-A313-6DB05364D66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9A1BCB5-85EC-4C98-81CD-74841A39BAEB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D7A810FD-2FE6-48D7-A881-B81949747789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022B-434E-A313-6DB05364D66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B959A88C-FCD8-4B93-A231-34EE26736A40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44FCFEF5-EE1B-470B-BCD0-7CAE2DA7BF1C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022B-434E-A313-6DB05364D6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'Country Group Analysis'!$B$302:$B$307</c:f>
              <c:strCache>
                <c:ptCount val="6"/>
                <c:pt idx="0">
                  <c:v>Sub-Saharan Africa</c:v>
                </c:pt>
                <c:pt idx="1">
                  <c:v>South Asia</c:v>
                </c:pt>
                <c:pt idx="2">
                  <c:v>East Asia &amp; Pacific</c:v>
                </c:pt>
                <c:pt idx="3">
                  <c:v>Middle East &amp; North Africa</c:v>
                </c:pt>
                <c:pt idx="4">
                  <c:v>Latin America &amp; the Caribbean</c:v>
                </c:pt>
                <c:pt idx="5">
                  <c:v>Central Asia</c:v>
                </c:pt>
              </c:strCache>
            </c:strRef>
          </c:cat>
          <c:val>
            <c:numRef>
              <c:f>'Country Group Analysis'!$E$302:$E$307</c:f>
              <c:numCache>
                <c:formatCode>0%</c:formatCode>
                <c:ptCount val="6"/>
                <c:pt idx="0">
                  <c:v>0.86363636363636365</c:v>
                </c:pt>
                <c:pt idx="1">
                  <c:v>0.7142857142857143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0.4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'Country Group Analysis'!$C$310:$C$315</c15:f>
                <c15:dlblRangeCache>
                  <c:ptCount val="6"/>
                  <c:pt idx="0">
                    <c:v>(38)</c:v>
                  </c:pt>
                  <c:pt idx="1">
                    <c:v>(5)</c:v>
                  </c:pt>
                  <c:pt idx="2">
                    <c:v>(4)</c:v>
                  </c:pt>
                  <c:pt idx="3">
                    <c:v>(6)</c:v>
                  </c:pt>
                  <c:pt idx="4">
                    <c:v>(11)</c:v>
                  </c:pt>
                  <c:pt idx="5">
                    <c:v>(2)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6-022B-434E-A313-6DB05364D66F}"/>
            </c:ext>
          </c:extLst>
        </c:ser>
        <c:ser>
          <c:idx val="1"/>
          <c:order val="1"/>
          <c:tx>
            <c:strRef>
              <c:f>'Country Group Analysis'!$F$301</c:f>
              <c:strCache>
                <c:ptCount val="1"/>
                <c:pt idx="0">
                  <c:v>Improving</c:v>
                </c:pt>
              </c:strCache>
            </c:strRef>
          </c:tx>
          <c:spPr>
            <a:solidFill>
              <a:schemeClr val="tx2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5203EC2-38F1-4C8B-8B10-224E02002365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1255038E-9BE9-4D1F-896A-EC390DEE81C9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9.9921816920969783E-2"/>
                      <c:h val="0.12549838669560504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022B-434E-A313-6DB05364D66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9077B636-B137-43D9-8916-D3D4B752402A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F6358439-AA36-4AB3-82A5-BBE362DE3F10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036182722749887"/>
                      <c:h val="0.15235620235620237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8-022B-434E-A313-6DB05364D66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C8067375-4614-48DB-BC00-0FEDBA8EAF17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CB7BA606-DA60-4C63-ABC4-E8FDACD6E0AA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022B-434E-A313-6DB05364D66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29E349EB-9570-420F-94C0-1977874FD716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685C9286-8247-476C-B39E-CE49C8B52E2D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A-022B-434E-A313-6DB05364D66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2A6ADC37-A589-4A7D-A6F0-4B2163D059CF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2E4AC6ED-4E9A-4B09-AAEC-6FD6A6D78BE0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022B-434E-A313-6DB05364D66F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5843AE96-166A-42E1-8FA2-3FBF37FDB67C}" type="CELLRANGE">
                      <a:rPr lang="en-US"/>
                      <a:pPr/>
                      <a:t>[CELLRANGE]</a:t>
                    </a:fld>
                    <a:endParaRPr lang="en-US" baseline="0"/>
                  </a:p>
                  <a:p>
                    <a:fld id="{1B334400-B32D-4FB9-B127-736D11FE3487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C-022B-434E-A313-6DB05364D6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'Country Group Analysis'!$B$302:$B$307</c:f>
              <c:strCache>
                <c:ptCount val="6"/>
                <c:pt idx="0">
                  <c:v>Sub-Saharan Africa</c:v>
                </c:pt>
                <c:pt idx="1">
                  <c:v>South Asia</c:v>
                </c:pt>
                <c:pt idx="2">
                  <c:v>East Asia &amp; Pacific</c:v>
                </c:pt>
                <c:pt idx="3">
                  <c:v>Middle East &amp; North Africa</c:v>
                </c:pt>
                <c:pt idx="4">
                  <c:v>Latin America &amp; the Caribbean</c:v>
                </c:pt>
                <c:pt idx="5">
                  <c:v>Central Asia</c:v>
                </c:pt>
              </c:strCache>
            </c:strRef>
          </c:cat>
          <c:val>
            <c:numRef>
              <c:f>'Country Group Analysis'!$F$302:$F$307</c:f>
              <c:numCache>
                <c:formatCode>0%</c:formatCode>
                <c:ptCount val="6"/>
                <c:pt idx="0">
                  <c:v>0.13636363636363635</c:v>
                </c:pt>
                <c:pt idx="1">
                  <c:v>0.2857142857142857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0.6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'Country Group Analysis'!$D$310:$D$315</c15:f>
                <c15:dlblRangeCache>
                  <c:ptCount val="6"/>
                  <c:pt idx="0">
                    <c:v>(6)</c:v>
                  </c:pt>
                  <c:pt idx="1">
                    <c:v>(2)</c:v>
                  </c:pt>
                  <c:pt idx="2">
                    <c:v>(4)</c:v>
                  </c:pt>
                  <c:pt idx="3">
                    <c:v>(6)</c:v>
                  </c:pt>
                  <c:pt idx="4">
                    <c:v>(11)</c:v>
                  </c:pt>
                  <c:pt idx="5">
                    <c:v>(3)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D-022B-434E-A313-6DB05364D6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1080455023"/>
        <c:axId val="1080443023"/>
      </c:barChart>
      <c:catAx>
        <c:axId val="10804550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0443023"/>
        <c:crosses val="autoZero"/>
        <c:auto val="1"/>
        <c:lblAlgn val="ctr"/>
        <c:lblOffset val="100"/>
        <c:noMultiLvlLbl val="0"/>
      </c:catAx>
      <c:valAx>
        <c:axId val="1080443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/>
                  <a:t>Share of Countries in Region</a:t>
                </a:r>
              </a:p>
              <a:p>
                <a:pPr>
                  <a:defRPr sz="900" b="1"/>
                </a:pPr>
                <a:r>
                  <a:rPr lang="en-US" sz="900" b="1"/>
                  <a:t>(Number of Countries in Brackets)</a:t>
                </a:r>
              </a:p>
            </c:rich>
          </c:tx>
          <c:layout>
            <c:manualLayout>
              <c:xMode val="edge"/>
              <c:yMode val="edge"/>
              <c:x val="1.9996427014078715E-2"/>
              <c:y val="8.37144694863844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804550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54398710651532"/>
          <c:y val="0.92616424491472649"/>
          <c:w val="0.53298461502997663"/>
          <c:h val="6.51815861831637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5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2299889526683"/>
          <c:y val="4.8888888888888891E-2"/>
          <c:w val="0.69476651988433802"/>
          <c:h val="0.5796817966392005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'Country Group Analysis'!$J$316</c:f>
              <c:strCache>
                <c:ptCount val="1"/>
                <c:pt idx="0">
                  <c:v>Multilateral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'Country Group Analysis'!$I$317:$I$322</c:f>
              <c:strCache>
                <c:ptCount val="6"/>
                <c:pt idx="0">
                  <c:v>East Asia &amp; Pacific</c:v>
                </c:pt>
                <c:pt idx="1">
                  <c:v>Central Asia</c:v>
                </c:pt>
                <c:pt idx="2">
                  <c:v>South Asia</c:v>
                </c:pt>
                <c:pt idx="3">
                  <c:v>Sub-Saharan Africa</c:v>
                </c:pt>
                <c:pt idx="4">
                  <c:v>Latin America &amp; the Caribbean</c:v>
                </c:pt>
                <c:pt idx="5">
                  <c:v>Middle East &amp; North Africa</c:v>
                </c:pt>
              </c:strCache>
            </c:strRef>
          </c:cat>
          <c:val>
            <c:numRef>
              <c:f>'Country Group Analysis'!$J$317:$J$322</c:f>
              <c:numCache>
                <c:formatCode>0.0%</c:formatCode>
                <c:ptCount val="6"/>
                <c:pt idx="0">
                  <c:v>0.71739612055691693</c:v>
                </c:pt>
                <c:pt idx="1">
                  <c:v>0.54162514190182198</c:v>
                </c:pt>
                <c:pt idx="2">
                  <c:v>0.50358041262355513</c:v>
                </c:pt>
                <c:pt idx="3">
                  <c:v>0.48712935780810884</c:v>
                </c:pt>
                <c:pt idx="4">
                  <c:v>0.47136017628526372</c:v>
                </c:pt>
                <c:pt idx="5">
                  <c:v>0.4095053411568112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A6-4C14-A216-A5C37F27E385}"/>
            </c:ext>
          </c:extLst>
        </c:ser>
        <c:ser>
          <c:idx val="1"/>
          <c:order val="1"/>
          <c:tx>
            <c:strRef>
              <c:f>'Country Group Analysis'!$K$316</c:f>
              <c:strCache>
                <c:ptCount val="1"/>
                <c:pt idx="0">
                  <c:v>Bilateral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'Country Group Analysis'!$I$317:$I$322</c:f>
              <c:strCache>
                <c:ptCount val="6"/>
                <c:pt idx="0">
                  <c:v>East Asia &amp; Pacific</c:v>
                </c:pt>
                <c:pt idx="1">
                  <c:v>Central Asia</c:v>
                </c:pt>
                <c:pt idx="2">
                  <c:v>South Asia</c:v>
                </c:pt>
                <c:pt idx="3">
                  <c:v>Sub-Saharan Africa</c:v>
                </c:pt>
                <c:pt idx="4">
                  <c:v>Latin America &amp; the Caribbean</c:v>
                </c:pt>
                <c:pt idx="5">
                  <c:v>Middle East &amp; North Africa</c:v>
                </c:pt>
              </c:strCache>
            </c:strRef>
          </c:cat>
          <c:val>
            <c:numRef>
              <c:f>'Country Group Analysis'!$K$317:$K$322</c:f>
              <c:numCache>
                <c:formatCode>0.0%</c:formatCode>
                <c:ptCount val="6"/>
                <c:pt idx="0">
                  <c:v>0.28260387944308318</c:v>
                </c:pt>
                <c:pt idx="1">
                  <c:v>0.25383630550978803</c:v>
                </c:pt>
                <c:pt idx="2">
                  <c:v>0.35381584877764832</c:v>
                </c:pt>
                <c:pt idx="3">
                  <c:v>0.21778502626681581</c:v>
                </c:pt>
                <c:pt idx="4">
                  <c:v>5.0510642506739985E-2</c:v>
                </c:pt>
                <c:pt idx="5">
                  <c:v>0.27260189940892865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A6-4C14-A216-A5C37F27E385}"/>
            </c:ext>
          </c:extLst>
        </c:ser>
        <c:ser>
          <c:idx val="2"/>
          <c:order val="2"/>
          <c:tx>
            <c:strRef>
              <c:f>'Country Group Analysis'!$L$316</c:f>
              <c:strCache>
                <c:ptCount val="1"/>
                <c:pt idx="0">
                  <c:v>Private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BA6-4C14-A216-A5C37F27E3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'Country Group Analysis'!$I$317:$I$322</c:f>
              <c:strCache>
                <c:ptCount val="6"/>
                <c:pt idx="0">
                  <c:v>East Asia &amp; Pacific</c:v>
                </c:pt>
                <c:pt idx="1">
                  <c:v>Central Asia</c:v>
                </c:pt>
                <c:pt idx="2">
                  <c:v>South Asia</c:v>
                </c:pt>
                <c:pt idx="3">
                  <c:v>Sub-Saharan Africa</c:v>
                </c:pt>
                <c:pt idx="4">
                  <c:v>Latin America &amp; the Caribbean</c:v>
                </c:pt>
                <c:pt idx="5">
                  <c:v>Middle East &amp; North Africa</c:v>
                </c:pt>
              </c:strCache>
            </c:strRef>
          </c:cat>
          <c:val>
            <c:numRef>
              <c:f>'Country Group Analysis'!$L$317:$L$322</c:f>
              <c:numCache>
                <c:formatCode>0.0%</c:formatCode>
                <c:ptCount val="6"/>
                <c:pt idx="0">
                  <c:v>0</c:v>
                </c:pt>
                <c:pt idx="1">
                  <c:v>0.20453855258839004</c:v>
                </c:pt>
                <c:pt idx="2">
                  <c:v>0.14260373859879671</c:v>
                </c:pt>
                <c:pt idx="3">
                  <c:v>0.29508561592507543</c:v>
                </c:pt>
                <c:pt idx="4">
                  <c:v>0.47812918120799636</c:v>
                </c:pt>
                <c:pt idx="5">
                  <c:v>0.31789275943426026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A6-4C14-A216-A5C37F27E3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"/>
        <c:overlap val="100"/>
        <c:axId val="678241967"/>
        <c:axId val="678251567"/>
      </c:barChart>
      <c:catAx>
        <c:axId val="6782419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8251567"/>
        <c:crosses val="autoZero"/>
        <c:auto val="1"/>
        <c:lblAlgn val="ctr"/>
        <c:lblOffset val="100"/>
        <c:noMultiLvlLbl val="0"/>
      </c:catAx>
      <c:valAx>
        <c:axId val="6782515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900" b="1"/>
                  <a:t>Composition of External Public &amp; Publicly-Guaranteed Debt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82419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844253239892035"/>
          <c:y val="0.91518663220532548"/>
          <c:w val="0.58237271944759905"/>
          <c:h val="6.50689614122208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5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750">
          <a:solidFill>
            <a:sysClr val="windowText" lastClr="000000"/>
          </a:solidFill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8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lt1"/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0.04779</cdr:y>
    </cdr:from>
    <cdr:to>
      <cdr:x>0.20088</cdr:x>
      <cdr:y>0.18069</cdr:y>
    </cdr:to>
    <cdr:sp macro="" textlink="">
      <cdr:nvSpPr>
        <cdr:cNvPr id="2" name="Text Box 2"/>
        <cdr:cNvSpPr txBox="1"/>
      </cdr:nvSpPr>
      <cdr:spPr>
        <a:xfrm xmlns:a="http://schemas.openxmlformats.org/drawingml/2006/main">
          <a:off x="-1219200" y="124460"/>
          <a:ext cx="553720" cy="3460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>
            <a:lnSpc>
              <a:spcPts val="1200"/>
            </a:lnSpc>
          </a:pPr>
          <a:r>
            <a:rPr lang="en-US" sz="1200" kern="0" spc="0">
              <a:effectLst/>
              <a:latin typeface="Calibri" panose="020F0502020204030204" pitchFamily="34" charset="0"/>
              <a:ea typeface="Calibri" panose="020F0502020204030204" pitchFamily="34" charset="0"/>
              <a:cs typeface="Times New Roman" panose="02020603050405020304" pitchFamily="18" charset="0"/>
            </a:rPr>
            <a:t>EMEs</a:t>
          </a:r>
          <a:endParaRPr lang="en-CH" sz="1200" kern="0" spc="0">
            <a:effectLst/>
            <a:latin typeface="Calibri" panose="020F0502020204030204" pitchFamily="34" charset="0"/>
            <a:ea typeface="Calibri" panose="020F050202020403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0.03804</cdr:y>
    </cdr:from>
    <cdr:to>
      <cdr:x>0.20498</cdr:x>
      <cdr:y>0.16815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-1246909" y="101196"/>
          <a:ext cx="553720" cy="3460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15000"/>
            </a:lnSpc>
            <a:spcAft>
              <a:spcPts val="800"/>
            </a:spcAft>
          </a:pPr>
          <a:r>
            <a:rPr lang="en-US" sz="1200" kern="100">
              <a:effectLst/>
              <a:latin typeface="Aptos" panose="020B0004020202020204" pitchFamily="34" charset="0"/>
              <a:ea typeface="Aptos" panose="020B0004020202020204" pitchFamily="34" charset="0"/>
              <a:cs typeface="Times New Roman" panose="02020603050405020304" pitchFamily="18" charset="0"/>
            </a:rPr>
            <a:t>FMEs</a:t>
          </a:r>
          <a:endParaRPr lang="en-CH" sz="1200" kern="100">
            <a:effectLst/>
            <a:latin typeface="Aptos" panose="020B0004020202020204" pitchFamily="34" charset="0"/>
            <a:ea typeface="Aptos" panose="020B000402020202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0.0745</cdr:y>
    </cdr:from>
    <cdr:to>
      <cdr:x>0.19929</cdr:x>
      <cdr:y>0.20461</cdr:y>
    </cdr:to>
    <cdr:sp macro="" textlink="">
      <cdr:nvSpPr>
        <cdr:cNvPr id="2" name="Text Box 2"/>
        <cdr:cNvSpPr txBox="1"/>
      </cdr:nvSpPr>
      <cdr:spPr>
        <a:xfrm xmlns:a="http://schemas.openxmlformats.org/drawingml/2006/main">
          <a:off x="0" y="198178"/>
          <a:ext cx="604520" cy="3460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lnSpc>
              <a:spcPct val="115000"/>
            </a:lnSpc>
            <a:spcAft>
              <a:spcPts val="800"/>
            </a:spcAft>
          </a:pPr>
          <a:r>
            <a:rPr lang="en-US" sz="1200" kern="100">
              <a:effectLst/>
              <a:latin typeface="Aptos" panose="020B0004020202020204" pitchFamily="34" charset="0"/>
              <a:ea typeface="Aptos" panose="020B0004020202020204" pitchFamily="34" charset="0"/>
              <a:cs typeface="Times New Roman" panose="02020603050405020304" pitchFamily="18" charset="0"/>
            </a:rPr>
            <a:t>ODEs</a:t>
          </a:r>
          <a:endParaRPr lang="en-CH" sz="1200" kern="100">
            <a:effectLst/>
            <a:latin typeface="Aptos" panose="020B0004020202020204" pitchFamily="34" charset="0"/>
            <a:ea typeface="Aptos" panose="020B0004020202020204" pitchFamily="34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b49397d3-2376-4764-9b34-2b39112a7e40">
      <Terms xmlns="http://schemas.microsoft.com/office/infopath/2007/PartnerControls"/>
    </lcf76f155ced4ddcb4097134ff3c332f>
    <Country xmlns="b49397d3-2376-4764-9b34-2b39112a7e40" xsi:nil="true"/>
    <Feedback xmlns="b49397d3-2376-4764-9b34-2b39112a7e40" xsi:nil="true"/>
    <MH_x002f_MDN xmlns="b49397d3-2376-4764-9b34-2b39112a7e40" xsi:nil="true"/>
    <Topic xmlns="b49397d3-2376-4764-9b34-2b39112a7e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FAB5-DB3D-473C-8BFA-B73DE09900F2}"/>
</file>

<file path=customXml/itemProps2.xml><?xml version="1.0" encoding="utf-8"?>
<ds:datastoreItem xmlns:ds="http://schemas.openxmlformats.org/officeDocument/2006/customXml" ds:itemID="{DC9E63B6-3768-4AEC-8B67-D1FB64328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95F20-8F35-47C4-8E51-A532220B03D9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1b66131c-dde2-47eb-aab6-bf4e8932aef7"/>
  </ds:schemaRefs>
</ds:datastoreItem>
</file>

<file path=customXml/itemProps4.xml><?xml version="1.0" encoding="utf-8"?>
<ds:datastoreItem xmlns:ds="http://schemas.openxmlformats.org/officeDocument/2006/customXml" ds:itemID="{9DC78CC7-2337-4299-883A-F359F5CF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8691</Characters>
  <Application>Microsoft Office Word</Application>
  <DocSecurity>0</DocSecurity>
  <Lines>72</Lines>
  <Paragraphs>20</Paragraphs>
  <ScaleCrop>false</ScaleCrop>
  <Company/>
  <LinksUpToDate>false</LinksUpToDate>
  <CharactersWithSpaces>10195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2024-10-11T13:24:00Z</dcterms:created>
  <dcterms:modified xsi:type="dcterms:W3CDTF">2024-10-15T21:29:00Z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0x01010098E67939E49F43488880277401A25400</vt:lpwstr>
  </property>
  <property fmtid="{D5CDD505-2E9C-101B-9397-08002B2CF9AE}" pid="3" name="MediaServiceImageTags">
    <vt:lpwstr/>
  </property>
</Properties>
</file>