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2E5BB" w14:textId="77777777" w:rsidR="00B06885" w:rsidRDefault="00B06885" w:rsidP="00DE582B">
      <w:pPr>
        <w:jc w:val="center"/>
        <w:rPr>
          <w:rFonts w:asciiTheme="majorHAnsi" w:eastAsiaTheme="majorEastAsia" w:hAnsiTheme="majorHAnsi" w:cstheme="majorBidi"/>
          <w:color w:val="0F4761" w:themeColor="accent1" w:themeShade="BF"/>
          <w:sz w:val="32"/>
          <w:szCs w:val="32"/>
          <w:lang w:eastAsia="zh-CN"/>
        </w:rPr>
      </w:pPr>
      <w:r w:rsidRPr="00B06885">
        <w:rPr>
          <w:rFonts w:asciiTheme="majorHAnsi" w:eastAsiaTheme="majorEastAsia" w:hAnsiTheme="majorHAnsi" w:cstheme="majorBidi"/>
          <w:color w:val="0F4761" w:themeColor="accent1" w:themeShade="BF"/>
          <w:sz w:val="40"/>
          <w:szCs w:val="40"/>
          <w:lang w:val="en-GB"/>
        </w:rPr>
        <w:t>UNCTAD Financing Brief for FFD4</w:t>
      </w:r>
    </w:p>
    <w:p w14:paraId="3B61FD3C" w14:textId="1262AA7B" w:rsidR="005760B5" w:rsidRPr="00DE582B" w:rsidRDefault="005760B5" w:rsidP="00DE582B">
      <w:pPr>
        <w:jc w:val="center"/>
        <w:rPr>
          <w:rFonts w:asciiTheme="majorHAnsi" w:eastAsiaTheme="majorEastAsia" w:hAnsiTheme="majorHAnsi" w:cstheme="majorBidi"/>
          <w:color w:val="0F4761" w:themeColor="accent1" w:themeShade="BF"/>
          <w:sz w:val="32"/>
          <w:szCs w:val="32"/>
          <w:lang w:eastAsia="zh-CN"/>
        </w:rPr>
      </w:pPr>
      <w:r w:rsidRPr="00B242D6">
        <w:rPr>
          <w:rFonts w:asciiTheme="majorHAnsi" w:eastAsiaTheme="majorEastAsia" w:hAnsiTheme="majorHAnsi" w:cstheme="majorBidi"/>
          <w:color w:val="0F4761" w:themeColor="accent1" w:themeShade="BF"/>
          <w:sz w:val="32"/>
          <w:szCs w:val="32"/>
          <w:lang w:eastAsia="zh-CN"/>
        </w:rPr>
        <w:t>Ensuring Trade Inclusivity for Sustainable Development</w:t>
      </w:r>
    </w:p>
    <w:p w14:paraId="7F623D53" w14:textId="41C9EF5B" w:rsidR="005B38C6" w:rsidRPr="001355A0" w:rsidRDefault="005B38C6" w:rsidP="0058070A">
      <w:pPr>
        <w:pStyle w:val="Heading2"/>
        <w:rPr>
          <w:i/>
          <w:lang w:val="en-GB"/>
        </w:rPr>
      </w:pPr>
      <w:r w:rsidRPr="001355A0">
        <w:rPr>
          <w:lang w:val="en-GB"/>
        </w:rPr>
        <w:t xml:space="preserve">Key messages </w:t>
      </w:r>
    </w:p>
    <w:p w14:paraId="77F6C69F" w14:textId="187CDB3D" w:rsidR="007F3915" w:rsidRPr="007F3915" w:rsidRDefault="34C76023" w:rsidP="12355DAC">
      <w:pPr>
        <w:pStyle w:val="ListParagraph"/>
        <w:numPr>
          <w:ilvl w:val="0"/>
          <w:numId w:val="3"/>
        </w:numPr>
        <w:snapToGrid w:val="0"/>
        <w:ind w:left="714" w:hanging="357"/>
        <w:jc w:val="both"/>
        <w:rPr>
          <w:lang w:val="en-GB"/>
        </w:rPr>
      </w:pPr>
      <w:r>
        <w:t xml:space="preserve">Trade </w:t>
      </w:r>
      <w:r w:rsidR="0009415F">
        <w:t>has long been a key driver of economic growth, income generation, employment, and poverty reduction</w:t>
      </w:r>
      <w:r>
        <w:t xml:space="preserve">. </w:t>
      </w:r>
      <w:r w:rsidR="00661795">
        <w:t xml:space="preserve">Active participation in global value chains </w:t>
      </w:r>
      <w:r w:rsidR="001658A3">
        <w:t>and</w:t>
      </w:r>
      <w:r w:rsidR="00661795">
        <w:t xml:space="preserve"> </w:t>
      </w:r>
      <w:r w:rsidR="001658A3">
        <w:t xml:space="preserve">a competitive private sector typically facilitates fiscal resource mobilization. However, </w:t>
      </w:r>
      <w:r w:rsidR="0009415F">
        <w:t>the</w:t>
      </w:r>
      <w:r>
        <w:t xml:space="preserve"> rise of unilateralism and protectionism is undermining the multilateral trading system</w:t>
      </w:r>
      <w:r w:rsidR="00213481">
        <w:t xml:space="preserve"> and runs counter to </w:t>
      </w:r>
      <w:r w:rsidR="40F1398D">
        <w:t xml:space="preserve">World Trade Organization (WTO) </w:t>
      </w:r>
      <w:r w:rsidR="00213481">
        <w:t>rules</w:t>
      </w:r>
      <w:r>
        <w:t xml:space="preserve">. </w:t>
      </w:r>
    </w:p>
    <w:p w14:paraId="34D01EBB" w14:textId="761A590E" w:rsidR="00DE5197" w:rsidRPr="00CB2FAA" w:rsidRDefault="00B675EF" w:rsidP="12355DAC">
      <w:pPr>
        <w:pStyle w:val="ListParagraph"/>
        <w:numPr>
          <w:ilvl w:val="0"/>
          <w:numId w:val="3"/>
        </w:numPr>
        <w:snapToGrid w:val="0"/>
        <w:ind w:left="714" w:hanging="357"/>
        <w:jc w:val="both"/>
        <w:rPr>
          <w:lang w:val="en-GB"/>
        </w:rPr>
      </w:pPr>
      <w:r w:rsidRPr="00B675EF">
        <w:t xml:space="preserve">Major economies are implementing inward-looking subsidies </w:t>
      </w:r>
      <w:r w:rsidR="007F3915">
        <w:t xml:space="preserve">to support their transitions to a green and digital economies. Such policies </w:t>
      </w:r>
      <w:r w:rsidRPr="00B675EF">
        <w:t>favor local suppliers, diverting trade from developing countries and limiting their growth potential</w:t>
      </w:r>
      <w:r w:rsidR="007F3915">
        <w:t xml:space="preserve"> through their integration into global supply chains</w:t>
      </w:r>
      <w:r w:rsidRPr="00B675EF">
        <w:t xml:space="preserve">. </w:t>
      </w:r>
    </w:p>
    <w:p w14:paraId="57F7EEE0" w14:textId="1CC58728" w:rsidR="001658A3" w:rsidRPr="00DE5197" w:rsidRDefault="001658A3" w:rsidP="12355DAC">
      <w:pPr>
        <w:pStyle w:val="ListParagraph"/>
        <w:numPr>
          <w:ilvl w:val="0"/>
          <w:numId w:val="3"/>
        </w:numPr>
        <w:snapToGrid w:val="0"/>
        <w:ind w:left="714" w:hanging="357"/>
        <w:jc w:val="both"/>
        <w:rPr>
          <w:lang w:val="en-GB"/>
        </w:rPr>
      </w:pPr>
      <w:r>
        <w:t xml:space="preserve">This trend </w:t>
      </w:r>
      <w:r w:rsidR="007F3915">
        <w:t xml:space="preserve">has undermined </w:t>
      </w:r>
      <w:r>
        <w:t xml:space="preserve">the </w:t>
      </w:r>
      <w:r w:rsidR="00CB2FAA">
        <w:t>trust in</w:t>
      </w:r>
      <w:r>
        <w:t xml:space="preserve"> the multilateral trading system, which is essential for global trade </w:t>
      </w:r>
      <w:r w:rsidR="00272CE5">
        <w:t xml:space="preserve">and for developing countries </w:t>
      </w:r>
      <w:r>
        <w:t xml:space="preserve">to </w:t>
      </w:r>
      <w:r w:rsidR="009D7B85">
        <w:t>reap the potential of trade</w:t>
      </w:r>
      <w:r>
        <w:t xml:space="preserve"> as an engine of economic growth and financial stability. </w:t>
      </w:r>
    </w:p>
    <w:p w14:paraId="4E8429AE" w14:textId="3566E6F6" w:rsidR="00B675EF" w:rsidRPr="00B675EF" w:rsidRDefault="25AA4E81" w:rsidP="00B675EF">
      <w:pPr>
        <w:pStyle w:val="ListParagraph"/>
        <w:numPr>
          <w:ilvl w:val="0"/>
          <w:numId w:val="3"/>
        </w:numPr>
        <w:ind w:left="714" w:hanging="357"/>
        <w:jc w:val="both"/>
        <w:rPr>
          <w:lang w:val="en-GB"/>
        </w:rPr>
      </w:pPr>
      <w:r w:rsidRPr="3E825EA2">
        <w:rPr>
          <w:lang w:val="en-GB"/>
        </w:rPr>
        <w:t xml:space="preserve">Financing infrastructure in developing countries </w:t>
      </w:r>
      <w:r>
        <w:t xml:space="preserve">is </w:t>
      </w:r>
      <w:r w:rsidR="00AC5C11" w:rsidRPr="00AC5C11">
        <w:t>essential for enabling their participation in the dual transition, allowing them to join supply chain relocation efforts and capitalize on international trade opportunities, fostering sustainable and inclusive growth</w:t>
      </w:r>
      <w:r w:rsidR="00B675EF">
        <w:t>.</w:t>
      </w:r>
    </w:p>
    <w:p w14:paraId="34A3E645" w14:textId="13B1E38C" w:rsidR="00DE582B" w:rsidRPr="004D5965" w:rsidRDefault="00DE582B" w:rsidP="00CB2FAA">
      <w:pPr>
        <w:pStyle w:val="ListParagraph"/>
        <w:ind w:left="714"/>
        <w:jc w:val="both"/>
        <w:rPr>
          <w:lang w:val="en-GB"/>
        </w:rPr>
      </w:pPr>
      <w:r w:rsidRPr="00DE582B">
        <w:rPr>
          <w:noProof/>
        </w:rPr>
        <w:drawing>
          <wp:anchor distT="0" distB="0" distL="114300" distR="114300" simplePos="0" relativeHeight="251658240" behindDoc="0" locked="0" layoutInCell="1" allowOverlap="1" wp14:anchorId="6B067C3F" wp14:editId="67089A47">
            <wp:simplePos x="0" y="0"/>
            <wp:positionH relativeFrom="column">
              <wp:posOffset>457200</wp:posOffset>
            </wp:positionH>
            <wp:positionV relativeFrom="paragraph">
              <wp:posOffset>0</wp:posOffset>
            </wp:positionV>
            <wp:extent cx="4850130" cy="3211830"/>
            <wp:effectExtent l="0" t="0" r="7620" b="7620"/>
            <wp:wrapTopAndBottom/>
            <wp:docPr id="112329217" name="Picture 1" descr="A graph of a graph showing the number of different tren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9217" name="Picture 1" descr="A graph of a graph showing the number of different trend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850130" cy="3211830"/>
                    </a:xfrm>
                    <a:prstGeom prst="rect">
                      <a:avLst/>
                    </a:prstGeom>
                  </pic:spPr>
                </pic:pic>
              </a:graphicData>
            </a:graphic>
          </wp:anchor>
        </w:drawing>
      </w:r>
    </w:p>
    <w:p w14:paraId="2ACE9C5B" w14:textId="7AF051EB" w:rsidR="0012351F" w:rsidRPr="001355A0" w:rsidRDefault="0012351F" w:rsidP="0012351F">
      <w:pPr>
        <w:pStyle w:val="Heading2"/>
        <w:rPr>
          <w:lang w:val="en-GB"/>
        </w:rPr>
      </w:pPr>
      <w:r w:rsidRPr="001355A0">
        <w:rPr>
          <w:lang w:val="en-GB"/>
        </w:rPr>
        <w:lastRenderedPageBreak/>
        <w:t xml:space="preserve">Problem statement </w:t>
      </w:r>
    </w:p>
    <w:p w14:paraId="7E333669" w14:textId="7509508C" w:rsidR="7BCAB3EF" w:rsidRDefault="00FF18A0" w:rsidP="3E825EA2">
      <w:pPr>
        <w:jc w:val="both"/>
      </w:pPr>
      <w:r>
        <w:t xml:space="preserve">The restructuring of global value chains aims to enhance resilience, reduce vulnerabilities, and support the transition to a green and digital economy as the world seeks to reduce </w:t>
      </w:r>
      <w:r w:rsidR="006C6FBB">
        <w:t>carbon emissions</w:t>
      </w:r>
      <w:r>
        <w:t xml:space="preserve">. Between 2002 and 2023, global merchandise trade nearly quadrupled, and trade in services more than doubled. However, </w:t>
      </w:r>
      <w:r w:rsidR="006C6FBB">
        <w:t xml:space="preserve">benefits were not </w:t>
      </w:r>
      <w:r w:rsidR="0098201B">
        <w:t xml:space="preserve">evenly distributed. In fact, </w:t>
      </w:r>
      <w:r>
        <w:t>Least Developed Countries (LDCs), Small Island Developing States (SIDS), and Landlocked Developing Countries (LLDCs) have not benefited equally from this growth, facing high trade costs and significant challenges in accessing global market</w:t>
      </w:r>
      <w:r w:rsidR="66B0702C">
        <w:t xml:space="preserve">. </w:t>
      </w:r>
      <w:r w:rsidR="006D1E8E">
        <w:t>For example, the share of least developed countries (LDCs) in global exports has stagnated at around 1% since 2011 despite some growth in absolute terms, and LDCs are not on track to reach the Sustainable Development Goal target of doubling their share in global exports by 2030.</w:t>
      </w:r>
    </w:p>
    <w:p w14:paraId="4345F71E" w14:textId="4AC40AB8" w:rsidR="00C531F8" w:rsidRPr="00B63FEE" w:rsidRDefault="00870036" w:rsidP="000D7C54">
      <w:pPr>
        <w:jc w:val="both"/>
        <w:rPr>
          <w:lang w:val="en-GB"/>
        </w:rPr>
      </w:pPr>
      <w:r w:rsidRPr="00870036">
        <w:t>To benefit from international trade, developing countries must secure their niche in global supply chains, increasingly shaped by the green and digital transitions</w:t>
      </w:r>
      <w:r w:rsidR="00DB3D68">
        <w:t xml:space="preserve">, which are facilitated by industrial subsidies mainly </w:t>
      </w:r>
      <w:r w:rsidR="0017344B">
        <w:t xml:space="preserve">offered by </w:t>
      </w:r>
      <w:r w:rsidR="00DB3D68">
        <w:t>developed countries</w:t>
      </w:r>
      <w:r w:rsidRPr="00870036">
        <w:t xml:space="preserve">. </w:t>
      </w:r>
      <w:r w:rsidR="004C125F">
        <w:t>Developing country p</w:t>
      </w:r>
      <w:r w:rsidRPr="00870036">
        <w:t xml:space="preserve">articipation in </w:t>
      </w:r>
      <w:r w:rsidR="004C125F">
        <w:t xml:space="preserve">today’s </w:t>
      </w:r>
      <w:r w:rsidRPr="00870036">
        <w:t xml:space="preserve">global value chains </w:t>
      </w:r>
      <w:r w:rsidR="0017344B">
        <w:t xml:space="preserve">also </w:t>
      </w:r>
      <w:r w:rsidRPr="00870036">
        <w:t xml:space="preserve">requires significant investment in state-of-the-art infrastructure, including transport, logistics, telecommunications, and clean energy—making access to affordable finance crucial. </w:t>
      </w:r>
      <w:r w:rsidR="0017344B">
        <w:t>However, d</w:t>
      </w:r>
      <w:r w:rsidRPr="00870036">
        <w:t>eveloping countries face a $208 billion annual gap in transport infrastructure investment, must reduce trade costs still equivalent to 100% tariffs, close a $990 billion digital divide, and secure $4.7 trillion for clean energy by 2030</w:t>
      </w:r>
      <w:r w:rsidR="008E2D44" w:rsidRPr="008E2D44">
        <w:t>.</w:t>
      </w:r>
      <w:r w:rsidR="008E2D44">
        <w:t xml:space="preserve">  </w:t>
      </w:r>
      <w:r w:rsidR="0017344B">
        <w:t>In addition</w:t>
      </w:r>
      <w:r w:rsidR="001831A0" w:rsidRPr="00870036">
        <w:t>, rising borrowing costs are a major hurdle, with bond yields in Africa averaging 9.8% from 2020-2024, compared to 0.8% in Germany</w:t>
      </w:r>
      <w:r w:rsidR="001831A0">
        <w:t>.</w:t>
      </w:r>
    </w:p>
    <w:p w14:paraId="0C349D17" w14:textId="37171B6E" w:rsidR="16569261" w:rsidRDefault="003134A2" w:rsidP="2CCB143F">
      <w:pPr>
        <w:jc w:val="both"/>
        <w:rPr>
          <w:rFonts w:eastAsiaTheme="minorEastAsia"/>
        </w:rPr>
      </w:pPr>
      <w:r>
        <w:t>E</w:t>
      </w:r>
      <w:r w:rsidRPr="006916CB">
        <w:t xml:space="preserve">ven </w:t>
      </w:r>
      <w:r>
        <w:t xml:space="preserve">if </w:t>
      </w:r>
      <w:r w:rsidRPr="006916CB">
        <w:t>regional development banks have established global infrastructure funds</w:t>
      </w:r>
      <w:r>
        <w:t xml:space="preserve"> to assist developing countries, a</w:t>
      </w:r>
      <w:r w:rsidR="006916CB" w:rsidRPr="006916CB">
        <w:t>ttracting private investment and securing long-term financing remains challenging</w:t>
      </w:r>
      <w:r>
        <w:t xml:space="preserve">. </w:t>
      </w:r>
      <w:r w:rsidR="006916CB" w:rsidRPr="006916CB">
        <w:t xml:space="preserve">Without substantial investment, developing countries risk being left behind in global supply chains and the digital economy, further exacerbating inequalities in </w:t>
      </w:r>
      <w:r>
        <w:t xml:space="preserve">access to </w:t>
      </w:r>
      <w:r w:rsidR="006916CB" w:rsidRPr="006916CB">
        <w:t>trade opportunities</w:t>
      </w:r>
      <w:r w:rsidR="0A6E714F" w:rsidRPr="2CCB143F">
        <w:rPr>
          <w:rFonts w:eastAsiaTheme="minorEastAsia"/>
        </w:rPr>
        <w:t>.</w:t>
      </w:r>
    </w:p>
    <w:p w14:paraId="390CE3BB" w14:textId="4B980B6F" w:rsidR="00C531F8" w:rsidRDefault="4AEED868" w:rsidP="12355DAC">
      <w:pPr>
        <w:jc w:val="both"/>
      </w:pPr>
      <w:r w:rsidRPr="008726ED">
        <w:rPr>
          <w:b/>
          <w:bCs/>
        </w:rPr>
        <w:t>Financing for infrastructure</w:t>
      </w:r>
      <w:r>
        <w:t>.</w:t>
      </w:r>
      <w:r w:rsidR="6BBFE35D">
        <w:t xml:space="preserve"> </w:t>
      </w:r>
      <w:r w:rsidR="00D92362" w:rsidRPr="00D92362">
        <w:t xml:space="preserve">Developing countries must address the infrastructure gap to participate in </w:t>
      </w:r>
      <w:r w:rsidR="003134A2">
        <w:t xml:space="preserve">today’s </w:t>
      </w:r>
      <w:r w:rsidR="00D92362" w:rsidRPr="00D92362">
        <w:t>global supply chain relocation. UNCTAD estimates the annual transport infrastructure investment gap at $208 billion</w:t>
      </w:r>
      <w:r w:rsidR="00F113A8">
        <w:rPr>
          <w:rStyle w:val="FootnoteReference"/>
        </w:rPr>
        <w:footnoteReference w:id="2"/>
      </w:r>
      <w:r w:rsidR="00FD0CDF">
        <w:t>.</w:t>
      </w:r>
      <w:r w:rsidR="6BBFE35D" w:rsidRPr="003E4591">
        <w:t xml:space="preserve"> This investment is </w:t>
      </w:r>
      <w:r w:rsidR="00C231B6" w:rsidRPr="00C231B6">
        <w:t>vital to enhance physical infrastructure within and between regions, enabling better trade integratio</w:t>
      </w:r>
      <w:r w:rsidR="00C231B6">
        <w:t>n</w:t>
      </w:r>
      <w:r w:rsidR="6BBFE35D">
        <w:t>.</w:t>
      </w:r>
    </w:p>
    <w:p w14:paraId="23FAA122" w14:textId="68DF517C" w:rsidR="002A498A" w:rsidRPr="004D4F70" w:rsidRDefault="002A498A" w:rsidP="008E4876">
      <w:pPr>
        <w:jc w:val="both"/>
      </w:pPr>
      <w:r w:rsidRPr="5F1D3735">
        <w:rPr>
          <w:b/>
          <w:bCs/>
        </w:rPr>
        <w:t>Financing border crossings and customs facilitation</w:t>
      </w:r>
      <w:r w:rsidR="002953D9">
        <w:t xml:space="preserve"> is </w:t>
      </w:r>
      <w:r w:rsidR="00C041AA">
        <w:t xml:space="preserve">a key area for developing countries’ participation in supply chains. </w:t>
      </w:r>
      <w:r w:rsidR="006071DC">
        <w:t>Investing in infrastructure is c</w:t>
      </w:r>
      <w:r w:rsidR="00012474" w:rsidRPr="00012474">
        <w:t xml:space="preserve">rucial to reducing </w:t>
      </w:r>
      <w:r w:rsidR="00012474" w:rsidRPr="00012474">
        <w:lastRenderedPageBreak/>
        <w:t>delays and high trade costs, which remain equivalent to 100% tariffs for developing countries as of 2021</w:t>
      </w:r>
      <w:r w:rsidRPr="5F1D3735">
        <w:rPr>
          <w:rStyle w:val="FootnoteReference"/>
        </w:rPr>
        <w:footnoteReference w:id="3"/>
      </w:r>
      <w:r w:rsidR="00FD0CDF">
        <w:t>.</w:t>
      </w:r>
      <w:r w:rsidR="00AB3C9E">
        <w:t xml:space="preserve"> </w:t>
      </w:r>
    </w:p>
    <w:p w14:paraId="3E79B822" w14:textId="59D71351" w:rsidR="00623C38" w:rsidRPr="004D4F70" w:rsidRDefault="0054614C" w:rsidP="000D7C54">
      <w:pPr>
        <w:jc w:val="both"/>
      </w:pPr>
      <w:r w:rsidRPr="0054614C">
        <w:rPr>
          <w:b/>
          <w:bCs/>
        </w:rPr>
        <w:t xml:space="preserve">Financing to close the connectivity gap. </w:t>
      </w:r>
      <w:r w:rsidR="00623C38">
        <w:t xml:space="preserve">The digital divide </w:t>
      </w:r>
      <w:r w:rsidR="00807469" w:rsidRPr="00807469">
        <w:t>also hampers participation in global value chains</w:t>
      </w:r>
      <w:r w:rsidR="006F1B72">
        <w:t xml:space="preserve"> and </w:t>
      </w:r>
      <w:r w:rsidR="00605BEE">
        <w:t>threatens to</w:t>
      </w:r>
      <w:r w:rsidR="006F1B72">
        <w:t xml:space="preserve"> deepen the </w:t>
      </w:r>
      <w:r w:rsidR="00605BEE">
        <w:t>gap between developed and developing countries</w:t>
      </w:r>
      <w:r w:rsidR="00623C38">
        <w:t xml:space="preserve">. </w:t>
      </w:r>
      <w:r w:rsidR="005A1381">
        <w:t xml:space="preserve">Despite the rapid advancement of digital trade </w:t>
      </w:r>
      <w:r w:rsidR="00605BEE">
        <w:t>worldwide</w:t>
      </w:r>
      <w:r w:rsidR="005A1381">
        <w:t xml:space="preserve">, many developing nations continue to lack the infrastructure, skills, and regulatory frameworks necessary to </w:t>
      </w:r>
      <w:r w:rsidR="006200A3">
        <w:t xml:space="preserve">take advantage of </w:t>
      </w:r>
      <w:r w:rsidR="00453E26">
        <w:t xml:space="preserve">trade </w:t>
      </w:r>
      <w:r w:rsidR="00AB6DA6">
        <w:t xml:space="preserve">in goods </w:t>
      </w:r>
      <w:r w:rsidR="000F0FD8">
        <w:t xml:space="preserve">that increasingly depend on services and </w:t>
      </w:r>
      <w:r w:rsidR="00453E26">
        <w:t xml:space="preserve">in the </w:t>
      </w:r>
      <w:r w:rsidR="006200A3">
        <w:t>digital economy</w:t>
      </w:r>
      <w:r w:rsidR="00623C38">
        <w:t xml:space="preserve">. </w:t>
      </w:r>
      <w:r w:rsidR="00FD0CDF" w:rsidRPr="00FD0CDF">
        <w:t xml:space="preserve">Developing countries </w:t>
      </w:r>
      <w:r w:rsidR="00FD0CDF">
        <w:t xml:space="preserve">will </w:t>
      </w:r>
      <w:r w:rsidR="00FD0CDF" w:rsidRPr="00FD0CDF">
        <w:t>need over $990 billion by 2030 to invest in digital infrastructure, skills, and regulatory frameworks</w:t>
      </w:r>
      <w:r w:rsidR="006F16D4">
        <w:rPr>
          <w:rStyle w:val="FootnoteReference"/>
        </w:rPr>
        <w:footnoteReference w:id="4"/>
      </w:r>
      <w:r w:rsidR="00CC76E5" w:rsidRPr="00CC76E5">
        <w:t xml:space="preserve">. </w:t>
      </w:r>
      <w:r w:rsidR="00CA4170">
        <w:t xml:space="preserve"> </w:t>
      </w:r>
      <w:r w:rsidR="00D55ACD" w:rsidRPr="00D55ACD">
        <w:t>Multilateral Development Banks can provide financing, with private investors contributing through public-private partnerships (PPPs</w:t>
      </w:r>
      <w:r w:rsidR="00D55ACD">
        <w:t>)</w:t>
      </w:r>
      <w:r w:rsidR="007B0C7E">
        <w:t>.</w:t>
      </w:r>
      <w:r w:rsidR="00CA4170" w:rsidRPr="00CA4170">
        <w:t xml:space="preserve"> </w:t>
      </w:r>
    </w:p>
    <w:p w14:paraId="32807FE6" w14:textId="0D7BFC2A" w:rsidR="00C411DC" w:rsidRPr="004D4F70" w:rsidRDefault="00C52AB2" w:rsidP="008012B4">
      <w:pPr>
        <w:jc w:val="both"/>
      </w:pPr>
      <w:r w:rsidRPr="006D0CE2">
        <w:rPr>
          <w:b/>
          <w:bCs/>
        </w:rPr>
        <w:t xml:space="preserve">Financing </w:t>
      </w:r>
      <w:r w:rsidR="00F8565D">
        <w:rPr>
          <w:b/>
          <w:bCs/>
        </w:rPr>
        <w:t xml:space="preserve">the </w:t>
      </w:r>
      <w:r w:rsidRPr="006D0CE2">
        <w:rPr>
          <w:b/>
          <w:bCs/>
        </w:rPr>
        <w:t xml:space="preserve">transition to </w:t>
      </w:r>
      <w:r w:rsidR="00623C38" w:rsidRPr="006D0CE2">
        <w:rPr>
          <w:b/>
          <w:bCs/>
        </w:rPr>
        <w:t>clean, renewable, and affordable energy</w:t>
      </w:r>
      <w:r w:rsidR="006D0CE2">
        <w:t xml:space="preserve"> </w:t>
      </w:r>
      <w:r w:rsidR="006D0CE2" w:rsidRPr="008726ED">
        <w:rPr>
          <w:b/>
          <w:bCs/>
        </w:rPr>
        <w:t xml:space="preserve">for </w:t>
      </w:r>
      <w:r w:rsidR="008726ED" w:rsidRPr="008726ED">
        <w:rPr>
          <w:b/>
          <w:bCs/>
        </w:rPr>
        <w:t>clean production</w:t>
      </w:r>
      <w:r w:rsidR="00623C38">
        <w:t xml:space="preserve">. </w:t>
      </w:r>
      <w:r w:rsidR="00D55ACD" w:rsidRPr="00D55ACD">
        <w:t>The transition to clean, renewable energy is equally pressing, requiring an estimated $4.7 trillion by 2030</w:t>
      </w:r>
      <w:r w:rsidR="000E2DA5">
        <w:rPr>
          <w:rStyle w:val="FootnoteReference"/>
        </w:rPr>
        <w:footnoteReference w:id="5"/>
      </w:r>
      <w:r w:rsidR="00D55ACD" w:rsidRPr="00D55ACD">
        <w:t>. This investment is essential for sustainable production in global value chains</w:t>
      </w:r>
      <w:r w:rsidR="00F8565D" w:rsidRPr="00F8565D">
        <w:t>.</w:t>
      </w:r>
    </w:p>
    <w:p w14:paraId="64C14923" w14:textId="74B329C6" w:rsidR="00623C38" w:rsidRPr="004D4F70" w:rsidRDefault="00623C38" w:rsidP="00623C38"/>
    <w:p w14:paraId="66D3195A" w14:textId="708398BB" w:rsidR="00856396" w:rsidRPr="001355A0" w:rsidRDefault="00856396" w:rsidP="00856396">
      <w:pPr>
        <w:pStyle w:val="Heading2"/>
        <w:pBdr>
          <w:bottom w:val="single" w:sz="4" w:space="1" w:color="auto"/>
        </w:pBdr>
        <w:rPr>
          <w:lang w:val="en-GB"/>
        </w:rPr>
      </w:pPr>
      <w:r w:rsidRPr="001355A0">
        <w:rPr>
          <w:lang w:val="en-GB"/>
        </w:rPr>
        <w:t xml:space="preserve">Policy solutions </w:t>
      </w:r>
    </w:p>
    <w:p w14:paraId="209E64AA" w14:textId="77777777" w:rsidR="00CC67F8" w:rsidRDefault="00CC67F8" w:rsidP="000D7C54">
      <w:pPr>
        <w:tabs>
          <w:tab w:val="num" w:pos="720"/>
        </w:tabs>
        <w:jc w:val="both"/>
      </w:pPr>
      <w:r w:rsidRPr="00CC67F8">
        <w:t>To ensure that developing countries can fully participate in reshaped globalization, financial resources must be directed toward building infrastructure that closes the digital divide and facilitates the transition to renewable energy. Financing projects that connect developing countries with their neighbors can boost regional trade and investment, enhancing competitiveness through greater collaboration and integration into regional supply chains.</w:t>
      </w:r>
    </w:p>
    <w:p w14:paraId="7A065C19" w14:textId="48E27066" w:rsidR="00882214" w:rsidRDefault="3FA1AD36" w:rsidP="003C0800">
      <w:r w:rsidRPr="64A1C0CD">
        <w:rPr>
          <w:rFonts w:ascii="Aptos" w:eastAsia="Aptos" w:hAnsi="Aptos" w:cs="Aptos"/>
        </w:rPr>
        <w:t xml:space="preserve"> To secure funding for enhanced trade and development, an infrastructure fund should be established to finance such projects, leveraging bond markets, including green bonds, to attract long-term investment in sustainable initiatives.</w:t>
      </w:r>
      <w:r w:rsidR="00392C84">
        <w:t xml:space="preserve"> </w:t>
      </w:r>
      <w:r w:rsidR="001C5818">
        <w:t xml:space="preserve">Multilateral development banks and governments could offer concessional loans and grants to lower financing costs, while Public-Private Partnerships (PPPs) can </w:t>
      </w:r>
      <w:r w:rsidR="4C36115B" w:rsidRPr="64A1C0CD">
        <w:rPr>
          <w:rFonts w:ascii="Aptos" w:eastAsia="Aptos" w:hAnsi="Aptos" w:cs="Aptos"/>
        </w:rPr>
        <w:t xml:space="preserve">combine </w:t>
      </w:r>
      <w:r w:rsidR="001C5818">
        <w:t xml:space="preserve"> concessional finance with private capital to de-risk investments and attract private sector participation</w:t>
      </w:r>
      <w:r w:rsidR="00392C84">
        <w:t>.</w:t>
      </w:r>
      <w:r w:rsidR="007451D8">
        <w:t xml:space="preserve"> </w:t>
      </w:r>
      <w:r w:rsidR="001C5818" w:rsidRPr="001C5818">
        <w:t>Key financial instruments include</w:t>
      </w:r>
      <w:r w:rsidR="00882214">
        <w:t>:</w:t>
      </w:r>
    </w:p>
    <w:p w14:paraId="0EB2189D" w14:textId="6FD92C6F" w:rsidR="00975D97" w:rsidRPr="00975D97" w:rsidRDefault="00975D97" w:rsidP="00975D97">
      <w:pPr>
        <w:pStyle w:val="ListParagraph"/>
        <w:numPr>
          <w:ilvl w:val="0"/>
          <w:numId w:val="6"/>
        </w:numPr>
      </w:pPr>
      <w:r w:rsidRPr="00975D97">
        <w:t>Establishing a developing country infrastructure fund, financed through bonds, including green bonds, for long-term projects</w:t>
      </w:r>
      <w:r w:rsidR="00082A10" w:rsidRPr="00082A10">
        <w:t xml:space="preserve"> </w:t>
      </w:r>
      <w:r w:rsidR="00FB493F">
        <w:t>that allow developing countries to move to a green and digital economy</w:t>
      </w:r>
      <w:r w:rsidRPr="00975D97">
        <w:t>.</w:t>
      </w:r>
    </w:p>
    <w:p w14:paraId="6166EEFD" w14:textId="111B5C9E" w:rsidR="00975D97" w:rsidRPr="00975D97" w:rsidRDefault="00975D97" w:rsidP="00975D97">
      <w:pPr>
        <w:pStyle w:val="ListParagraph"/>
        <w:numPr>
          <w:ilvl w:val="0"/>
          <w:numId w:val="6"/>
        </w:numPr>
      </w:pPr>
      <w:r w:rsidRPr="00975D97">
        <w:lastRenderedPageBreak/>
        <w:t>Offering concessional loans and grants from international financial institutions and developed governments to reduce infrastructure financing costs.</w:t>
      </w:r>
    </w:p>
    <w:p w14:paraId="6DC018C7" w14:textId="669C3147" w:rsidR="003C0800" w:rsidRDefault="00975D97" w:rsidP="00975D97">
      <w:pPr>
        <w:pStyle w:val="ListParagraph"/>
        <w:numPr>
          <w:ilvl w:val="0"/>
          <w:numId w:val="6"/>
        </w:numPr>
      </w:pPr>
      <w:r w:rsidRPr="00975D97">
        <w:t>Leveraging PPPs to combine concessional finance with private capital, sharing both risks and rewards</w:t>
      </w:r>
      <w:r w:rsidR="003C0800">
        <w:t xml:space="preserve">. </w:t>
      </w:r>
      <w:r w:rsidR="00ED3461">
        <w:t xml:space="preserve"> </w:t>
      </w:r>
    </w:p>
    <w:p w14:paraId="71F03027" w14:textId="7C59C3DE" w:rsidR="003C0800" w:rsidRDefault="003C0800" w:rsidP="00ED3461">
      <w:pPr>
        <w:jc w:val="both"/>
      </w:pPr>
      <w:r>
        <w:t xml:space="preserve">Closing the </w:t>
      </w:r>
      <w:r w:rsidR="007000CB">
        <w:t>i</w:t>
      </w:r>
      <w:r>
        <w:t xml:space="preserve">nfrastructure </w:t>
      </w:r>
      <w:r w:rsidR="004C75FB">
        <w:t>g</w:t>
      </w:r>
      <w:r>
        <w:t xml:space="preserve">ap requires regional planning and coordination </w:t>
      </w:r>
      <w:r w:rsidR="007C7826" w:rsidRPr="007C7826">
        <w:t>to prioritize cross-border infrastructure projects and enhance connectivity. Strengthening institutional capacity is also essential for better governance, planning, execution, and maintenance of infrastructure</w:t>
      </w:r>
      <w:r>
        <w:t>.</w:t>
      </w:r>
      <w:r w:rsidR="005D28D8">
        <w:t xml:space="preserve"> </w:t>
      </w:r>
    </w:p>
    <w:p w14:paraId="462B6A76" w14:textId="50ED895B" w:rsidR="003C0800" w:rsidRDefault="003C0800">
      <w:pPr>
        <w:jc w:val="both"/>
      </w:pPr>
      <w:r>
        <w:t xml:space="preserve">Closing the </w:t>
      </w:r>
      <w:r w:rsidR="00ED3461">
        <w:t xml:space="preserve">connectivity gap </w:t>
      </w:r>
      <w:r w:rsidR="00BA02C2">
        <w:t>requires r</w:t>
      </w:r>
      <w:r>
        <w:t>egulat</w:t>
      </w:r>
      <w:r w:rsidR="00BA02C2">
        <w:t>ions</w:t>
      </w:r>
      <w:r>
        <w:t xml:space="preserve"> to facilitate cross-border digital transactions and protect data privacy. </w:t>
      </w:r>
      <w:r w:rsidR="00F71273" w:rsidRPr="00F71273">
        <w:t>Significant loans and grants from multilateral development banks (MDBs) should be mobilized for telecom and connectivity projects, with targeted incentives to attract private investment from telecom and technology firms. National governments should prioritize digital infrastructure with long-term investment</w:t>
      </w:r>
      <w:r>
        <w:t>s.</w:t>
      </w:r>
    </w:p>
    <w:p w14:paraId="5358D3F4" w14:textId="7B41670A" w:rsidR="002D2288" w:rsidRDefault="003C0800" w:rsidP="000D7C54">
      <w:pPr>
        <w:jc w:val="both"/>
      </w:pPr>
      <w:r>
        <w:t>Financing the Transition to Clean, Renewable, and Affordable Energy</w:t>
      </w:r>
      <w:r w:rsidR="004B1B2C">
        <w:t xml:space="preserve"> </w:t>
      </w:r>
      <w:r w:rsidR="002A5E43">
        <w:t xml:space="preserve">will </w:t>
      </w:r>
      <w:r w:rsidR="00323453">
        <w:t>require aligning</w:t>
      </w:r>
      <w:r w:rsidR="00F63EBF">
        <w:t xml:space="preserve"> </w:t>
      </w:r>
      <w:r>
        <w:t xml:space="preserve">national energy policies with global climate goals, promoting </w:t>
      </w:r>
      <w:r w:rsidR="00FE01C0" w:rsidRPr="00FE01C0">
        <w:t>renewable energy adoption, and phasing out fossil fuels. Green bonds should be issued for renewable energy projects to attract environmentally conscious investors, while international climate funds, like the Green Climate Fund, should provide concessional financing for large-scale renewable projects. PPPs can help distribute the financial burden of clean energy projects while ensuring economic viability.</w:t>
      </w:r>
    </w:p>
    <w:p w14:paraId="741CF109" w14:textId="31FEC9FA" w:rsidR="00A8098E" w:rsidRDefault="00B919CC" w:rsidP="000D7C54">
      <w:pPr>
        <w:jc w:val="both"/>
      </w:pPr>
      <w:r>
        <w:t>Moreover, for developing countries to</w:t>
      </w:r>
      <w:r w:rsidR="002179B1">
        <w:t xml:space="preserve"> attract investment, integrate into global value chain</w:t>
      </w:r>
      <w:r w:rsidR="00C473ED">
        <w:t>s</w:t>
      </w:r>
      <w:r w:rsidR="002179B1">
        <w:t>,</w:t>
      </w:r>
      <w:r w:rsidR="00154132">
        <w:t xml:space="preserve"> and</w:t>
      </w:r>
      <w:r>
        <w:t xml:space="preserve"> leverage the twin transition</w:t>
      </w:r>
      <w:r w:rsidR="007D0E4D">
        <w:t>s</w:t>
      </w:r>
      <w:r w:rsidR="00154132">
        <w:t xml:space="preserve"> through export-led strategies, a strong multilateral framework of trade rules will be required. </w:t>
      </w:r>
      <w:r w:rsidR="00800BC7">
        <w:t>Restoring the credibility and effectiveness of the</w:t>
      </w:r>
      <w:r w:rsidR="2AFAC0D5">
        <w:t xml:space="preserve"> WTO</w:t>
      </w:r>
      <w:r w:rsidR="00800BC7">
        <w:t xml:space="preserve"> is essential for transparent, predictable, and non-discriminatory trade rules. This includes reinstating the full functionality of the WTO Dispute Settlement Mechanism</w:t>
      </w:r>
      <w:r w:rsidR="000E6563">
        <w:t>.</w:t>
      </w:r>
      <w:r w:rsidR="00A1686E">
        <w:t xml:space="preserve"> </w:t>
      </w:r>
    </w:p>
    <w:p w14:paraId="43BDC892" w14:textId="77777777" w:rsidR="002D2288" w:rsidRDefault="002D2288" w:rsidP="00B07E76">
      <w:pPr>
        <w:pStyle w:val="Heading2"/>
        <w:jc w:val="both"/>
        <w:rPr>
          <w:rFonts w:asciiTheme="minorHAnsi" w:eastAsiaTheme="minorHAnsi" w:hAnsiTheme="minorHAnsi" w:cstheme="minorBidi"/>
          <w:color w:val="auto"/>
          <w:sz w:val="24"/>
          <w:szCs w:val="24"/>
        </w:rPr>
      </w:pPr>
    </w:p>
    <w:p w14:paraId="685438BA" w14:textId="03874196" w:rsidR="00B07E76" w:rsidRPr="001355A0" w:rsidRDefault="00B07E76" w:rsidP="00B07E76">
      <w:pPr>
        <w:pStyle w:val="Heading2"/>
        <w:jc w:val="both"/>
        <w:rPr>
          <w:lang w:val="en-GB"/>
        </w:rPr>
      </w:pPr>
      <w:r w:rsidRPr="001355A0">
        <w:rPr>
          <w:lang w:val="en-GB"/>
        </w:rPr>
        <w:t xml:space="preserve">Specific recommendations for FFD4 </w:t>
      </w:r>
    </w:p>
    <w:p w14:paraId="3BE18008" w14:textId="4F0383DE" w:rsidR="0094091A" w:rsidRDefault="0094091A" w:rsidP="3E825EA2">
      <w:pPr>
        <w:jc w:val="both"/>
        <w:rPr>
          <w:lang w:val="en-GB"/>
        </w:rPr>
      </w:pPr>
      <w:r>
        <w:t>The Fourth Conference on Financing for Development (FFD4) offers a crucial opportunity to tackle the financing challenges related to the reconfiguration of global value chains. A proposed solution is the establishment of an infrastructure development fund for developing countries</w:t>
      </w:r>
      <w:r w:rsidR="004B6FFC">
        <w:t xml:space="preserve"> </w:t>
      </w:r>
      <w:r>
        <w:t>focus</w:t>
      </w:r>
      <w:r w:rsidR="00F004BA">
        <w:t>ing</w:t>
      </w:r>
      <w:r>
        <w:t xml:space="preserve"> on critical projects </w:t>
      </w:r>
      <w:r w:rsidR="00227130">
        <w:t xml:space="preserve">to enable them to take part in the dual transition to a green and digital </w:t>
      </w:r>
      <w:r w:rsidR="00AB693C">
        <w:t>economies</w:t>
      </w:r>
      <w:r w:rsidR="005711CB">
        <w:t>, and hence be able to have a place in global supply chains</w:t>
      </w:r>
      <w:r w:rsidR="00AB693C">
        <w:t xml:space="preserve">. This requires heavily investing </w:t>
      </w:r>
      <w:r>
        <w:t>in transportation, telecommunications, energy, and digital infrastructure, enhancing connectivity and integration into global value chains.</w:t>
      </w:r>
    </w:p>
    <w:p w14:paraId="604F43F2" w14:textId="48804688" w:rsidR="0094091A" w:rsidRDefault="0094091A" w:rsidP="0094091A">
      <w:pPr>
        <w:jc w:val="both"/>
      </w:pPr>
      <w:r>
        <w:lastRenderedPageBreak/>
        <w:t>Financed through a specialized vehicle, the fund would pool resources from multilateral development banks (MDBs), national governments, private investors, and international donors. It would offer a mix of financial instruments like long-term bonds, green bonds, concessional loans, and grants to reduce capital costs. The fund’s governance would emphasize transparency, accountability, and efficient resource allocation, with mechanisms to attract private sector participation through public-private partnerships (PPPs).</w:t>
      </w:r>
    </w:p>
    <w:p w14:paraId="698B590C" w14:textId="117FAE0C" w:rsidR="0094091A" w:rsidRDefault="0094091A" w:rsidP="0094091A">
      <w:pPr>
        <w:jc w:val="both"/>
      </w:pPr>
      <w:r>
        <w:t>Key areas of investment include:</w:t>
      </w:r>
    </w:p>
    <w:p w14:paraId="21E400F8" w14:textId="4D652E0F" w:rsidR="0094091A" w:rsidRDefault="0094091A" w:rsidP="0094091A">
      <w:pPr>
        <w:jc w:val="both"/>
      </w:pPr>
      <w:r>
        <w:t>1. Physical Infrastructure: Upgrading transportation infrastructure (roads, ports, railways) to reduce logistics costs and improve market access.</w:t>
      </w:r>
    </w:p>
    <w:p w14:paraId="4305FB3E" w14:textId="77618D84" w:rsidR="0094091A" w:rsidRDefault="0094091A" w:rsidP="0094091A">
      <w:pPr>
        <w:jc w:val="both"/>
      </w:pPr>
      <w:r>
        <w:t>2. Border Infrastructure: Enhancing border facilities and customs systems to streamline cross-border trade.</w:t>
      </w:r>
    </w:p>
    <w:p w14:paraId="5784487F" w14:textId="1D0C1405" w:rsidR="0094091A" w:rsidRDefault="0094091A" w:rsidP="0094091A">
      <w:pPr>
        <w:jc w:val="both"/>
      </w:pPr>
      <w:r>
        <w:t xml:space="preserve">3. Connectivity Infrastructure: Developing digital infrastructure (broadband, data </w:t>
      </w:r>
      <w:r w:rsidR="007357AD">
        <w:t>centres</w:t>
      </w:r>
      <w:r>
        <w:t>) to boost e-commerce and digital trade.</w:t>
      </w:r>
    </w:p>
    <w:p w14:paraId="62E963A2" w14:textId="104C9ADB" w:rsidR="0094091A" w:rsidRDefault="0094091A" w:rsidP="2CCB143F">
      <w:pPr>
        <w:jc w:val="both"/>
      </w:pPr>
      <w:r>
        <w:t>4. Energy Transition: Supporting renewable energy projects to ensure sustainable energy supply and zero-emission production.</w:t>
      </w:r>
    </w:p>
    <w:p w14:paraId="61ECCC1E" w14:textId="65B61E9E" w:rsidR="0094091A" w:rsidRDefault="0094091A" w:rsidP="0094091A">
      <w:pPr>
        <w:jc w:val="both"/>
      </w:pPr>
      <w:r>
        <w:t>Supporting green infrastructure aligned with global sustainability standards can attract investment focused on environmental, social, and governance (ESG) criteria.</w:t>
      </w:r>
    </w:p>
    <w:p w14:paraId="063904F2" w14:textId="4384A2AA" w:rsidR="00E73065" w:rsidRPr="00E73065" w:rsidRDefault="6D084C4C" w:rsidP="00996250">
      <w:pPr>
        <w:jc w:val="both"/>
      </w:pPr>
      <w:r w:rsidRPr="00996250">
        <w:t xml:space="preserve">FFD4 should also advocate for World Trade Organization (WTO) reforms that address developing countries' needs, ensuring they benefit from </w:t>
      </w:r>
      <w:r w:rsidR="00D71A5D" w:rsidRPr="00996250">
        <w:t>a universal, rules-based, open, non-discriminatory and equitable multilateral trading system under the World Trade Organization</w:t>
      </w:r>
      <w:r w:rsidRPr="00996250">
        <w:t xml:space="preserve">. Strengthening the WTO’s oversight and restoring its Dispute Settlement Mechanism is crucial for maintaining a level playing field, particularly amid the transitions to a digital economy and green energy. </w:t>
      </w:r>
      <w:r w:rsidR="34610CC6" w:rsidRPr="00996250">
        <w:t xml:space="preserve">A strong multilateral trading system is the best safeguard for developing </w:t>
      </w:r>
      <w:r w:rsidR="2C93D396" w:rsidRPr="00996250">
        <w:t>countries'</w:t>
      </w:r>
      <w:r w:rsidR="34610CC6" w:rsidRPr="00996250">
        <w:t xml:space="preserve"> participation in</w:t>
      </w:r>
      <w:r w:rsidR="3A28AE3F" w:rsidRPr="00996250">
        <w:t xml:space="preserve"> global value chains and in</w:t>
      </w:r>
      <w:r w:rsidR="34610CC6" w:rsidRPr="00996250">
        <w:t xml:space="preserve"> international trade.</w:t>
      </w:r>
    </w:p>
    <w:p w14:paraId="5BC617B1" w14:textId="603FC40F" w:rsidR="001A4012" w:rsidRDefault="0058070A" w:rsidP="009C5C5A">
      <w:pPr>
        <w:pStyle w:val="Heading2"/>
        <w:jc w:val="both"/>
        <w:rPr>
          <w:lang w:val="en-GB"/>
        </w:rPr>
      </w:pPr>
      <w:r>
        <w:rPr>
          <w:lang w:val="en-GB"/>
        </w:rPr>
        <w:t>S</w:t>
      </w:r>
      <w:r w:rsidR="001A4012" w:rsidRPr="001355A0">
        <w:rPr>
          <w:lang w:val="en-GB"/>
        </w:rPr>
        <w:t>ummary:</w:t>
      </w:r>
    </w:p>
    <w:p w14:paraId="29B6902F" w14:textId="76F5151B" w:rsidR="001A4012" w:rsidRPr="001A4012" w:rsidRDefault="0058070A" w:rsidP="002D4893">
      <w:pPr>
        <w:rPr>
          <w:lang w:val="en-GB"/>
        </w:rPr>
      </w:pPr>
      <w:r w:rsidRPr="0058070A">
        <w:t>Trade is vital for economic growth, but protectionism and unilateralism threaten the global trading system, limiting developing countries' participation. These nations face challenges in competing with developed economies' subsidies for green and digital transitions and struggle to secure financing for infrastructure. To enhance their role in global value chains, developing countries require substantial investment in transportation, energy, and digital infrastructure. A specialized infrastructure fund, supported by multilateral development banks and private capital, is crucial to closing this financing gap</w:t>
      </w:r>
      <w:r w:rsidR="007F5C71" w:rsidRPr="007F5C71">
        <w:rPr>
          <w:lang w:val="en-GB"/>
        </w:rPr>
        <w:t>.</w:t>
      </w:r>
    </w:p>
    <w:sectPr w:rsidR="001A4012" w:rsidRPr="001A4012">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37C9D" w14:textId="77777777" w:rsidR="0094522A" w:rsidRDefault="0094522A" w:rsidP="00F707EC">
      <w:pPr>
        <w:spacing w:after="0" w:line="240" w:lineRule="auto"/>
      </w:pPr>
      <w:r>
        <w:separator/>
      </w:r>
    </w:p>
  </w:endnote>
  <w:endnote w:type="continuationSeparator" w:id="0">
    <w:p w14:paraId="48FEB8E9" w14:textId="77777777" w:rsidR="0094522A" w:rsidRDefault="0094522A" w:rsidP="00F707EC">
      <w:pPr>
        <w:spacing w:after="0" w:line="240" w:lineRule="auto"/>
      </w:pPr>
      <w:r>
        <w:continuationSeparator/>
      </w:r>
    </w:p>
  </w:endnote>
  <w:endnote w:type="continuationNotice" w:id="1">
    <w:p w14:paraId="3B1FB36C" w14:textId="77777777" w:rsidR="0094522A" w:rsidRDefault="00945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96571"/>
      <w:docPartObj>
        <w:docPartGallery w:val="Page Numbers (Bottom of Page)"/>
        <w:docPartUnique/>
      </w:docPartObj>
    </w:sdtPr>
    <w:sdtEndPr>
      <w:rPr>
        <w:noProof/>
      </w:rPr>
    </w:sdtEndPr>
    <w:sdtContent>
      <w:p w14:paraId="0C25D147" w14:textId="4D883C17" w:rsidR="00A53DDF" w:rsidRDefault="00A53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3DC936" w14:textId="77777777" w:rsidR="00A53DDF" w:rsidRDefault="00A53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7B758" w14:textId="77777777" w:rsidR="0094522A" w:rsidRDefault="0094522A" w:rsidP="00F707EC">
      <w:pPr>
        <w:spacing w:after="0" w:line="240" w:lineRule="auto"/>
      </w:pPr>
      <w:r>
        <w:separator/>
      </w:r>
    </w:p>
  </w:footnote>
  <w:footnote w:type="continuationSeparator" w:id="0">
    <w:p w14:paraId="17153AEA" w14:textId="77777777" w:rsidR="0094522A" w:rsidRDefault="0094522A" w:rsidP="00F707EC">
      <w:pPr>
        <w:spacing w:after="0" w:line="240" w:lineRule="auto"/>
      </w:pPr>
      <w:r>
        <w:continuationSeparator/>
      </w:r>
    </w:p>
  </w:footnote>
  <w:footnote w:type="continuationNotice" w:id="1">
    <w:p w14:paraId="2333AE8D" w14:textId="77777777" w:rsidR="0094522A" w:rsidRDefault="0094522A">
      <w:pPr>
        <w:spacing w:after="0" w:line="240" w:lineRule="auto"/>
      </w:pPr>
    </w:p>
  </w:footnote>
  <w:footnote w:id="2">
    <w:p w14:paraId="2D5C994D" w14:textId="256D08D6" w:rsidR="00F113A8" w:rsidRPr="00F113A8" w:rsidRDefault="00F113A8">
      <w:pPr>
        <w:pStyle w:val="FootnoteText"/>
      </w:pPr>
      <w:r>
        <w:rPr>
          <w:rStyle w:val="FootnoteReference"/>
        </w:rPr>
        <w:footnoteRef/>
      </w:r>
      <w:r w:rsidR="3E825EA2">
        <w:t xml:space="preserve"> </w:t>
      </w:r>
      <w:r w:rsidR="3E825EA2" w:rsidRPr="00F113A8">
        <w:t xml:space="preserve">UNCTAD, </w:t>
      </w:r>
      <w:hyperlink r:id="rId1" w:history="1">
        <w:r w:rsidR="3E825EA2" w:rsidRPr="004E3BC5">
          <w:rPr>
            <w:rStyle w:val="Hyperlink"/>
          </w:rPr>
          <w:t>SDG Investment Trends Monitor, Issue 4, Appendix 1</w:t>
        </w:r>
      </w:hyperlink>
      <w:r w:rsidR="3E825EA2">
        <w:t>. September 2023.</w:t>
      </w:r>
    </w:p>
  </w:footnote>
  <w:footnote w:id="3">
    <w:p w14:paraId="27230F3C" w14:textId="1CD2976B" w:rsidR="5F1D3735" w:rsidRDefault="5F1D3735" w:rsidP="2CCB143F">
      <w:pPr>
        <w:pStyle w:val="FootnoteText"/>
      </w:pPr>
      <w:r w:rsidRPr="5F1D3735">
        <w:rPr>
          <w:rStyle w:val="FootnoteReference"/>
        </w:rPr>
        <w:footnoteRef/>
      </w:r>
      <w:r w:rsidR="2CCB143F">
        <w:t xml:space="preserve"> World Bank, World Economic prospect 2021.</w:t>
      </w:r>
    </w:p>
  </w:footnote>
  <w:footnote w:id="4">
    <w:p w14:paraId="5F61E6CC" w14:textId="14578817" w:rsidR="006F16D4" w:rsidRPr="007F5EFF" w:rsidRDefault="006F16D4">
      <w:pPr>
        <w:pStyle w:val="FootnoteText"/>
      </w:pPr>
      <w:r>
        <w:rPr>
          <w:rStyle w:val="FootnoteReference"/>
        </w:rPr>
        <w:footnoteRef/>
      </w:r>
      <w:r w:rsidR="3E825EA2">
        <w:t xml:space="preserve"> </w:t>
      </w:r>
      <w:r w:rsidR="3E825EA2" w:rsidRPr="007F5EFF">
        <w:t>Ibid.</w:t>
      </w:r>
    </w:p>
  </w:footnote>
  <w:footnote w:id="5">
    <w:p w14:paraId="4321C454" w14:textId="77777777" w:rsidR="000E2DA5" w:rsidRPr="007F5EFF" w:rsidRDefault="000E2DA5" w:rsidP="000E2DA5">
      <w:pPr>
        <w:pStyle w:val="FootnoteText"/>
      </w:pPr>
      <w:r>
        <w:rPr>
          <w:rStyle w:val="FootnoteReference"/>
        </w:rPr>
        <w:footnoteRef/>
      </w:r>
      <w:r>
        <w:t xml:space="preserve"> </w:t>
      </w:r>
      <w:r w:rsidRPr="007F5EFF">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704D"/>
    <w:multiLevelType w:val="multilevel"/>
    <w:tmpl w:val="0876D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56971"/>
    <w:multiLevelType w:val="hybridMultilevel"/>
    <w:tmpl w:val="AA2A8D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9ED321A"/>
    <w:multiLevelType w:val="hybridMultilevel"/>
    <w:tmpl w:val="B01824D0"/>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67A66F7"/>
    <w:multiLevelType w:val="hybridMultilevel"/>
    <w:tmpl w:val="C63ED76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50A51CFF"/>
    <w:multiLevelType w:val="hybridMultilevel"/>
    <w:tmpl w:val="1244176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67561C0B"/>
    <w:multiLevelType w:val="hybridMultilevel"/>
    <w:tmpl w:val="DF10F66A"/>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6F584AB7"/>
    <w:multiLevelType w:val="multilevel"/>
    <w:tmpl w:val="108E8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6485222">
    <w:abstractNumId w:val="5"/>
  </w:num>
  <w:num w:numId="2" w16cid:durableId="1537886140">
    <w:abstractNumId w:val="2"/>
  </w:num>
  <w:num w:numId="3" w16cid:durableId="1182550804">
    <w:abstractNumId w:val="1"/>
  </w:num>
  <w:num w:numId="4" w16cid:durableId="955528041">
    <w:abstractNumId w:val="6"/>
  </w:num>
  <w:num w:numId="5" w16cid:durableId="629090475">
    <w:abstractNumId w:val="0"/>
  </w:num>
  <w:num w:numId="6" w16cid:durableId="577860764">
    <w:abstractNumId w:val="3"/>
  </w:num>
  <w:num w:numId="7" w16cid:durableId="1302229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B5"/>
    <w:rsid w:val="00001A06"/>
    <w:rsid w:val="00002412"/>
    <w:rsid w:val="00005B7A"/>
    <w:rsid w:val="00012474"/>
    <w:rsid w:val="000209BD"/>
    <w:rsid w:val="00022DC2"/>
    <w:rsid w:val="00025C13"/>
    <w:rsid w:val="00035847"/>
    <w:rsid w:val="00041D93"/>
    <w:rsid w:val="0004321D"/>
    <w:rsid w:val="000464A9"/>
    <w:rsid w:val="00047458"/>
    <w:rsid w:val="0005145F"/>
    <w:rsid w:val="00066E08"/>
    <w:rsid w:val="00066E58"/>
    <w:rsid w:val="000700D6"/>
    <w:rsid w:val="00080D9B"/>
    <w:rsid w:val="00082A10"/>
    <w:rsid w:val="00083E0F"/>
    <w:rsid w:val="000840D4"/>
    <w:rsid w:val="00086787"/>
    <w:rsid w:val="000872A8"/>
    <w:rsid w:val="0009008B"/>
    <w:rsid w:val="00091651"/>
    <w:rsid w:val="0009415F"/>
    <w:rsid w:val="00095DDB"/>
    <w:rsid w:val="000A5079"/>
    <w:rsid w:val="000A7263"/>
    <w:rsid w:val="000B16EA"/>
    <w:rsid w:val="000B65BB"/>
    <w:rsid w:val="000B756B"/>
    <w:rsid w:val="000C20D2"/>
    <w:rsid w:val="000D0649"/>
    <w:rsid w:val="000D1AFF"/>
    <w:rsid w:val="000D39CB"/>
    <w:rsid w:val="000D5ABE"/>
    <w:rsid w:val="000D7C54"/>
    <w:rsid w:val="000E2586"/>
    <w:rsid w:val="000E2DA5"/>
    <w:rsid w:val="000E6563"/>
    <w:rsid w:val="000F0FD8"/>
    <w:rsid w:val="000F226D"/>
    <w:rsid w:val="000F6F70"/>
    <w:rsid w:val="000F7A77"/>
    <w:rsid w:val="001027BD"/>
    <w:rsid w:val="00104EC9"/>
    <w:rsid w:val="00106816"/>
    <w:rsid w:val="001134FD"/>
    <w:rsid w:val="00120062"/>
    <w:rsid w:val="0012160F"/>
    <w:rsid w:val="0012351F"/>
    <w:rsid w:val="0012779E"/>
    <w:rsid w:val="0013109B"/>
    <w:rsid w:val="001313BC"/>
    <w:rsid w:val="00133A76"/>
    <w:rsid w:val="001379C6"/>
    <w:rsid w:val="001472D9"/>
    <w:rsid w:val="00154132"/>
    <w:rsid w:val="0015757E"/>
    <w:rsid w:val="001658A3"/>
    <w:rsid w:val="00166DBC"/>
    <w:rsid w:val="0017344B"/>
    <w:rsid w:val="001758BE"/>
    <w:rsid w:val="001760AB"/>
    <w:rsid w:val="001831A0"/>
    <w:rsid w:val="00193887"/>
    <w:rsid w:val="001A287B"/>
    <w:rsid w:val="001A3CE1"/>
    <w:rsid w:val="001A4012"/>
    <w:rsid w:val="001B6A5E"/>
    <w:rsid w:val="001B6C6C"/>
    <w:rsid w:val="001C416C"/>
    <w:rsid w:val="001C5818"/>
    <w:rsid w:val="001D0BC4"/>
    <w:rsid w:val="001D2B81"/>
    <w:rsid w:val="001D44BD"/>
    <w:rsid w:val="001E1825"/>
    <w:rsid w:val="001E20AD"/>
    <w:rsid w:val="001E2C7B"/>
    <w:rsid w:val="001E5EA5"/>
    <w:rsid w:val="001F132D"/>
    <w:rsid w:val="001F1DB1"/>
    <w:rsid w:val="001F2C87"/>
    <w:rsid w:val="001F54EA"/>
    <w:rsid w:val="001F6327"/>
    <w:rsid w:val="002112A9"/>
    <w:rsid w:val="002122A1"/>
    <w:rsid w:val="00212F16"/>
    <w:rsid w:val="00213481"/>
    <w:rsid w:val="002179B1"/>
    <w:rsid w:val="00224379"/>
    <w:rsid w:val="00226BC2"/>
    <w:rsid w:val="00227130"/>
    <w:rsid w:val="002414C2"/>
    <w:rsid w:val="00257E4C"/>
    <w:rsid w:val="002602C9"/>
    <w:rsid w:val="00264E09"/>
    <w:rsid w:val="00265158"/>
    <w:rsid w:val="00272CE5"/>
    <w:rsid w:val="00276ACA"/>
    <w:rsid w:val="00293148"/>
    <w:rsid w:val="002953D9"/>
    <w:rsid w:val="00297C21"/>
    <w:rsid w:val="00297E1C"/>
    <w:rsid w:val="002A03E8"/>
    <w:rsid w:val="002A0E79"/>
    <w:rsid w:val="002A285C"/>
    <w:rsid w:val="002A498A"/>
    <w:rsid w:val="002A5E43"/>
    <w:rsid w:val="002A7599"/>
    <w:rsid w:val="002D0127"/>
    <w:rsid w:val="002D2288"/>
    <w:rsid w:val="002D4893"/>
    <w:rsid w:val="002D69D0"/>
    <w:rsid w:val="002D6AC5"/>
    <w:rsid w:val="002E6656"/>
    <w:rsid w:val="002E7640"/>
    <w:rsid w:val="002F53D7"/>
    <w:rsid w:val="002F67C4"/>
    <w:rsid w:val="00310A61"/>
    <w:rsid w:val="00312340"/>
    <w:rsid w:val="003129DB"/>
    <w:rsid w:val="003134A2"/>
    <w:rsid w:val="00320F34"/>
    <w:rsid w:val="00322355"/>
    <w:rsid w:val="00323453"/>
    <w:rsid w:val="0032589E"/>
    <w:rsid w:val="00326EF6"/>
    <w:rsid w:val="0034457B"/>
    <w:rsid w:val="0034473E"/>
    <w:rsid w:val="0034486E"/>
    <w:rsid w:val="00355F5F"/>
    <w:rsid w:val="00357604"/>
    <w:rsid w:val="0037466A"/>
    <w:rsid w:val="00377C38"/>
    <w:rsid w:val="003819E3"/>
    <w:rsid w:val="00386B04"/>
    <w:rsid w:val="003923C2"/>
    <w:rsid w:val="00392C84"/>
    <w:rsid w:val="003B1EE7"/>
    <w:rsid w:val="003B460D"/>
    <w:rsid w:val="003B727A"/>
    <w:rsid w:val="003C0800"/>
    <w:rsid w:val="003C478C"/>
    <w:rsid w:val="003C53B8"/>
    <w:rsid w:val="003D76C5"/>
    <w:rsid w:val="003E1809"/>
    <w:rsid w:val="003E4591"/>
    <w:rsid w:val="003E5547"/>
    <w:rsid w:val="003F4766"/>
    <w:rsid w:val="003F4BCE"/>
    <w:rsid w:val="00404003"/>
    <w:rsid w:val="00405182"/>
    <w:rsid w:val="00406E07"/>
    <w:rsid w:val="00420B53"/>
    <w:rsid w:val="0042261D"/>
    <w:rsid w:val="0042595F"/>
    <w:rsid w:val="004322C6"/>
    <w:rsid w:val="00434EA8"/>
    <w:rsid w:val="00447553"/>
    <w:rsid w:val="00453E26"/>
    <w:rsid w:val="00463491"/>
    <w:rsid w:val="00465BA6"/>
    <w:rsid w:val="00491FF8"/>
    <w:rsid w:val="00497465"/>
    <w:rsid w:val="004A6DDD"/>
    <w:rsid w:val="004B1B2C"/>
    <w:rsid w:val="004B65DB"/>
    <w:rsid w:val="004B6FFC"/>
    <w:rsid w:val="004B7DC2"/>
    <w:rsid w:val="004C125F"/>
    <w:rsid w:val="004C49A2"/>
    <w:rsid w:val="004C75FB"/>
    <w:rsid w:val="004C77D8"/>
    <w:rsid w:val="004D1FC2"/>
    <w:rsid w:val="004D2AD0"/>
    <w:rsid w:val="004D4F70"/>
    <w:rsid w:val="004D5965"/>
    <w:rsid w:val="004E1E3A"/>
    <w:rsid w:val="004E3BC5"/>
    <w:rsid w:val="004E50C0"/>
    <w:rsid w:val="004E60CE"/>
    <w:rsid w:val="004F1E61"/>
    <w:rsid w:val="0050090A"/>
    <w:rsid w:val="00521546"/>
    <w:rsid w:val="00523179"/>
    <w:rsid w:val="00527B49"/>
    <w:rsid w:val="00542084"/>
    <w:rsid w:val="0054614C"/>
    <w:rsid w:val="00551538"/>
    <w:rsid w:val="00552BA8"/>
    <w:rsid w:val="005539DC"/>
    <w:rsid w:val="00554324"/>
    <w:rsid w:val="00556C11"/>
    <w:rsid w:val="0056212F"/>
    <w:rsid w:val="005711CB"/>
    <w:rsid w:val="00573560"/>
    <w:rsid w:val="00573FE0"/>
    <w:rsid w:val="005760B5"/>
    <w:rsid w:val="0058070A"/>
    <w:rsid w:val="005812C2"/>
    <w:rsid w:val="00590421"/>
    <w:rsid w:val="00590670"/>
    <w:rsid w:val="00592385"/>
    <w:rsid w:val="00596A7B"/>
    <w:rsid w:val="005A1381"/>
    <w:rsid w:val="005A255E"/>
    <w:rsid w:val="005A2AD8"/>
    <w:rsid w:val="005B0502"/>
    <w:rsid w:val="005B38C6"/>
    <w:rsid w:val="005C2081"/>
    <w:rsid w:val="005C34F1"/>
    <w:rsid w:val="005D28D8"/>
    <w:rsid w:val="005D5423"/>
    <w:rsid w:val="005D55A6"/>
    <w:rsid w:val="005E12BF"/>
    <w:rsid w:val="005E512E"/>
    <w:rsid w:val="00605BEE"/>
    <w:rsid w:val="0060672E"/>
    <w:rsid w:val="006071DC"/>
    <w:rsid w:val="00610A69"/>
    <w:rsid w:val="00610F63"/>
    <w:rsid w:val="00611A38"/>
    <w:rsid w:val="0061305A"/>
    <w:rsid w:val="006157BA"/>
    <w:rsid w:val="00617640"/>
    <w:rsid w:val="006200A3"/>
    <w:rsid w:val="00623C38"/>
    <w:rsid w:val="00625793"/>
    <w:rsid w:val="00632585"/>
    <w:rsid w:val="00632FB3"/>
    <w:rsid w:val="0064093D"/>
    <w:rsid w:val="006466CC"/>
    <w:rsid w:val="00651311"/>
    <w:rsid w:val="00661795"/>
    <w:rsid w:val="006727B1"/>
    <w:rsid w:val="00672837"/>
    <w:rsid w:val="0068149F"/>
    <w:rsid w:val="006916CB"/>
    <w:rsid w:val="006935F2"/>
    <w:rsid w:val="006B4619"/>
    <w:rsid w:val="006C6285"/>
    <w:rsid w:val="006C6FBB"/>
    <w:rsid w:val="006D0475"/>
    <w:rsid w:val="006D0CE2"/>
    <w:rsid w:val="006D1E8E"/>
    <w:rsid w:val="006D2F87"/>
    <w:rsid w:val="006D62A8"/>
    <w:rsid w:val="006D66F6"/>
    <w:rsid w:val="006E1304"/>
    <w:rsid w:val="006E6C2C"/>
    <w:rsid w:val="006F16D4"/>
    <w:rsid w:val="006F1B72"/>
    <w:rsid w:val="006F2070"/>
    <w:rsid w:val="006F29E6"/>
    <w:rsid w:val="006F5780"/>
    <w:rsid w:val="006F7222"/>
    <w:rsid w:val="007000CB"/>
    <w:rsid w:val="0070120C"/>
    <w:rsid w:val="00711ED0"/>
    <w:rsid w:val="00720D91"/>
    <w:rsid w:val="007357AD"/>
    <w:rsid w:val="00735977"/>
    <w:rsid w:val="007359B2"/>
    <w:rsid w:val="007407B8"/>
    <w:rsid w:val="007451D8"/>
    <w:rsid w:val="00745C9C"/>
    <w:rsid w:val="00751CE5"/>
    <w:rsid w:val="00757A12"/>
    <w:rsid w:val="00764289"/>
    <w:rsid w:val="0076493B"/>
    <w:rsid w:val="00772667"/>
    <w:rsid w:val="00785B00"/>
    <w:rsid w:val="00786227"/>
    <w:rsid w:val="00786BB4"/>
    <w:rsid w:val="00787585"/>
    <w:rsid w:val="00790A90"/>
    <w:rsid w:val="0079144B"/>
    <w:rsid w:val="007A1008"/>
    <w:rsid w:val="007A5237"/>
    <w:rsid w:val="007B0C7E"/>
    <w:rsid w:val="007B12C4"/>
    <w:rsid w:val="007C374D"/>
    <w:rsid w:val="007C7776"/>
    <w:rsid w:val="007C7826"/>
    <w:rsid w:val="007D0E4D"/>
    <w:rsid w:val="007D1918"/>
    <w:rsid w:val="007E209E"/>
    <w:rsid w:val="007E2C7B"/>
    <w:rsid w:val="007E52AC"/>
    <w:rsid w:val="007E5558"/>
    <w:rsid w:val="007E69BE"/>
    <w:rsid w:val="007F3915"/>
    <w:rsid w:val="007F398B"/>
    <w:rsid w:val="007F5827"/>
    <w:rsid w:val="007F5C71"/>
    <w:rsid w:val="007F5EFF"/>
    <w:rsid w:val="007F6752"/>
    <w:rsid w:val="00800BC7"/>
    <w:rsid w:val="00800EB2"/>
    <w:rsid w:val="008012B4"/>
    <w:rsid w:val="00801FD7"/>
    <w:rsid w:val="00803C62"/>
    <w:rsid w:val="00804E7B"/>
    <w:rsid w:val="00807469"/>
    <w:rsid w:val="00811CDA"/>
    <w:rsid w:val="00815D1F"/>
    <w:rsid w:val="00821FAC"/>
    <w:rsid w:val="0083432F"/>
    <w:rsid w:val="00845646"/>
    <w:rsid w:val="00856396"/>
    <w:rsid w:val="008636DA"/>
    <w:rsid w:val="00870036"/>
    <w:rsid w:val="008726ED"/>
    <w:rsid w:val="00882214"/>
    <w:rsid w:val="00884F23"/>
    <w:rsid w:val="00887169"/>
    <w:rsid w:val="008A13C0"/>
    <w:rsid w:val="008A3269"/>
    <w:rsid w:val="008A435D"/>
    <w:rsid w:val="008B3632"/>
    <w:rsid w:val="008C1360"/>
    <w:rsid w:val="008D77A3"/>
    <w:rsid w:val="008E051B"/>
    <w:rsid w:val="008E1BCA"/>
    <w:rsid w:val="008E2D44"/>
    <w:rsid w:val="008E317B"/>
    <w:rsid w:val="008E4876"/>
    <w:rsid w:val="008F48AF"/>
    <w:rsid w:val="00901589"/>
    <w:rsid w:val="00906CDA"/>
    <w:rsid w:val="009078EE"/>
    <w:rsid w:val="0092536E"/>
    <w:rsid w:val="00930C2E"/>
    <w:rsid w:val="009358E2"/>
    <w:rsid w:val="009377C9"/>
    <w:rsid w:val="0094091A"/>
    <w:rsid w:val="00942169"/>
    <w:rsid w:val="009434F1"/>
    <w:rsid w:val="009438B6"/>
    <w:rsid w:val="0094522A"/>
    <w:rsid w:val="00950047"/>
    <w:rsid w:val="0095006E"/>
    <w:rsid w:val="00951844"/>
    <w:rsid w:val="00952378"/>
    <w:rsid w:val="0095645C"/>
    <w:rsid w:val="00967469"/>
    <w:rsid w:val="00970EE0"/>
    <w:rsid w:val="009740C4"/>
    <w:rsid w:val="00975D97"/>
    <w:rsid w:val="00976AB0"/>
    <w:rsid w:val="0098149F"/>
    <w:rsid w:val="0098201B"/>
    <w:rsid w:val="00987D00"/>
    <w:rsid w:val="00996250"/>
    <w:rsid w:val="009C1473"/>
    <w:rsid w:val="009C2A2E"/>
    <w:rsid w:val="009C5C5A"/>
    <w:rsid w:val="009D572F"/>
    <w:rsid w:val="009D7B85"/>
    <w:rsid w:val="009E0EB4"/>
    <w:rsid w:val="009E4194"/>
    <w:rsid w:val="00A1686E"/>
    <w:rsid w:val="00A30DF4"/>
    <w:rsid w:val="00A31CA1"/>
    <w:rsid w:val="00A365EA"/>
    <w:rsid w:val="00A402F2"/>
    <w:rsid w:val="00A44538"/>
    <w:rsid w:val="00A53DDF"/>
    <w:rsid w:val="00A57B52"/>
    <w:rsid w:val="00A64A3B"/>
    <w:rsid w:val="00A743FD"/>
    <w:rsid w:val="00A76ECE"/>
    <w:rsid w:val="00A8098E"/>
    <w:rsid w:val="00A81262"/>
    <w:rsid w:val="00A82D93"/>
    <w:rsid w:val="00A840B7"/>
    <w:rsid w:val="00A86537"/>
    <w:rsid w:val="00A86601"/>
    <w:rsid w:val="00A86C86"/>
    <w:rsid w:val="00A8780A"/>
    <w:rsid w:val="00A87EE3"/>
    <w:rsid w:val="00A92DAD"/>
    <w:rsid w:val="00A94169"/>
    <w:rsid w:val="00AA04F2"/>
    <w:rsid w:val="00AA1A59"/>
    <w:rsid w:val="00AA3100"/>
    <w:rsid w:val="00AB310E"/>
    <w:rsid w:val="00AB3514"/>
    <w:rsid w:val="00AB3C9E"/>
    <w:rsid w:val="00AB4EE1"/>
    <w:rsid w:val="00AB693C"/>
    <w:rsid w:val="00AB6DA6"/>
    <w:rsid w:val="00AC5C11"/>
    <w:rsid w:val="00ACE6F0"/>
    <w:rsid w:val="00AE3011"/>
    <w:rsid w:val="00AF0589"/>
    <w:rsid w:val="00AF1B81"/>
    <w:rsid w:val="00AF2401"/>
    <w:rsid w:val="00AF2695"/>
    <w:rsid w:val="00AF5FC8"/>
    <w:rsid w:val="00B03CBF"/>
    <w:rsid w:val="00B06885"/>
    <w:rsid w:val="00B07E76"/>
    <w:rsid w:val="00B13296"/>
    <w:rsid w:val="00B214F3"/>
    <w:rsid w:val="00B223C8"/>
    <w:rsid w:val="00B242D6"/>
    <w:rsid w:val="00B32BED"/>
    <w:rsid w:val="00B34420"/>
    <w:rsid w:val="00B361AF"/>
    <w:rsid w:val="00B44076"/>
    <w:rsid w:val="00B6134E"/>
    <w:rsid w:val="00B63FEE"/>
    <w:rsid w:val="00B658FF"/>
    <w:rsid w:val="00B666A2"/>
    <w:rsid w:val="00B675EF"/>
    <w:rsid w:val="00B70E3C"/>
    <w:rsid w:val="00B84AC2"/>
    <w:rsid w:val="00B87B99"/>
    <w:rsid w:val="00B919CC"/>
    <w:rsid w:val="00B93473"/>
    <w:rsid w:val="00B935A4"/>
    <w:rsid w:val="00BA02C2"/>
    <w:rsid w:val="00BA2251"/>
    <w:rsid w:val="00BA2454"/>
    <w:rsid w:val="00BB689A"/>
    <w:rsid w:val="00BC64B5"/>
    <w:rsid w:val="00BD04BF"/>
    <w:rsid w:val="00BD4419"/>
    <w:rsid w:val="00BD4752"/>
    <w:rsid w:val="00BD57F3"/>
    <w:rsid w:val="00BE2097"/>
    <w:rsid w:val="00BE5470"/>
    <w:rsid w:val="00BF1D42"/>
    <w:rsid w:val="00C00384"/>
    <w:rsid w:val="00C041AA"/>
    <w:rsid w:val="00C058C0"/>
    <w:rsid w:val="00C101B0"/>
    <w:rsid w:val="00C147F3"/>
    <w:rsid w:val="00C14DF4"/>
    <w:rsid w:val="00C16FCF"/>
    <w:rsid w:val="00C231B6"/>
    <w:rsid w:val="00C2517C"/>
    <w:rsid w:val="00C27E9F"/>
    <w:rsid w:val="00C326FA"/>
    <w:rsid w:val="00C40A2A"/>
    <w:rsid w:val="00C411DC"/>
    <w:rsid w:val="00C450C1"/>
    <w:rsid w:val="00C473ED"/>
    <w:rsid w:val="00C47CE0"/>
    <w:rsid w:val="00C52AB2"/>
    <w:rsid w:val="00C531F8"/>
    <w:rsid w:val="00C57128"/>
    <w:rsid w:val="00C57FA9"/>
    <w:rsid w:val="00C677C4"/>
    <w:rsid w:val="00C965CD"/>
    <w:rsid w:val="00CA2037"/>
    <w:rsid w:val="00CA3438"/>
    <w:rsid w:val="00CA4170"/>
    <w:rsid w:val="00CA6762"/>
    <w:rsid w:val="00CB107C"/>
    <w:rsid w:val="00CB2FAA"/>
    <w:rsid w:val="00CB713E"/>
    <w:rsid w:val="00CC4D3B"/>
    <w:rsid w:val="00CC67F8"/>
    <w:rsid w:val="00CC76E5"/>
    <w:rsid w:val="00CC7A20"/>
    <w:rsid w:val="00CD1B78"/>
    <w:rsid w:val="00CD3F8C"/>
    <w:rsid w:val="00CD5085"/>
    <w:rsid w:val="00CD59B7"/>
    <w:rsid w:val="00CD70D3"/>
    <w:rsid w:val="00CD7E25"/>
    <w:rsid w:val="00CE0EC2"/>
    <w:rsid w:val="00CE43FB"/>
    <w:rsid w:val="00CE5125"/>
    <w:rsid w:val="00CE7142"/>
    <w:rsid w:val="00CF1FA5"/>
    <w:rsid w:val="00CF4DAA"/>
    <w:rsid w:val="00CF734D"/>
    <w:rsid w:val="00D27780"/>
    <w:rsid w:val="00D31B6E"/>
    <w:rsid w:val="00D44E61"/>
    <w:rsid w:val="00D47949"/>
    <w:rsid w:val="00D51701"/>
    <w:rsid w:val="00D518AE"/>
    <w:rsid w:val="00D55ACD"/>
    <w:rsid w:val="00D613D3"/>
    <w:rsid w:val="00D71A5D"/>
    <w:rsid w:val="00D71E47"/>
    <w:rsid w:val="00D80C4B"/>
    <w:rsid w:val="00D80E5B"/>
    <w:rsid w:val="00D841C8"/>
    <w:rsid w:val="00D908FB"/>
    <w:rsid w:val="00D92362"/>
    <w:rsid w:val="00D95F17"/>
    <w:rsid w:val="00D967AD"/>
    <w:rsid w:val="00DA1FD4"/>
    <w:rsid w:val="00DA2D4A"/>
    <w:rsid w:val="00DA3918"/>
    <w:rsid w:val="00DA404B"/>
    <w:rsid w:val="00DA571A"/>
    <w:rsid w:val="00DA7163"/>
    <w:rsid w:val="00DB2B64"/>
    <w:rsid w:val="00DB3D68"/>
    <w:rsid w:val="00DC2222"/>
    <w:rsid w:val="00DC508C"/>
    <w:rsid w:val="00DC5667"/>
    <w:rsid w:val="00DD4769"/>
    <w:rsid w:val="00DD4B86"/>
    <w:rsid w:val="00DD4E59"/>
    <w:rsid w:val="00DD6C08"/>
    <w:rsid w:val="00DE5197"/>
    <w:rsid w:val="00DE537D"/>
    <w:rsid w:val="00DE582B"/>
    <w:rsid w:val="00DE782A"/>
    <w:rsid w:val="00DF33EF"/>
    <w:rsid w:val="00E025B5"/>
    <w:rsid w:val="00E02929"/>
    <w:rsid w:val="00E15728"/>
    <w:rsid w:val="00E2206D"/>
    <w:rsid w:val="00E24545"/>
    <w:rsid w:val="00E245F4"/>
    <w:rsid w:val="00E255EC"/>
    <w:rsid w:val="00E25BDF"/>
    <w:rsid w:val="00E4618F"/>
    <w:rsid w:val="00E500D6"/>
    <w:rsid w:val="00E5086D"/>
    <w:rsid w:val="00E51585"/>
    <w:rsid w:val="00E57CA6"/>
    <w:rsid w:val="00E61992"/>
    <w:rsid w:val="00E65D74"/>
    <w:rsid w:val="00E70D0A"/>
    <w:rsid w:val="00E73065"/>
    <w:rsid w:val="00E8229E"/>
    <w:rsid w:val="00E84DF2"/>
    <w:rsid w:val="00E9441F"/>
    <w:rsid w:val="00EA2EE9"/>
    <w:rsid w:val="00EA376D"/>
    <w:rsid w:val="00EB163D"/>
    <w:rsid w:val="00EB7575"/>
    <w:rsid w:val="00EC0EF2"/>
    <w:rsid w:val="00EC30EF"/>
    <w:rsid w:val="00ED3461"/>
    <w:rsid w:val="00ED3D2B"/>
    <w:rsid w:val="00EE5F8C"/>
    <w:rsid w:val="00EF21AA"/>
    <w:rsid w:val="00EF5D03"/>
    <w:rsid w:val="00EF6949"/>
    <w:rsid w:val="00F004BA"/>
    <w:rsid w:val="00F012FB"/>
    <w:rsid w:val="00F0687C"/>
    <w:rsid w:val="00F07607"/>
    <w:rsid w:val="00F113A8"/>
    <w:rsid w:val="00F1311B"/>
    <w:rsid w:val="00F15DD5"/>
    <w:rsid w:val="00F2271D"/>
    <w:rsid w:val="00F31C90"/>
    <w:rsid w:val="00F3363D"/>
    <w:rsid w:val="00F33A67"/>
    <w:rsid w:val="00F35538"/>
    <w:rsid w:val="00F37016"/>
    <w:rsid w:val="00F3768F"/>
    <w:rsid w:val="00F43995"/>
    <w:rsid w:val="00F44F61"/>
    <w:rsid w:val="00F45AE1"/>
    <w:rsid w:val="00F529A9"/>
    <w:rsid w:val="00F56BD2"/>
    <w:rsid w:val="00F57876"/>
    <w:rsid w:val="00F63EBF"/>
    <w:rsid w:val="00F6799F"/>
    <w:rsid w:val="00F70529"/>
    <w:rsid w:val="00F707EC"/>
    <w:rsid w:val="00F71273"/>
    <w:rsid w:val="00F7379A"/>
    <w:rsid w:val="00F8565D"/>
    <w:rsid w:val="00F87EB7"/>
    <w:rsid w:val="00F93E71"/>
    <w:rsid w:val="00FA6A16"/>
    <w:rsid w:val="00FB493F"/>
    <w:rsid w:val="00FB4E15"/>
    <w:rsid w:val="00FB5B2F"/>
    <w:rsid w:val="00FB76CC"/>
    <w:rsid w:val="00FB7DBE"/>
    <w:rsid w:val="00FC045F"/>
    <w:rsid w:val="00FD00E9"/>
    <w:rsid w:val="00FD0CDF"/>
    <w:rsid w:val="00FD5071"/>
    <w:rsid w:val="00FD7059"/>
    <w:rsid w:val="00FE01C0"/>
    <w:rsid w:val="00FF18A0"/>
    <w:rsid w:val="02A36694"/>
    <w:rsid w:val="02D7E282"/>
    <w:rsid w:val="03AA7A85"/>
    <w:rsid w:val="04AF3D5D"/>
    <w:rsid w:val="04DC90F6"/>
    <w:rsid w:val="05118656"/>
    <w:rsid w:val="0513027D"/>
    <w:rsid w:val="057B2F91"/>
    <w:rsid w:val="05CD54E1"/>
    <w:rsid w:val="072F90A0"/>
    <w:rsid w:val="078E54FA"/>
    <w:rsid w:val="07A11238"/>
    <w:rsid w:val="07CFA3FF"/>
    <w:rsid w:val="08420776"/>
    <w:rsid w:val="098205AF"/>
    <w:rsid w:val="0A6E714F"/>
    <w:rsid w:val="0D3E8683"/>
    <w:rsid w:val="0D40D11B"/>
    <w:rsid w:val="0DD61CC1"/>
    <w:rsid w:val="0DF107CF"/>
    <w:rsid w:val="0EDBFD76"/>
    <w:rsid w:val="0EF327B2"/>
    <w:rsid w:val="0FB3E1D5"/>
    <w:rsid w:val="0FB7DD0A"/>
    <w:rsid w:val="0FC44496"/>
    <w:rsid w:val="10922BB7"/>
    <w:rsid w:val="109F68E1"/>
    <w:rsid w:val="111ABC2E"/>
    <w:rsid w:val="11AE9ED4"/>
    <w:rsid w:val="122F59C8"/>
    <w:rsid w:val="12355DAC"/>
    <w:rsid w:val="127C323C"/>
    <w:rsid w:val="1319C516"/>
    <w:rsid w:val="1338CA34"/>
    <w:rsid w:val="14F81CC8"/>
    <w:rsid w:val="16569261"/>
    <w:rsid w:val="16B58F09"/>
    <w:rsid w:val="16FF40A2"/>
    <w:rsid w:val="1771A8B2"/>
    <w:rsid w:val="17E8A54B"/>
    <w:rsid w:val="17FC9401"/>
    <w:rsid w:val="18938D78"/>
    <w:rsid w:val="1A8EF302"/>
    <w:rsid w:val="1B9CB1FB"/>
    <w:rsid w:val="1C8B4BD7"/>
    <w:rsid w:val="1CB9B72D"/>
    <w:rsid w:val="1DE38028"/>
    <w:rsid w:val="1E6C8002"/>
    <w:rsid w:val="1FF3E10B"/>
    <w:rsid w:val="20A9DC3B"/>
    <w:rsid w:val="22D4C4A6"/>
    <w:rsid w:val="23773081"/>
    <w:rsid w:val="254E7B3E"/>
    <w:rsid w:val="25AA4E81"/>
    <w:rsid w:val="26570EA0"/>
    <w:rsid w:val="29191204"/>
    <w:rsid w:val="2947C1BD"/>
    <w:rsid w:val="29575BDF"/>
    <w:rsid w:val="2ABF0721"/>
    <w:rsid w:val="2AFAC0D5"/>
    <w:rsid w:val="2C61854B"/>
    <w:rsid w:val="2C93D396"/>
    <w:rsid w:val="2CCB143F"/>
    <w:rsid w:val="2DA6E685"/>
    <w:rsid w:val="2E4A5ED7"/>
    <w:rsid w:val="2E7DD57F"/>
    <w:rsid w:val="2E821664"/>
    <w:rsid w:val="2F77030C"/>
    <w:rsid w:val="2FC610FE"/>
    <w:rsid w:val="307730B7"/>
    <w:rsid w:val="31BF5600"/>
    <w:rsid w:val="326DA4D8"/>
    <w:rsid w:val="34610CC6"/>
    <w:rsid w:val="34C76023"/>
    <w:rsid w:val="34CE98C8"/>
    <w:rsid w:val="35201684"/>
    <w:rsid w:val="3814B93E"/>
    <w:rsid w:val="38734725"/>
    <w:rsid w:val="38A7D505"/>
    <w:rsid w:val="3993E901"/>
    <w:rsid w:val="3A28AE3F"/>
    <w:rsid w:val="3A3C89AD"/>
    <w:rsid w:val="3A4B174B"/>
    <w:rsid w:val="3BD8F17B"/>
    <w:rsid w:val="3C8444E3"/>
    <w:rsid w:val="3D274ABE"/>
    <w:rsid w:val="3D44B577"/>
    <w:rsid w:val="3D9EB31C"/>
    <w:rsid w:val="3E11E968"/>
    <w:rsid w:val="3E825EA2"/>
    <w:rsid w:val="3ED5F667"/>
    <w:rsid w:val="3FA1AD36"/>
    <w:rsid w:val="40F1398D"/>
    <w:rsid w:val="41346FB6"/>
    <w:rsid w:val="42B74690"/>
    <w:rsid w:val="4334DD5F"/>
    <w:rsid w:val="439E1248"/>
    <w:rsid w:val="43F6B52F"/>
    <w:rsid w:val="4847FD28"/>
    <w:rsid w:val="489DDB6E"/>
    <w:rsid w:val="4937A314"/>
    <w:rsid w:val="497B1A6C"/>
    <w:rsid w:val="4AEED868"/>
    <w:rsid w:val="4B78229B"/>
    <w:rsid w:val="4B9BE807"/>
    <w:rsid w:val="4BC3E39A"/>
    <w:rsid w:val="4BD850A7"/>
    <w:rsid w:val="4C36115B"/>
    <w:rsid w:val="4CF5E803"/>
    <w:rsid w:val="4D6F4D9B"/>
    <w:rsid w:val="4DA06C39"/>
    <w:rsid w:val="4F232619"/>
    <w:rsid w:val="4FE53171"/>
    <w:rsid w:val="51304815"/>
    <w:rsid w:val="52547880"/>
    <w:rsid w:val="542ECB47"/>
    <w:rsid w:val="5494BA0C"/>
    <w:rsid w:val="54C2B504"/>
    <w:rsid w:val="56F972BA"/>
    <w:rsid w:val="57BF7106"/>
    <w:rsid w:val="57D16A0B"/>
    <w:rsid w:val="5881672E"/>
    <w:rsid w:val="5884FC4E"/>
    <w:rsid w:val="5A4E46E3"/>
    <w:rsid w:val="5C3375D9"/>
    <w:rsid w:val="5CE560E0"/>
    <w:rsid w:val="5F1D3735"/>
    <w:rsid w:val="6092EADC"/>
    <w:rsid w:val="61BBE4A7"/>
    <w:rsid w:val="623673EB"/>
    <w:rsid w:val="630B3320"/>
    <w:rsid w:val="633EFB18"/>
    <w:rsid w:val="643B177C"/>
    <w:rsid w:val="647E255B"/>
    <w:rsid w:val="64A1C0CD"/>
    <w:rsid w:val="64BE50AB"/>
    <w:rsid w:val="65D4066C"/>
    <w:rsid w:val="65E99A7E"/>
    <w:rsid w:val="66B0702C"/>
    <w:rsid w:val="66CB37E8"/>
    <w:rsid w:val="67878299"/>
    <w:rsid w:val="67F82232"/>
    <w:rsid w:val="694CAA67"/>
    <w:rsid w:val="69CB6FB0"/>
    <w:rsid w:val="69FAD901"/>
    <w:rsid w:val="6BBFE35D"/>
    <w:rsid w:val="6D084C4C"/>
    <w:rsid w:val="6D1897B4"/>
    <w:rsid w:val="6DF9C712"/>
    <w:rsid w:val="6E6E2206"/>
    <w:rsid w:val="6EE26E81"/>
    <w:rsid w:val="6F4D671D"/>
    <w:rsid w:val="6FC1D506"/>
    <w:rsid w:val="6FFDE476"/>
    <w:rsid w:val="70705EA4"/>
    <w:rsid w:val="71499C47"/>
    <w:rsid w:val="714C5E81"/>
    <w:rsid w:val="7173BC44"/>
    <w:rsid w:val="71A9895C"/>
    <w:rsid w:val="7479A6B2"/>
    <w:rsid w:val="7567C1E5"/>
    <w:rsid w:val="75974539"/>
    <w:rsid w:val="75A74FD9"/>
    <w:rsid w:val="75EEDBD0"/>
    <w:rsid w:val="76DA8B47"/>
    <w:rsid w:val="77F1B219"/>
    <w:rsid w:val="7851E0AC"/>
    <w:rsid w:val="7A7F7B9D"/>
    <w:rsid w:val="7AF1FA7E"/>
    <w:rsid w:val="7BC0D045"/>
    <w:rsid w:val="7BC3B4A3"/>
    <w:rsid w:val="7BCAB3EF"/>
    <w:rsid w:val="7D0480F5"/>
    <w:rsid w:val="7F029F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52B1"/>
  <w15:chartTrackingRefBased/>
  <w15:docId w15:val="{14E9CD35-2806-419E-8916-F275F277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6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6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0B5"/>
    <w:rPr>
      <w:rFonts w:eastAsiaTheme="majorEastAsia" w:cstheme="majorBidi"/>
      <w:color w:val="272727" w:themeColor="text1" w:themeTint="D8"/>
    </w:rPr>
  </w:style>
  <w:style w:type="paragraph" w:styleId="Title">
    <w:name w:val="Title"/>
    <w:basedOn w:val="Normal"/>
    <w:next w:val="Normal"/>
    <w:link w:val="TitleChar"/>
    <w:uiPriority w:val="10"/>
    <w:qFormat/>
    <w:rsid w:val="00576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0B5"/>
    <w:pPr>
      <w:spacing w:before="160"/>
      <w:jc w:val="center"/>
    </w:pPr>
    <w:rPr>
      <w:i/>
      <w:iCs/>
      <w:color w:val="404040" w:themeColor="text1" w:themeTint="BF"/>
    </w:rPr>
  </w:style>
  <w:style w:type="character" w:customStyle="1" w:styleId="QuoteChar">
    <w:name w:val="Quote Char"/>
    <w:basedOn w:val="DefaultParagraphFont"/>
    <w:link w:val="Quote"/>
    <w:uiPriority w:val="29"/>
    <w:rsid w:val="005760B5"/>
    <w:rPr>
      <w:i/>
      <w:iCs/>
      <w:color w:val="404040" w:themeColor="text1" w:themeTint="BF"/>
    </w:rPr>
  </w:style>
  <w:style w:type="paragraph" w:styleId="ListParagraph">
    <w:name w:val="List Paragraph"/>
    <w:basedOn w:val="Normal"/>
    <w:uiPriority w:val="34"/>
    <w:qFormat/>
    <w:rsid w:val="005760B5"/>
    <w:pPr>
      <w:ind w:left="720"/>
      <w:contextualSpacing/>
    </w:pPr>
  </w:style>
  <w:style w:type="character" w:styleId="IntenseEmphasis">
    <w:name w:val="Intense Emphasis"/>
    <w:basedOn w:val="DefaultParagraphFont"/>
    <w:uiPriority w:val="21"/>
    <w:qFormat/>
    <w:rsid w:val="005760B5"/>
    <w:rPr>
      <w:i/>
      <w:iCs/>
      <w:color w:val="0F4761" w:themeColor="accent1" w:themeShade="BF"/>
    </w:rPr>
  </w:style>
  <w:style w:type="paragraph" w:styleId="IntenseQuote">
    <w:name w:val="Intense Quote"/>
    <w:basedOn w:val="Normal"/>
    <w:next w:val="Normal"/>
    <w:link w:val="IntenseQuoteChar"/>
    <w:uiPriority w:val="30"/>
    <w:qFormat/>
    <w:rsid w:val="00576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0B5"/>
    <w:rPr>
      <w:i/>
      <w:iCs/>
      <w:color w:val="0F4761" w:themeColor="accent1" w:themeShade="BF"/>
    </w:rPr>
  </w:style>
  <w:style w:type="character" w:styleId="IntenseReference">
    <w:name w:val="Intense Reference"/>
    <w:basedOn w:val="DefaultParagraphFont"/>
    <w:uiPriority w:val="32"/>
    <w:qFormat/>
    <w:rsid w:val="005760B5"/>
    <w:rPr>
      <w:b/>
      <w:bCs/>
      <w:smallCaps/>
      <w:color w:val="0F4761" w:themeColor="accent1" w:themeShade="BF"/>
      <w:spacing w:val="5"/>
    </w:rPr>
  </w:style>
  <w:style w:type="character" w:styleId="CommentReference">
    <w:name w:val="annotation reference"/>
    <w:basedOn w:val="DefaultParagraphFont"/>
    <w:uiPriority w:val="99"/>
    <w:semiHidden/>
    <w:unhideWhenUsed/>
    <w:rsid w:val="001E1825"/>
    <w:rPr>
      <w:sz w:val="16"/>
      <w:szCs w:val="16"/>
    </w:rPr>
  </w:style>
  <w:style w:type="paragraph" w:styleId="CommentText">
    <w:name w:val="annotation text"/>
    <w:basedOn w:val="Normal"/>
    <w:link w:val="CommentTextChar"/>
    <w:uiPriority w:val="99"/>
    <w:unhideWhenUsed/>
    <w:rsid w:val="001E1825"/>
    <w:pPr>
      <w:spacing w:line="240" w:lineRule="auto"/>
    </w:pPr>
    <w:rPr>
      <w:sz w:val="20"/>
      <w:szCs w:val="20"/>
    </w:rPr>
  </w:style>
  <w:style w:type="character" w:customStyle="1" w:styleId="CommentTextChar">
    <w:name w:val="Comment Text Char"/>
    <w:basedOn w:val="DefaultParagraphFont"/>
    <w:link w:val="CommentText"/>
    <w:uiPriority w:val="99"/>
    <w:rsid w:val="001E1825"/>
    <w:rPr>
      <w:sz w:val="20"/>
      <w:szCs w:val="20"/>
    </w:rPr>
  </w:style>
  <w:style w:type="paragraph" w:styleId="CommentSubject">
    <w:name w:val="annotation subject"/>
    <w:basedOn w:val="CommentText"/>
    <w:next w:val="CommentText"/>
    <w:link w:val="CommentSubjectChar"/>
    <w:uiPriority w:val="99"/>
    <w:semiHidden/>
    <w:unhideWhenUsed/>
    <w:rsid w:val="001E1825"/>
    <w:rPr>
      <w:b/>
      <w:bCs/>
    </w:rPr>
  </w:style>
  <w:style w:type="character" w:customStyle="1" w:styleId="CommentSubjectChar">
    <w:name w:val="Comment Subject Char"/>
    <w:basedOn w:val="CommentTextChar"/>
    <w:link w:val="CommentSubject"/>
    <w:uiPriority w:val="99"/>
    <w:semiHidden/>
    <w:rsid w:val="001E1825"/>
    <w:rPr>
      <w:b/>
      <w:bCs/>
      <w:sz w:val="20"/>
      <w:szCs w:val="20"/>
    </w:rPr>
  </w:style>
  <w:style w:type="paragraph" w:styleId="Revision">
    <w:name w:val="Revision"/>
    <w:hidden/>
    <w:uiPriority w:val="99"/>
    <w:semiHidden/>
    <w:rsid w:val="00552BA8"/>
    <w:pPr>
      <w:spacing w:after="0" w:line="240" w:lineRule="auto"/>
    </w:pPr>
  </w:style>
  <w:style w:type="paragraph" w:styleId="Header">
    <w:name w:val="header"/>
    <w:basedOn w:val="Normal"/>
    <w:link w:val="HeaderChar"/>
    <w:uiPriority w:val="99"/>
    <w:unhideWhenUsed/>
    <w:rsid w:val="00F70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7EC"/>
  </w:style>
  <w:style w:type="paragraph" w:styleId="Footer">
    <w:name w:val="footer"/>
    <w:basedOn w:val="Normal"/>
    <w:link w:val="FooterChar"/>
    <w:uiPriority w:val="99"/>
    <w:unhideWhenUsed/>
    <w:rsid w:val="00F70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7EC"/>
  </w:style>
  <w:style w:type="paragraph" w:styleId="FootnoteText">
    <w:name w:val="footnote text"/>
    <w:basedOn w:val="Normal"/>
    <w:link w:val="FootnoteTextChar"/>
    <w:uiPriority w:val="99"/>
    <w:semiHidden/>
    <w:unhideWhenUsed/>
    <w:rsid w:val="006067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72E"/>
    <w:rPr>
      <w:sz w:val="20"/>
      <w:szCs w:val="20"/>
    </w:rPr>
  </w:style>
  <w:style w:type="character" w:styleId="FootnoteReference">
    <w:name w:val="footnote reference"/>
    <w:basedOn w:val="DefaultParagraphFont"/>
    <w:uiPriority w:val="99"/>
    <w:semiHidden/>
    <w:unhideWhenUsed/>
    <w:rsid w:val="0060672E"/>
    <w:rPr>
      <w:vertAlign w:val="superscript"/>
    </w:rPr>
  </w:style>
  <w:style w:type="character" w:styleId="Hyperlink">
    <w:name w:val="Hyperlink"/>
    <w:basedOn w:val="DefaultParagraphFont"/>
    <w:uiPriority w:val="99"/>
    <w:unhideWhenUsed/>
    <w:rsid w:val="00326EF6"/>
    <w:rPr>
      <w:color w:val="467886" w:themeColor="hyperlink"/>
      <w:u w:val="single"/>
    </w:rPr>
  </w:style>
  <w:style w:type="character" w:styleId="UnresolvedMention">
    <w:name w:val="Unresolved Mention"/>
    <w:basedOn w:val="DefaultParagraphFont"/>
    <w:uiPriority w:val="99"/>
    <w:semiHidden/>
    <w:unhideWhenUsed/>
    <w:rsid w:val="00326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7634">
      <w:bodyDiv w:val="1"/>
      <w:marLeft w:val="0"/>
      <w:marRight w:val="0"/>
      <w:marTop w:val="0"/>
      <w:marBottom w:val="0"/>
      <w:divBdr>
        <w:top w:val="none" w:sz="0" w:space="0" w:color="auto"/>
        <w:left w:val="none" w:sz="0" w:space="0" w:color="auto"/>
        <w:bottom w:val="none" w:sz="0" w:space="0" w:color="auto"/>
        <w:right w:val="none" w:sz="0" w:space="0" w:color="auto"/>
      </w:divBdr>
    </w:div>
    <w:div w:id="335957825">
      <w:bodyDiv w:val="1"/>
      <w:marLeft w:val="0"/>
      <w:marRight w:val="0"/>
      <w:marTop w:val="0"/>
      <w:marBottom w:val="0"/>
      <w:divBdr>
        <w:top w:val="none" w:sz="0" w:space="0" w:color="auto"/>
        <w:left w:val="none" w:sz="0" w:space="0" w:color="auto"/>
        <w:bottom w:val="none" w:sz="0" w:space="0" w:color="auto"/>
        <w:right w:val="none" w:sz="0" w:space="0" w:color="auto"/>
      </w:divBdr>
    </w:div>
    <w:div w:id="415833174">
      <w:bodyDiv w:val="1"/>
      <w:marLeft w:val="0"/>
      <w:marRight w:val="0"/>
      <w:marTop w:val="0"/>
      <w:marBottom w:val="0"/>
      <w:divBdr>
        <w:top w:val="none" w:sz="0" w:space="0" w:color="auto"/>
        <w:left w:val="none" w:sz="0" w:space="0" w:color="auto"/>
        <w:bottom w:val="none" w:sz="0" w:space="0" w:color="auto"/>
        <w:right w:val="none" w:sz="0" w:space="0" w:color="auto"/>
      </w:divBdr>
    </w:div>
    <w:div w:id="454761197">
      <w:bodyDiv w:val="1"/>
      <w:marLeft w:val="0"/>
      <w:marRight w:val="0"/>
      <w:marTop w:val="0"/>
      <w:marBottom w:val="0"/>
      <w:divBdr>
        <w:top w:val="none" w:sz="0" w:space="0" w:color="auto"/>
        <w:left w:val="none" w:sz="0" w:space="0" w:color="auto"/>
        <w:bottom w:val="none" w:sz="0" w:space="0" w:color="auto"/>
        <w:right w:val="none" w:sz="0" w:space="0" w:color="auto"/>
      </w:divBdr>
    </w:div>
    <w:div w:id="501048591">
      <w:bodyDiv w:val="1"/>
      <w:marLeft w:val="0"/>
      <w:marRight w:val="0"/>
      <w:marTop w:val="0"/>
      <w:marBottom w:val="0"/>
      <w:divBdr>
        <w:top w:val="none" w:sz="0" w:space="0" w:color="auto"/>
        <w:left w:val="none" w:sz="0" w:space="0" w:color="auto"/>
        <w:bottom w:val="none" w:sz="0" w:space="0" w:color="auto"/>
        <w:right w:val="none" w:sz="0" w:space="0" w:color="auto"/>
      </w:divBdr>
      <w:divsChild>
        <w:div w:id="837503066">
          <w:marLeft w:val="0"/>
          <w:marRight w:val="0"/>
          <w:marTop w:val="0"/>
          <w:marBottom w:val="0"/>
          <w:divBdr>
            <w:top w:val="none" w:sz="0" w:space="0" w:color="auto"/>
            <w:left w:val="none" w:sz="0" w:space="0" w:color="auto"/>
            <w:bottom w:val="none" w:sz="0" w:space="0" w:color="auto"/>
            <w:right w:val="none" w:sz="0" w:space="0" w:color="auto"/>
          </w:divBdr>
          <w:divsChild>
            <w:div w:id="2132744782">
              <w:marLeft w:val="0"/>
              <w:marRight w:val="0"/>
              <w:marTop w:val="0"/>
              <w:marBottom w:val="0"/>
              <w:divBdr>
                <w:top w:val="none" w:sz="0" w:space="0" w:color="auto"/>
                <w:left w:val="none" w:sz="0" w:space="0" w:color="auto"/>
                <w:bottom w:val="none" w:sz="0" w:space="0" w:color="auto"/>
                <w:right w:val="none" w:sz="0" w:space="0" w:color="auto"/>
              </w:divBdr>
              <w:divsChild>
                <w:div w:id="1611353687">
                  <w:marLeft w:val="0"/>
                  <w:marRight w:val="0"/>
                  <w:marTop w:val="0"/>
                  <w:marBottom w:val="0"/>
                  <w:divBdr>
                    <w:top w:val="none" w:sz="0" w:space="0" w:color="auto"/>
                    <w:left w:val="none" w:sz="0" w:space="0" w:color="auto"/>
                    <w:bottom w:val="none" w:sz="0" w:space="0" w:color="auto"/>
                    <w:right w:val="none" w:sz="0" w:space="0" w:color="auto"/>
                  </w:divBdr>
                  <w:divsChild>
                    <w:div w:id="22944766">
                      <w:marLeft w:val="0"/>
                      <w:marRight w:val="0"/>
                      <w:marTop w:val="0"/>
                      <w:marBottom w:val="0"/>
                      <w:divBdr>
                        <w:top w:val="none" w:sz="0" w:space="0" w:color="auto"/>
                        <w:left w:val="none" w:sz="0" w:space="0" w:color="auto"/>
                        <w:bottom w:val="none" w:sz="0" w:space="0" w:color="auto"/>
                        <w:right w:val="none" w:sz="0" w:space="0" w:color="auto"/>
                      </w:divBdr>
                      <w:divsChild>
                        <w:div w:id="224728492">
                          <w:marLeft w:val="0"/>
                          <w:marRight w:val="0"/>
                          <w:marTop w:val="0"/>
                          <w:marBottom w:val="0"/>
                          <w:divBdr>
                            <w:top w:val="none" w:sz="0" w:space="0" w:color="auto"/>
                            <w:left w:val="none" w:sz="0" w:space="0" w:color="auto"/>
                            <w:bottom w:val="none" w:sz="0" w:space="0" w:color="auto"/>
                            <w:right w:val="none" w:sz="0" w:space="0" w:color="auto"/>
                          </w:divBdr>
                          <w:divsChild>
                            <w:div w:id="1718699347">
                              <w:marLeft w:val="0"/>
                              <w:marRight w:val="0"/>
                              <w:marTop w:val="0"/>
                              <w:marBottom w:val="0"/>
                              <w:divBdr>
                                <w:top w:val="none" w:sz="0" w:space="0" w:color="auto"/>
                                <w:left w:val="none" w:sz="0" w:space="0" w:color="auto"/>
                                <w:bottom w:val="none" w:sz="0" w:space="0" w:color="auto"/>
                                <w:right w:val="none" w:sz="0" w:space="0" w:color="auto"/>
                              </w:divBdr>
                              <w:divsChild>
                                <w:div w:id="875703295">
                                  <w:marLeft w:val="0"/>
                                  <w:marRight w:val="0"/>
                                  <w:marTop w:val="0"/>
                                  <w:marBottom w:val="0"/>
                                  <w:divBdr>
                                    <w:top w:val="none" w:sz="0" w:space="0" w:color="auto"/>
                                    <w:left w:val="none" w:sz="0" w:space="0" w:color="auto"/>
                                    <w:bottom w:val="none" w:sz="0" w:space="0" w:color="auto"/>
                                    <w:right w:val="none" w:sz="0" w:space="0" w:color="auto"/>
                                  </w:divBdr>
                                  <w:divsChild>
                                    <w:div w:id="2046634946">
                                      <w:marLeft w:val="0"/>
                                      <w:marRight w:val="0"/>
                                      <w:marTop w:val="0"/>
                                      <w:marBottom w:val="0"/>
                                      <w:divBdr>
                                        <w:top w:val="none" w:sz="0" w:space="0" w:color="auto"/>
                                        <w:left w:val="none" w:sz="0" w:space="0" w:color="auto"/>
                                        <w:bottom w:val="none" w:sz="0" w:space="0" w:color="auto"/>
                                        <w:right w:val="none" w:sz="0" w:space="0" w:color="auto"/>
                                      </w:divBdr>
                                      <w:divsChild>
                                        <w:div w:id="1527014123">
                                          <w:marLeft w:val="0"/>
                                          <w:marRight w:val="0"/>
                                          <w:marTop w:val="0"/>
                                          <w:marBottom w:val="0"/>
                                          <w:divBdr>
                                            <w:top w:val="none" w:sz="0" w:space="0" w:color="auto"/>
                                            <w:left w:val="none" w:sz="0" w:space="0" w:color="auto"/>
                                            <w:bottom w:val="none" w:sz="0" w:space="0" w:color="auto"/>
                                            <w:right w:val="none" w:sz="0" w:space="0" w:color="auto"/>
                                          </w:divBdr>
                                          <w:divsChild>
                                            <w:div w:id="1076513433">
                                              <w:marLeft w:val="0"/>
                                              <w:marRight w:val="0"/>
                                              <w:marTop w:val="0"/>
                                              <w:marBottom w:val="0"/>
                                              <w:divBdr>
                                                <w:top w:val="none" w:sz="0" w:space="0" w:color="auto"/>
                                                <w:left w:val="none" w:sz="0" w:space="0" w:color="auto"/>
                                                <w:bottom w:val="none" w:sz="0" w:space="0" w:color="auto"/>
                                                <w:right w:val="none" w:sz="0" w:space="0" w:color="auto"/>
                                              </w:divBdr>
                                              <w:divsChild>
                                                <w:div w:id="1289164490">
                                                  <w:marLeft w:val="0"/>
                                                  <w:marRight w:val="0"/>
                                                  <w:marTop w:val="0"/>
                                                  <w:marBottom w:val="0"/>
                                                  <w:divBdr>
                                                    <w:top w:val="none" w:sz="0" w:space="0" w:color="auto"/>
                                                    <w:left w:val="none" w:sz="0" w:space="0" w:color="auto"/>
                                                    <w:bottom w:val="none" w:sz="0" w:space="0" w:color="auto"/>
                                                    <w:right w:val="none" w:sz="0" w:space="0" w:color="auto"/>
                                                  </w:divBdr>
                                                  <w:divsChild>
                                                    <w:div w:id="1234698502">
                                                      <w:marLeft w:val="0"/>
                                                      <w:marRight w:val="0"/>
                                                      <w:marTop w:val="0"/>
                                                      <w:marBottom w:val="0"/>
                                                      <w:divBdr>
                                                        <w:top w:val="none" w:sz="0" w:space="0" w:color="auto"/>
                                                        <w:left w:val="none" w:sz="0" w:space="0" w:color="auto"/>
                                                        <w:bottom w:val="none" w:sz="0" w:space="0" w:color="auto"/>
                                                        <w:right w:val="none" w:sz="0" w:space="0" w:color="auto"/>
                                                      </w:divBdr>
                                                      <w:divsChild>
                                                        <w:div w:id="7900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5571">
                                              <w:marLeft w:val="0"/>
                                              <w:marRight w:val="0"/>
                                              <w:marTop w:val="0"/>
                                              <w:marBottom w:val="0"/>
                                              <w:divBdr>
                                                <w:top w:val="none" w:sz="0" w:space="0" w:color="auto"/>
                                                <w:left w:val="none" w:sz="0" w:space="0" w:color="auto"/>
                                                <w:bottom w:val="none" w:sz="0" w:space="0" w:color="auto"/>
                                                <w:right w:val="none" w:sz="0" w:space="0" w:color="auto"/>
                                              </w:divBdr>
                                              <w:divsChild>
                                                <w:div w:id="1305508052">
                                                  <w:marLeft w:val="0"/>
                                                  <w:marRight w:val="0"/>
                                                  <w:marTop w:val="0"/>
                                                  <w:marBottom w:val="0"/>
                                                  <w:divBdr>
                                                    <w:top w:val="none" w:sz="0" w:space="0" w:color="auto"/>
                                                    <w:left w:val="none" w:sz="0" w:space="0" w:color="auto"/>
                                                    <w:bottom w:val="none" w:sz="0" w:space="0" w:color="auto"/>
                                                    <w:right w:val="none" w:sz="0" w:space="0" w:color="auto"/>
                                                  </w:divBdr>
                                                  <w:divsChild>
                                                    <w:div w:id="2061631527">
                                                      <w:marLeft w:val="0"/>
                                                      <w:marRight w:val="0"/>
                                                      <w:marTop w:val="0"/>
                                                      <w:marBottom w:val="0"/>
                                                      <w:divBdr>
                                                        <w:top w:val="none" w:sz="0" w:space="0" w:color="auto"/>
                                                        <w:left w:val="none" w:sz="0" w:space="0" w:color="auto"/>
                                                        <w:bottom w:val="none" w:sz="0" w:space="0" w:color="auto"/>
                                                        <w:right w:val="none" w:sz="0" w:space="0" w:color="auto"/>
                                                      </w:divBdr>
                                                      <w:divsChild>
                                                        <w:div w:id="17762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3801219">
          <w:marLeft w:val="0"/>
          <w:marRight w:val="0"/>
          <w:marTop w:val="0"/>
          <w:marBottom w:val="0"/>
          <w:divBdr>
            <w:top w:val="none" w:sz="0" w:space="0" w:color="auto"/>
            <w:left w:val="none" w:sz="0" w:space="0" w:color="auto"/>
            <w:bottom w:val="none" w:sz="0" w:space="0" w:color="auto"/>
            <w:right w:val="none" w:sz="0" w:space="0" w:color="auto"/>
          </w:divBdr>
          <w:divsChild>
            <w:div w:id="108202665">
              <w:marLeft w:val="0"/>
              <w:marRight w:val="0"/>
              <w:marTop w:val="0"/>
              <w:marBottom w:val="0"/>
              <w:divBdr>
                <w:top w:val="none" w:sz="0" w:space="0" w:color="auto"/>
                <w:left w:val="none" w:sz="0" w:space="0" w:color="auto"/>
                <w:bottom w:val="none" w:sz="0" w:space="0" w:color="auto"/>
                <w:right w:val="none" w:sz="0" w:space="0" w:color="auto"/>
              </w:divBdr>
              <w:divsChild>
                <w:div w:id="1145395320">
                  <w:marLeft w:val="0"/>
                  <w:marRight w:val="0"/>
                  <w:marTop w:val="0"/>
                  <w:marBottom w:val="0"/>
                  <w:divBdr>
                    <w:top w:val="none" w:sz="0" w:space="0" w:color="auto"/>
                    <w:left w:val="none" w:sz="0" w:space="0" w:color="auto"/>
                    <w:bottom w:val="none" w:sz="0" w:space="0" w:color="auto"/>
                    <w:right w:val="none" w:sz="0" w:space="0" w:color="auto"/>
                  </w:divBdr>
                  <w:divsChild>
                    <w:div w:id="1960406175">
                      <w:marLeft w:val="0"/>
                      <w:marRight w:val="0"/>
                      <w:marTop w:val="0"/>
                      <w:marBottom w:val="0"/>
                      <w:divBdr>
                        <w:top w:val="none" w:sz="0" w:space="0" w:color="auto"/>
                        <w:left w:val="none" w:sz="0" w:space="0" w:color="auto"/>
                        <w:bottom w:val="none" w:sz="0" w:space="0" w:color="auto"/>
                        <w:right w:val="none" w:sz="0" w:space="0" w:color="auto"/>
                      </w:divBdr>
                      <w:divsChild>
                        <w:div w:id="953251658">
                          <w:marLeft w:val="0"/>
                          <w:marRight w:val="0"/>
                          <w:marTop w:val="0"/>
                          <w:marBottom w:val="0"/>
                          <w:divBdr>
                            <w:top w:val="none" w:sz="0" w:space="0" w:color="auto"/>
                            <w:left w:val="none" w:sz="0" w:space="0" w:color="auto"/>
                            <w:bottom w:val="none" w:sz="0" w:space="0" w:color="auto"/>
                            <w:right w:val="none" w:sz="0" w:space="0" w:color="auto"/>
                          </w:divBdr>
                          <w:divsChild>
                            <w:div w:id="1930498654">
                              <w:marLeft w:val="0"/>
                              <w:marRight w:val="0"/>
                              <w:marTop w:val="0"/>
                              <w:marBottom w:val="0"/>
                              <w:divBdr>
                                <w:top w:val="none" w:sz="0" w:space="0" w:color="auto"/>
                                <w:left w:val="none" w:sz="0" w:space="0" w:color="auto"/>
                                <w:bottom w:val="none" w:sz="0" w:space="0" w:color="auto"/>
                                <w:right w:val="none" w:sz="0" w:space="0" w:color="auto"/>
                              </w:divBdr>
                              <w:divsChild>
                                <w:div w:id="360282403">
                                  <w:marLeft w:val="0"/>
                                  <w:marRight w:val="0"/>
                                  <w:marTop w:val="0"/>
                                  <w:marBottom w:val="0"/>
                                  <w:divBdr>
                                    <w:top w:val="none" w:sz="0" w:space="0" w:color="auto"/>
                                    <w:left w:val="none" w:sz="0" w:space="0" w:color="auto"/>
                                    <w:bottom w:val="none" w:sz="0" w:space="0" w:color="auto"/>
                                    <w:right w:val="none" w:sz="0" w:space="0" w:color="auto"/>
                                  </w:divBdr>
                                  <w:divsChild>
                                    <w:div w:id="882402542">
                                      <w:marLeft w:val="0"/>
                                      <w:marRight w:val="0"/>
                                      <w:marTop w:val="0"/>
                                      <w:marBottom w:val="0"/>
                                      <w:divBdr>
                                        <w:top w:val="none" w:sz="0" w:space="0" w:color="auto"/>
                                        <w:left w:val="none" w:sz="0" w:space="0" w:color="auto"/>
                                        <w:bottom w:val="none" w:sz="0" w:space="0" w:color="auto"/>
                                        <w:right w:val="none" w:sz="0" w:space="0" w:color="auto"/>
                                      </w:divBdr>
                                      <w:divsChild>
                                        <w:div w:id="1511916666">
                                          <w:marLeft w:val="0"/>
                                          <w:marRight w:val="0"/>
                                          <w:marTop w:val="0"/>
                                          <w:marBottom w:val="0"/>
                                          <w:divBdr>
                                            <w:top w:val="none" w:sz="0" w:space="0" w:color="auto"/>
                                            <w:left w:val="none" w:sz="0" w:space="0" w:color="auto"/>
                                            <w:bottom w:val="none" w:sz="0" w:space="0" w:color="auto"/>
                                            <w:right w:val="none" w:sz="0" w:space="0" w:color="auto"/>
                                          </w:divBdr>
                                          <w:divsChild>
                                            <w:div w:id="680278332">
                                              <w:marLeft w:val="0"/>
                                              <w:marRight w:val="0"/>
                                              <w:marTop w:val="0"/>
                                              <w:marBottom w:val="0"/>
                                              <w:divBdr>
                                                <w:top w:val="none" w:sz="0" w:space="0" w:color="auto"/>
                                                <w:left w:val="none" w:sz="0" w:space="0" w:color="auto"/>
                                                <w:bottom w:val="none" w:sz="0" w:space="0" w:color="auto"/>
                                                <w:right w:val="none" w:sz="0" w:space="0" w:color="auto"/>
                                              </w:divBdr>
                                              <w:divsChild>
                                                <w:div w:id="742987785">
                                                  <w:marLeft w:val="0"/>
                                                  <w:marRight w:val="0"/>
                                                  <w:marTop w:val="0"/>
                                                  <w:marBottom w:val="0"/>
                                                  <w:divBdr>
                                                    <w:top w:val="none" w:sz="0" w:space="0" w:color="auto"/>
                                                    <w:left w:val="none" w:sz="0" w:space="0" w:color="auto"/>
                                                    <w:bottom w:val="none" w:sz="0" w:space="0" w:color="auto"/>
                                                    <w:right w:val="none" w:sz="0" w:space="0" w:color="auto"/>
                                                  </w:divBdr>
                                                  <w:divsChild>
                                                    <w:div w:id="1652519505">
                                                      <w:marLeft w:val="0"/>
                                                      <w:marRight w:val="0"/>
                                                      <w:marTop w:val="0"/>
                                                      <w:marBottom w:val="0"/>
                                                      <w:divBdr>
                                                        <w:top w:val="none" w:sz="0" w:space="0" w:color="auto"/>
                                                        <w:left w:val="none" w:sz="0" w:space="0" w:color="auto"/>
                                                        <w:bottom w:val="none" w:sz="0" w:space="0" w:color="auto"/>
                                                        <w:right w:val="none" w:sz="0" w:space="0" w:color="auto"/>
                                                      </w:divBdr>
                                                      <w:divsChild>
                                                        <w:div w:id="661003542">
                                                          <w:marLeft w:val="0"/>
                                                          <w:marRight w:val="0"/>
                                                          <w:marTop w:val="0"/>
                                                          <w:marBottom w:val="0"/>
                                                          <w:divBdr>
                                                            <w:top w:val="none" w:sz="0" w:space="0" w:color="auto"/>
                                                            <w:left w:val="none" w:sz="0" w:space="0" w:color="auto"/>
                                                            <w:bottom w:val="none" w:sz="0" w:space="0" w:color="auto"/>
                                                            <w:right w:val="none" w:sz="0" w:space="0" w:color="auto"/>
                                                          </w:divBdr>
                                                          <w:divsChild>
                                                            <w:div w:id="779841281">
                                                              <w:marLeft w:val="0"/>
                                                              <w:marRight w:val="0"/>
                                                              <w:marTop w:val="0"/>
                                                              <w:marBottom w:val="0"/>
                                                              <w:divBdr>
                                                                <w:top w:val="none" w:sz="0" w:space="0" w:color="auto"/>
                                                                <w:left w:val="none" w:sz="0" w:space="0" w:color="auto"/>
                                                                <w:bottom w:val="none" w:sz="0" w:space="0" w:color="auto"/>
                                                                <w:right w:val="none" w:sz="0" w:space="0" w:color="auto"/>
                                                              </w:divBdr>
                                                            </w:div>
                                                          </w:divsChild>
                                                        </w:div>
                                                        <w:div w:id="967589346">
                                                          <w:marLeft w:val="0"/>
                                                          <w:marRight w:val="0"/>
                                                          <w:marTop w:val="0"/>
                                                          <w:marBottom w:val="0"/>
                                                          <w:divBdr>
                                                            <w:top w:val="none" w:sz="0" w:space="0" w:color="auto"/>
                                                            <w:left w:val="none" w:sz="0" w:space="0" w:color="auto"/>
                                                            <w:bottom w:val="none" w:sz="0" w:space="0" w:color="auto"/>
                                                            <w:right w:val="none" w:sz="0" w:space="0" w:color="auto"/>
                                                          </w:divBdr>
                                                          <w:divsChild>
                                                            <w:div w:id="12584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2145319">
      <w:bodyDiv w:val="1"/>
      <w:marLeft w:val="0"/>
      <w:marRight w:val="0"/>
      <w:marTop w:val="0"/>
      <w:marBottom w:val="0"/>
      <w:divBdr>
        <w:top w:val="none" w:sz="0" w:space="0" w:color="auto"/>
        <w:left w:val="none" w:sz="0" w:space="0" w:color="auto"/>
        <w:bottom w:val="none" w:sz="0" w:space="0" w:color="auto"/>
        <w:right w:val="none" w:sz="0" w:space="0" w:color="auto"/>
      </w:divBdr>
    </w:div>
    <w:div w:id="1607618019">
      <w:bodyDiv w:val="1"/>
      <w:marLeft w:val="0"/>
      <w:marRight w:val="0"/>
      <w:marTop w:val="0"/>
      <w:marBottom w:val="0"/>
      <w:divBdr>
        <w:top w:val="none" w:sz="0" w:space="0" w:color="auto"/>
        <w:left w:val="none" w:sz="0" w:space="0" w:color="auto"/>
        <w:bottom w:val="none" w:sz="0" w:space="0" w:color="auto"/>
        <w:right w:val="none" w:sz="0" w:space="0" w:color="auto"/>
      </w:divBdr>
    </w:div>
    <w:div w:id="1625964094">
      <w:bodyDiv w:val="1"/>
      <w:marLeft w:val="0"/>
      <w:marRight w:val="0"/>
      <w:marTop w:val="0"/>
      <w:marBottom w:val="0"/>
      <w:divBdr>
        <w:top w:val="none" w:sz="0" w:space="0" w:color="auto"/>
        <w:left w:val="none" w:sz="0" w:space="0" w:color="auto"/>
        <w:bottom w:val="none" w:sz="0" w:space="0" w:color="auto"/>
        <w:right w:val="none" w:sz="0" w:space="0" w:color="auto"/>
      </w:divBdr>
      <w:divsChild>
        <w:div w:id="6296240">
          <w:marLeft w:val="0"/>
          <w:marRight w:val="0"/>
          <w:marTop w:val="0"/>
          <w:marBottom w:val="0"/>
          <w:divBdr>
            <w:top w:val="none" w:sz="0" w:space="0" w:color="auto"/>
            <w:left w:val="none" w:sz="0" w:space="0" w:color="auto"/>
            <w:bottom w:val="none" w:sz="0" w:space="0" w:color="auto"/>
            <w:right w:val="none" w:sz="0" w:space="0" w:color="auto"/>
          </w:divBdr>
          <w:divsChild>
            <w:div w:id="986082528">
              <w:marLeft w:val="0"/>
              <w:marRight w:val="0"/>
              <w:marTop w:val="0"/>
              <w:marBottom w:val="0"/>
              <w:divBdr>
                <w:top w:val="none" w:sz="0" w:space="0" w:color="auto"/>
                <w:left w:val="none" w:sz="0" w:space="0" w:color="auto"/>
                <w:bottom w:val="none" w:sz="0" w:space="0" w:color="auto"/>
                <w:right w:val="none" w:sz="0" w:space="0" w:color="auto"/>
              </w:divBdr>
              <w:divsChild>
                <w:div w:id="1337031483">
                  <w:marLeft w:val="0"/>
                  <w:marRight w:val="0"/>
                  <w:marTop w:val="0"/>
                  <w:marBottom w:val="0"/>
                  <w:divBdr>
                    <w:top w:val="none" w:sz="0" w:space="0" w:color="auto"/>
                    <w:left w:val="none" w:sz="0" w:space="0" w:color="auto"/>
                    <w:bottom w:val="none" w:sz="0" w:space="0" w:color="auto"/>
                    <w:right w:val="none" w:sz="0" w:space="0" w:color="auto"/>
                  </w:divBdr>
                  <w:divsChild>
                    <w:div w:id="865022061">
                      <w:marLeft w:val="0"/>
                      <w:marRight w:val="0"/>
                      <w:marTop w:val="0"/>
                      <w:marBottom w:val="0"/>
                      <w:divBdr>
                        <w:top w:val="none" w:sz="0" w:space="0" w:color="auto"/>
                        <w:left w:val="none" w:sz="0" w:space="0" w:color="auto"/>
                        <w:bottom w:val="none" w:sz="0" w:space="0" w:color="auto"/>
                        <w:right w:val="none" w:sz="0" w:space="0" w:color="auto"/>
                      </w:divBdr>
                      <w:divsChild>
                        <w:div w:id="1241794466">
                          <w:marLeft w:val="0"/>
                          <w:marRight w:val="0"/>
                          <w:marTop w:val="0"/>
                          <w:marBottom w:val="0"/>
                          <w:divBdr>
                            <w:top w:val="none" w:sz="0" w:space="0" w:color="auto"/>
                            <w:left w:val="none" w:sz="0" w:space="0" w:color="auto"/>
                            <w:bottom w:val="none" w:sz="0" w:space="0" w:color="auto"/>
                            <w:right w:val="none" w:sz="0" w:space="0" w:color="auto"/>
                          </w:divBdr>
                          <w:divsChild>
                            <w:div w:id="777604710">
                              <w:marLeft w:val="0"/>
                              <w:marRight w:val="0"/>
                              <w:marTop w:val="0"/>
                              <w:marBottom w:val="0"/>
                              <w:divBdr>
                                <w:top w:val="none" w:sz="0" w:space="0" w:color="auto"/>
                                <w:left w:val="none" w:sz="0" w:space="0" w:color="auto"/>
                                <w:bottom w:val="none" w:sz="0" w:space="0" w:color="auto"/>
                                <w:right w:val="none" w:sz="0" w:space="0" w:color="auto"/>
                              </w:divBdr>
                              <w:divsChild>
                                <w:div w:id="2137791404">
                                  <w:marLeft w:val="0"/>
                                  <w:marRight w:val="0"/>
                                  <w:marTop w:val="0"/>
                                  <w:marBottom w:val="0"/>
                                  <w:divBdr>
                                    <w:top w:val="none" w:sz="0" w:space="0" w:color="auto"/>
                                    <w:left w:val="none" w:sz="0" w:space="0" w:color="auto"/>
                                    <w:bottom w:val="none" w:sz="0" w:space="0" w:color="auto"/>
                                    <w:right w:val="none" w:sz="0" w:space="0" w:color="auto"/>
                                  </w:divBdr>
                                  <w:divsChild>
                                    <w:div w:id="1647052297">
                                      <w:marLeft w:val="0"/>
                                      <w:marRight w:val="0"/>
                                      <w:marTop w:val="0"/>
                                      <w:marBottom w:val="0"/>
                                      <w:divBdr>
                                        <w:top w:val="none" w:sz="0" w:space="0" w:color="auto"/>
                                        <w:left w:val="none" w:sz="0" w:space="0" w:color="auto"/>
                                        <w:bottom w:val="none" w:sz="0" w:space="0" w:color="auto"/>
                                        <w:right w:val="none" w:sz="0" w:space="0" w:color="auto"/>
                                      </w:divBdr>
                                      <w:divsChild>
                                        <w:div w:id="1749112500">
                                          <w:marLeft w:val="0"/>
                                          <w:marRight w:val="0"/>
                                          <w:marTop w:val="0"/>
                                          <w:marBottom w:val="0"/>
                                          <w:divBdr>
                                            <w:top w:val="none" w:sz="0" w:space="0" w:color="auto"/>
                                            <w:left w:val="none" w:sz="0" w:space="0" w:color="auto"/>
                                            <w:bottom w:val="none" w:sz="0" w:space="0" w:color="auto"/>
                                            <w:right w:val="none" w:sz="0" w:space="0" w:color="auto"/>
                                          </w:divBdr>
                                          <w:divsChild>
                                            <w:div w:id="729109005">
                                              <w:marLeft w:val="0"/>
                                              <w:marRight w:val="0"/>
                                              <w:marTop w:val="0"/>
                                              <w:marBottom w:val="0"/>
                                              <w:divBdr>
                                                <w:top w:val="none" w:sz="0" w:space="0" w:color="auto"/>
                                                <w:left w:val="none" w:sz="0" w:space="0" w:color="auto"/>
                                                <w:bottom w:val="none" w:sz="0" w:space="0" w:color="auto"/>
                                                <w:right w:val="none" w:sz="0" w:space="0" w:color="auto"/>
                                              </w:divBdr>
                                              <w:divsChild>
                                                <w:div w:id="1260142130">
                                                  <w:marLeft w:val="0"/>
                                                  <w:marRight w:val="0"/>
                                                  <w:marTop w:val="0"/>
                                                  <w:marBottom w:val="0"/>
                                                  <w:divBdr>
                                                    <w:top w:val="none" w:sz="0" w:space="0" w:color="auto"/>
                                                    <w:left w:val="none" w:sz="0" w:space="0" w:color="auto"/>
                                                    <w:bottom w:val="none" w:sz="0" w:space="0" w:color="auto"/>
                                                    <w:right w:val="none" w:sz="0" w:space="0" w:color="auto"/>
                                                  </w:divBdr>
                                                  <w:divsChild>
                                                    <w:div w:id="1710565110">
                                                      <w:marLeft w:val="0"/>
                                                      <w:marRight w:val="0"/>
                                                      <w:marTop w:val="0"/>
                                                      <w:marBottom w:val="0"/>
                                                      <w:divBdr>
                                                        <w:top w:val="none" w:sz="0" w:space="0" w:color="auto"/>
                                                        <w:left w:val="none" w:sz="0" w:space="0" w:color="auto"/>
                                                        <w:bottom w:val="none" w:sz="0" w:space="0" w:color="auto"/>
                                                        <w:right w:val="none" w:sz="0" w:space="0" w:color="auto"/>
                                                      </w:divBdr>
                                                      <w:divsChild>
                                                        <w:div w:id="1783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56802">
                                              <w:marLeft w:val="0"/>
                                              <w:marRight w:val="0"/>
                                              <w:marTop w:val="0"/>
                                              <w:marBottom w:val="0"/>
                                              <w:divBdr>
                                                <w:top w:val="none" w:sz="0" w:space="0" w:color="auto"/>
                                                <w:left w:val="none" w:sz="0" w:space="0" w:color="auto"/>
                                                <w:bottom w:val="none" w:sz="0" w:space="0" w:color="auto"/>
                                                <w:right w:val="none" w:sz="0" w:space="0" w:color="auto"/>
                                              </w:divBdr>
                                              <w:divsChild>
                                                <w:div w:id="75563754">
                                                  <w:marLeft w:val="0"/>
                                                  <w:marRight w:val="0"/>
                                                  <w:marTop w:val="0"/>
                                                  <w:marBottom w:val="0"/>
                                                  <w:divBdr>
                                                    <w:top w:val="none" w:sz="0" w:space="0" w:color="auto"/>
                                                    <w:left w:val="none" w:sz="0" w:space="0" w:color="auto"/>
                                                    <w:bottom w:val="none" w:sz="0" w:space="0" w:color="auto"/>
                                                    <w:right w:val="none" w:sz="0" w:space="0" w:color="auto"/>
                                                  </w:divBdr>
                                                  <w:divsChild>
                                                    <w:div w:id="2136752152">
                                                      <w:marLeft w:val="0"/>
                                                      <w:marRight w:val="0"/>
                                                      <w:marTop w:val="0"/>
                                                      <w:marBottom w:val="0"/>
                                                      <w:divBdr>
                                                        <w:top w:val="none" w:sz="0" w:space="0" w:color="auto"/>
                                                        <w:left w:val="none" w:sz="0" w:space="0" w:color="auto"/>
                                                        <w:bottom w:val="none" w:sz="0" w:space="0" w:color="auto"/>
                                                        <w:right w:val="none" w:sz="0" w:space="0" w:color="auto"/>
                                                      </w:divBdr>
                                                      <w:divsChild>
                                                        <w:div w:id="16471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701943">
          <w:marLeft w:val="0"/>
          <w:marRight w:val="0"/>
          <w:marTop w:val="0"/>
          <w:marBottom w:val="0"/>
          <w:divBdr>
            <w:top w:val="none" w:sz="0" w:space="0" w:color="auto"/>
            <w:left w:val="none" w:sz="0" w:space="0" w:color="auto"/>
            <w:bottom w:val="none" w:sz="0" w:space="0" w:color="auto"/>
            <w:right w:val="none" w:sz="0" w:space="0" w:color="auto"/>
          </w:divBdr>
          <w:divsChild>
            <w:div w:id="1773236299">
              <w:marLeft w:val="0"/>
              <w:marRight w:val="0"/>
              <w:marTop w:val="0"/>
              <w:marBottom w:val="0"/>
              <w:divBdr>
                <w:top w:val="none" w:sz="0" w:space="0" w:color="auto"/>
                <w:left w:val="none" w:sz="0" w:space="0" w:color="auto"/>
                <w:bottom w:val="none" w:sz="0" w:space="0" w:color="auto"/>
                <w:right w:val="none" w:sz="0" w:space="0" w:color="auto"/>
              </w:divBdr>
              <w:divsChild>
                <w:div w:id="177695334">
                  <w:marLeft w:val="0"/>
                  <w:marRight w:val="0"/>
                  <w:marTop w:val="0"/>
                  <w:marBottom w:val="0"/>
                  <w:divBdr>
                    <w:top w:val="none" w:sz="0" w:space="0" w:color="auto"/>
                    <w:left w:val="none" w:sz="0" w:space="0" w:color="auto"/>
                    <w:bottom w:val="none" w:sz="0" w:space="0" w:color="auto"/>
                    <w:right w:val="none" w:sz="0" w:space="0" w:color="auto"/>
                  </w:divBdr>
                  <w:divsChild>
                    <w:div w:id="455876884">
                      <w:marLeft w:val="0"/>
                      <w:marRight w:val="0"/>
                      <w:marTop w:val="0"/>
                      <w:marBottom w:val="0"/>
                      <w:divBdr>
                        <w:top w:val="none" w:sz="0" w:space="0" w:color="auto"/>
                        <w:left w:val="none" w:sz="0" w:space="0" w:color="auto"/>
                        <w:bottom w:val="none" w:sz="0" w:space="0" w:color="auto"/>
                        <w:right w:val="none" w:sz="0" w:space="0" w:color="auto"/>
                      </w:divBdr>
                      <w:divsChild>
                        <w:div w:id="800197603">
                          <w:marLeft w:val="0"/>
                          <w:marRight w:val="0"/>
                          <w:marTop w:val="0"/>
                          <w:marBottom w:val="0"/>
                          <w:divBdr>
                            <w:top w:val="none" w:sz="0" w:space="0" w:color="auto"/>
                            <w:left w:val="none" w:sz="0" w:space="0" w:color="auto"/>
                            <w:bottom w:val="none" w:sz="0" w:space="0" w:color="auto"/>
                            <w:right w:val="none" w:sz="0" w:space="0" w:color="auto"/>
                          </w:divBdr>
                          <w:divsChild>
                            <w:div w:id="48504825">
                              <w:marLeft w:val="0"/>
                              <w:marRight w:val="0"/>
                              <w:marTop w:val="0"/>
                              <w:marBottom w:val="0"/>
                              <w:divBdr>
                                <w:top w:val="none" w:sz="0" w:space="0" w:color="auto"/>
                                <w:left w:val="none" w:sz="0" w:space="0" w:color="auto"/>
                                <w:bottom w:val="none" w:sz="0" w:space="0" w:color="auto"/>
                                <w:right w:val="none" w:sz="0" w:space="0" w:color="auto"/>
                              </w:divBdr>
                              <w:divsChild>
                                <w:div w:id="1392340679">
                                  <w:marLeft w:val="0"/>
                                  <w:marRight w:val="0"/>
                                  <w:marTop w:val="0"/>
                                  <w:marBottom w:val="0"/>
                                  <w:divBdr>
                                    <w:top w:val="none" w:sz="0" w:space="0" w:color="auto"/>
                                    <w:left w:val="none" w:sz="0" w:space="0" w:color="auto"/>
                                    <w:bottom w:val="none" w:sz="0" w:space="0" w:color="auto"/>
                                    <w:right w:val="none" w:sz="0" w:space="0" w:color="auto"/>
                                  </w:divBdr>
                                  <w:divsChild>
                                    <w:div w:id="692150918">
                                      <w:marLeft w:val="0"/>
                                      <w:marRight w:val="0"/>
                                      <w:marTop w:val="0"/>
                                      <w:marBottom w:val="0"/>
                                      <w:divBdr>
                                        <w:top w:val="none" w:sz="0" w:space="0" w:color="auto"/>
                                        <w:left w:val="none" w:sz="0" w:space="0" w:color="auto"/>
                                        <w:bottom w:val="none" w:sz="0" w:space="0" w:color="auto"/>
                                        <w:right w:val="none" w:sz="0" w:space="0" w:color="auto"/>
                                      </w:divBdr>
                                      <w:divsChild>
                                        <w:div w:id="863443027">
                                          <w:marLeft w:val="0"/>
                                          <w:marRight w:val="0"/>
                                          <w:marTop w:val="0"/>
                                          <w:marBottom w:val="0"/>
                                          <w:divBdr>
                                            <w:top w:val="none" w:sz="0" w:space="0" w:color="auto"/>
                                            <w:left w:val="none" w:sz="0" w:space="0" w:color="auto"/>
                                            <w:bottom w:val="none" w:sz="0" w:space="0" w:color="auto"/>
                                            <w:right w:val="none" w:sz="0" w:space="0" w:color="auto"/>
                                          </w:divBdr>
                                          <w:divsChild>
                                            <w:div w:id="281696267">
                                              <w:marLeft w:val="0"/>
                                              <w:marRight w:val="0"/>
                                              <w:marTop w:val="0"/>
                                              <w:marBottom w:val="0"/>
                                              <w:divBdr>
                                                <w:top w:val="none" w:sz="0" w:space="0" w:color="auto"/>
                                                <w:left w:val="none" w:sz="0" w:space="0" w:color="auto"/>
                                                <w:bottom w:val="none" w:sz="0" w:space="0" w:color="auto"/>
                                                <w:right w:val="none" w:sz="0" w:space="0" w:color="auto"/>
                                              </w:divBdr>
                                              <w:divsChild>
                                                <w:div w:id="1721434696">
                                                  <w:marLeft w:val="0"/>
                                                  <w:marRight w:val="0"/>
                                                  <w:marTop w:val="0"/>
                                                  <w:marBottom w:val="0"/>
                                                  <w:divBdr>
                                                    <w:top w:val="none" w:sz="0" w:space="0" w:color="auto"/>
                                                    <w:left w:val="none" w:sz="0" w:space="0" w:color="auto"/>
                                                    <w:bottom w:val="none" w:sz="0" w:space="0" w:color="auto"/>
                                                    <w:right w:val="none" w:sz="0" w:space="0" w:color="auto"/>
                                                  </w:divBdr>
                                                  <w:divsChild>
                                                    <w:div w:id="1551989004">
                                                      <w:marLeft w:val="0"/>
                                                      <w:marRight w:val="0"/>
                                                      <w:marTop w:val="0"/>
                                                      <w:marBottom w:val="0"/>
                                                      <w:divBdr>
                                                        <w:top w:val="none" w:sz="0" w:space="0" w:color="auto"/>
                                                        <w:left w:val="none" w:sz="0" w:space="0" w:color="auto"/>
                                                        <w:bottom w:val="none" w:sz="0" w:space="0" w:color="auto"/>
                                                        <w:right w:val="none" w:sz="0" w:space="0" w:color="auto"/>
                                                      </w:divBdr>
                                                      <w:divsChild>
                                                        <w:div w:id="2019114931">
                                                          <w:marLeft w:val="0"/>
                                                          <w:marRight w:val="0"/>
                                                          <w:marTop w:val="0"/>
                                                          <w:marBottom w:val="0"/>
                                                          <w:divBdr>
                                                            <w:top w:val="none" w:sz="0" w:space="0" w:color="auto"/>
                                                            <w:left w:val="none" w:sz="0" w:space="0" w:color="auto"/>
                                                            <w:bottom w:val="none" w:sz="0" w:space="0" w:color="auto"/>
                                                            <w:right w:val="none" w:sz="0" w:space="0" w:color="auto"/>
                                                          </w:divBdr>
                                                          <w:divsChild>
                                                            <w:div w:id="1968313098">
                                                              <w:marLeft w:val="0"/>
                                                              <w:marRight w:val="0"/>
                                                              <w:marTop w:val="0"/>
                                                              <w:marBottom w:val="0"/>
                                                              <w:divBdr>
                                                                <w:top w:val="none" w:sz="0" w:space="0" w:color="auto"/>
                                                                <w:left w:val="none" w:sz="0" w:space="0" w:color="auto"/>
                                                                <w:bottom w:val="none" w:sz="0" w:space="0" w:color="auto"/>
                                                                <w:right w:val="none" w:sz="0" w:space="0" w:color="auto"/>
                                                              </w:divBdr>
                                                            </w:div>
                                                          </w:divsChild>
                                                        </w:div>
                                                        <w:div w:id="2133480373">
                                                          <w:marLeft w:val="0"/>
                                                          <w:marRight w:val="0"/>
                                                          <w:marTop w:val="0"/>
                                                          <w:marBottom w:val="0"/>
                                                          <w:divBdr>
                                                            <w:top w:val="none" w:sz="0" w:space="0" w:color="auto"/>
                                                            <w:left w:val="none" w:sz="0" w:space="0" w:color="auto"/>
                                                            <w:bottom w:val="none" w:sz="0" w:space="0" w:color="auto"/>
                                                            <w:right w:val="none" w:sz="0" w:space="0" w:color="auto"/>
                                                          </w:divBdr>
                                                          <w:divsChild>
                                                            <w:div w:id="205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0359901">
      <w:bodyDiv w:val="1"/>
      <w:marLeft w:val="0"/>
      <w:marRight w:val="0"/>
      <w:marTop w:val="0"/>
      <w:marBottom w:val="0"/>
      <w:divBdr>
        <w:top w:val="none" w:sz="0" w:space="0" w:color="auto"/>
        <w:left w:val="none" w:sz="0" w:space="0" w:color="auto"/>
        <w:bottom w:val="none" w:sz="0" w:space="0" w:color="auto"/>
        <w:right w:val="none" w:sz="0" w:space="0" w:color="auto"/>
      </w:divBdr>
    </w:div>
    <w:div w:id="213493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ctad.org/system/files/official-document/diaemisc2023d6app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911D3F31-5870-4F26-82AC-F8029069FC20}"/>
</file>

<file path=customXml/itemProps2.xml><?xml version="1.0" encoding="utf-8"?>
<ds:datastoreItem xmlns:ds="http://schemas.openxmlformats.org/officeDocument/2006/customXml" ds:itemID="{AEA4A574-59A3-4104-8298-59CF86CA9910}">
  <ds:schemaRefs>
    <ds:schemaRef ds:uri="http://schemas.openxmlformats.org/officeDocument/2006/bibliography"/>
  </ds:schemaRefs>
</ds:datastoreItem>
</file>

<file path=customXml/itemProps3.xml><?xml version="1.0" encoding="utf-8"?>
<ds:datastoreItem xmlns:ds="http://schemas.openxmlformats.org/officeDocument/2006/customXml" ds:itemID="{7E023F82-1C1C-4834-88DF-1FC8701A45C5}">
  <ds:schemaRefs>
    <ds:schemaRef ds:uri="http://schemas.microsoft.com/sharepoint/v3/contenttype/forms"/>
  </ds:schemaRefs>
</ds:datastoreItem>
</file>

<file path=customXml/itemProps4.xml><?xml version="1.0" encoding="utf-8"?>
<ds:datastoreItem xmlns:ds="http://schemas.openxmlformats.org/officeDocument/2006/customXml" ds:itemID="{62B4C972-6851-4842-AA03-C98EBDCEACE9}">
  <ds:schemaRefs>
    <ds:schemaRef ds:uri="http://schemas.microsoft.com/office/2006/metadata/properties"/>
    <ds:schemaRef ds:uri="http://schemas.microsoft.com/office/infopath/2007/PartnerControls"/>
    <ds:schemaRef ds:uri="985ec44e-1bab-4c0b-9df0-6ba128686fc9"/>
    <ds:schemaRef ds:uri="1b66131c-dde2-47eb-aab6-bf4e8932aef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1706</Words>
  <Characters>9728</Characters>
  <Application>Microsoft Office Word</Application>
  <DocSecurity>0</DocSecurity>
  <Lines>81</Lines>
  <Paragraphs>22</Paragraphs>
  <ScaleCrop>false</ScaleCrop>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Lang</dc:creator>
  <cp:keywords/>
  <dc:description/>
  <cp:lastModifiedBy>Juan Jose Martinez Badillo</cp:lastModifiedBy>
  <cp:revision>5</cp:revision>
  <dcterms:created xsi:type="dcterms:W3CDTF">2024-10-08T10:18:00Z</dcterms:created>
  <dcterms:modified xsi:type="dcterms:W3CDTF">2024-10-16T00:09:00Z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0x01010098E67939E49F43488880277401A25400</vt:lpwstr>
  </property>
</Properties>
</file>