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8897" w14:textId="6FCE6765" w:rsidR="00AA3E47" w:rsidRPr="00AA3E47" w:rsidRDefault="006C7C98" w:rsidP="00B2546F">
      <w:pPr>
        <w:pStyle w:val="Title"/>
        <w:rPr>
          <w:rFonts w:hint="eastAsia"/>
        </w:rPr>
      </w:pPr>
      <w:r>
        <w:t>UNDP inputs to the FfD4 elements paper</w:t>
      </w:r>
    </w:p>
    <w:p w14:paraId="38D2B482" w14:textId="4CFF6C01" w:rsidR="00E62925" w:rsidRDefault="00E62925" w:rsidP="006C7C98">
      <w:pPr>
        <w:pStyle w:val="Heading1"/>
        <w:rPr>
          <w:rFonts w:hint="eastAsia"/>
        </w:rPr>
      </w:pPr>
      <w:bookmarkStart w:id="0" w:name="_Toc179920220"/>
      <w:r>
        <w:t>Introduction</w:t>
      </w:r>
      <w:bookmarkEnd w:id="0"/>
    </w:p>
    <w:p w14:paraId="4682B767" w14:textId="0E76C973" w:rsidR="00172F0A" w:rsidRPr="003C5E56" w:rsidRDefault="007742B6" w:rsidP="003C5E56">
      <w:r w:rsidRPr="003C5E56">
        <w:t xml:space="preserve">This document sets out </w:t>
      </w:r>
      <w:r w:rsidR="00C9069B" w:rsidRPr="003C5E56">
        <w:t xml:space="preserve">UNDP’s inputs to the elements paper, in response to the call from the co-facilitators of the outcome </w:t>
      </w:r>
      <w:r w:rsidR="007B4754" w:rsidRPr="003C5E56">
        <w:t>document</w:t>
      </w:r>
      <w:r w:rsidR="00C9069B" w:rsidRPr="003C5E56">
        <w:t>.</w:t>
      </w:r>
      <w:r w:rsidR="004C1745" w:rsidRPr="003C5E56">
        <w:t xml:space="preserve"> </w:t>
      </w:r>
      <w:r w:rsidR="00A14B8D">
        <w:t xml:space="preserve">The </w:t>
      </w:r>
      <w:r w:rsidR="00172B3D">
        <w:t xml:space="preserve">paper </w:t>
      </w:r>
      <w:r w:rsidR="00172F0A" w:rsidRPr="003C5E56">
        <w:t xml:space="preserve">sets out proposals for key elements that can be introduced in the FfD4 outcome document </w:t>
      </w:r>
      <w:r w:rsidR="003C5E56" w:rsidRPr="003C5E56">
        <w:t>to strengthen and accelerate financing for the SDGs, Paris Agreement</w:t>
      </w:r>
      <w:r w:rsidR="006A309F">
        <w:t xml:space="preserve">, </w:t>
      </w:r>
      <w:r w:rsidR="003C5E56" w:rsidRPr="003C5E56">
        <w:rPr>
          <w:rStyle w:val="Emphasis"/>
          <w:i w:val="0"/>
          <w:iCs w:val="0"/>
        </w:rPr>
        <w:t>Convention on Biological Diversity</w:t>
      </w:r>
      <w:r w:rsidR="006A309F">
        <w:rPr>
          <w:rStyle w:val="Emphasis"/>
          <w:i w:val="0"/>
          <w:iCs w:val="0"/>
        </w:rPr>
        <w:t xml:space="preserve"> and </w:t>
      </w:r>
      <w:r w:rsidR="006A309F" w:rsidRPr="006A309F">
        <w:rPr>
          <w:rStyle w:val="Emphasis"/>
          <w:i w:val="0"/>
          <w:iCs w:val="0"/>
        </w:rPr>
        <w:t>Convention to Combat Desertification</w:t>
      </w:r>
      <w:r w:rsidR="006A309F">
        <w:rPr>
          <w:rStyle w:val="Emphasis"/>
          <w:i w:val="0"/>
          <w:iCs w:val="0"/>
        </w:rPr>
        <w:t>.</w:t>
      </w:r>
    </w:p>
    <w:p w14:paraId="4CCA5DD5" w14:textId="4F53E130" w:rsidR="00714E07" w:rsidRDefault="004C1745" w:rsidP="007651C6">
      <w:r>
        <w:t xml:space="preserve">The document follows the structure </w:t>
      </w:r>
      <w:r w:rsidR="00212E83">
        <w:t>requested by the co-facilitators</w:t>
      </w:r>
      <w:r w:rsidR="002C4505">
        <w:t xml:space="preserve">. It </w:t>
      </w:r>
      <w:r w:rsidR="00212E83">
        <w:t>begin</w:t>
      </w:r>
      <w:r w:rsidR="002C4505">
        <w:t>s</w:t>
      </w:r>
      <w:r w:rsidR="00212E83">
        <w:t xml:space="preserve"> with overarching reflections </w:t>
      </w:r>
      <w:r w:rsidR="002C4505">
        <w:t>on the Addis Ababa Action Agenda</w:t>
      </w:r>
      <w:r w:rsidR="003C1143">
        <w:t xml:space="preserve"> (AAAA)</w:t>
      </w:r>
      <w:r w:rsidR="00125A4C">
        <w:t xml:space="preserve"> </w:t>
      </w:r>
      <w:r w:rsidR="00EE3079">
        <w:t xml:space="preserve">then sets out </w:t>
      </w:r>
      <w:r w:rsidR="00A50AAA">
        <w:t xml:space="preserve">proposed </w:t>
      </w:r>
      <w:r w:rsidR="007651C6">
        <w:t xml:space="preserve">elements </w:t>
      </w:r>
      <w:r w:rsidR="00A50AAA">
        <w:t xml:space="preserve">related </w:t>
      </w:r>
      <w:r w:rsidR="00212E83">
        <w:t xml:space="preserve">to </w:t>
      </w:r>
      <w:r w:rsidR="003C1143">
        <w:t xml:space="preserve">the sections of the AAAA: </w:t>
      </w:r>
      <w:r w:rsidR="003C1143" w:rsidRPr="00766718">
        <w:rPr>
          <w:i/>
          <w:iCs/>
        </w:rPr>
        <w:t xml:space="preserve">I. </w:t>
      </w:r>
      <w:r w:rsidR="00766718" w:rsidRPr="00766718">
        <w:rPr>
          <w:i/>
          <w:iCs/>
        </w:rPr>
        <w:t xml:space="preserve">Global Financing Framework and Cross-Cutting Issues; II. </w:t>
      </w:r>
      <w:r w:rsidR="007651C6" w:rsidRPr="00766718">
        <w:rPr>
          <w:i/>
          <w:iCs/>
        </w:rPr>
        <w:t>Action Areas</w:t>
      </w:r>
      <w:r w:rsidR="00766718" w:rsidRPr="00766718">
        <w:rPr>
          <w:i/>
          <w:iCs/>
        </w:rPr>
        <w:t xml:space="preserve"> (A-G)</w:t>
      </w:r>
      <w:r w:rsidR="007651C6" w:rsidRPr="00766718">
        <w:rPr>
          <w:i/>
          <w:iCs/>
        </w:rPr>
        <w:t xml:space="preserve"> </w:t>
      </w:r>
      <w:r w:rsidR="00766718" w:rsidRPr="00766718">
        <w:rPr>
          <w:i/>
          <w:iCs/>
        </w:rPr>
        <w:t>III. Data Monitoring and Follow-up</w:t>
      </w:r>
      <w:r w:rsidR="00212E83">
        <w:t xml:space="preserve">. </w:t>
      </w:r>
      <w:r w:rsidR="00E177F3">
        <w:t>The elements</w:t>
      </w:r>
      <w:r w:rsidR="0058050C" w:rsidRPr="000E6F0A">
        <w:t xml:space="preserve"> are </w:t>
      </w:r>
      <w:r w:rsidR="00C65D1C" w:rsidRPr="000E6F0A">
        <w:t xml:space="preserve">presented </w:t>
      </w:r>
      <w:r w:rsidR="0058050C" w:rsidRPr="000E6F0A">
        <w:t>as language proposals</w:t>
      </w:r>
      <w:r w:rsidR="00C65D1C" w:rsidRPr="000E6F0A">
        <w:t xml:space="preserve"> that </w:t>
      </w:r>
      <w:r w:rsidR="007651C6">
        <w:t>can</w:t>
      </w:r>
      <w:r w:rsidR="00C65D1C" w:rsidRPr="000E6F0A">
        <w:t xml:space="preserve"> inform the relevant paragraphs in the</w:t>
      </w:r>
      <w:r w:rsidR="00E177F3">
        <w:t xml:space="preserve"> FfD4 </w:t>
      </w:r>
      <w:r w:rsidR="00C65D1C" w:rsidRPr="000E6F0A">
        <w:t>outcome document.</w:t>
      </w:r>
      <w:r w:rsidR="00766718">
        <w:t xml:space="preserve"> </w:t>
      </w:r>
    </w:p>
    <w:p w14:paraId="6947C88E" w14:textId="5FF2C6A0" w:rsidR="00714E07" w:rsidRDefault="00371B2E" w:rsidP="007651C6">
      <w:r>
        <w:t>C</w:t>
      </w:r>
      <w:r w:rsidR="006C61C7">
        <w:t>lear, measurable indicators to track progress in delivering the FfD4 outcome</w:t>
      </w:r>
      <w:r>
        <w:t xml:space="preserve"> are vital</w:t>
      </w:r>
      <w:r w:rsidR="006C61C7">
        <w:t xml:space="preserve">. </w:t>
      </w:r>
      <w:r w:rsidR="00714E07">
        <w:t xml:space="preserve">The document includes </w:t>
      </w:r>
      <w:r w:rsidR="004E74A0">
        <w:t xml:space="preserve">indicative </w:t>
      </w:r>
      <w:r w:rsidR="008C0880">
        <w:t xml:space="preserve">draft targets </w:t>
      </w:r>
      <w:r w:rsidR="006C61C7">
        <w:t xml:space="preserve">intended to </w:t>
      </w:r>
      <w:r w:rsidR="00B130A2">
        <w:t xml:space="preserve">help initiate the conversation about </w:t>
      </w:r>
      <w:r w:rsidR="0038087C">
        <w:t xml:space="preserve">the nature </w:t>
      </w:r>
      <w:r w:rsidR="00F96073">
        <w:t>and focus of a</w:t>
      </w:r>
      <w:r w:rsidR="00395860">
        <w:t>n FfD4</w:t>
      </w:r>
      <w:r w:rsidR="00F96073">
        <w:t xml:space="preserve"> monitoring framework.</w:t>
      </w:r>
    </w:p>
    <w:p w14:paraId="3B158937" w14:textId="011FB796" w:rsidR="006C7C98" w:rsidRPr="00A803CA" w:rsidRDefault="006C7C98" w:rsidP="006C7C98">
      <w:pPr>
        <w:pStyle w:val="Heading1"/>
        <w:rPr>
          <w:rFonts w:hint="eastAsia"/>
        </w:rPr>
      </w:pPr>
      <w:bookmarkStart w:id="1" w:name="_Toc179920221"/>
      <w:r w:rsidRPr="00A803CA">
        <w:t>Overarching reflections</w:t>
      </w:r>
      <w:bookmarkEnd w:id="1"/>
    </w:p>
    <w:p w14:paraId="6688AF2D" w14:textId="3F3C1E07" w:rsidR="00A862DB" w:rsidRDefault="00A862DB" w:rsidP="00A862DB">
      <w:r>
        <w:t>The AAAA represented a significant milestone</w:t>
      </w:r>
      <w:r w:rsidR="00505645">
        <w:t>,</w:t>
      </w:r>
      <w:r>
        <w:t xml:space="preserve"> the first time the international community came together to commit to global development goals whilst considering the financial resources and framework required. </w:t>
      </w:r>
    </w:p>
    <w:p w14:paraId="24B53335" w14:textId="3C986676" w:rsidR="00A862DB" w:rsidRDefault="668ACA71" w:rsidP="00A862DB">
      <w:r>
        <w:t>The AAAA has driven many positive changes, from introducing integrated national financing frameworks now used by more than 85 countries</w:t>
      </w:r>
      <w:r w:rsidR="00343C88">
        <w:t>,</w:t>
      </w:r>
      <w:r>
        <w:t xml:space="preserve"> to catalysing reform on tax through the two-pillar solution, and the </w:t>
      </w:r>
      <w:r w:rsidR="1E5E9B97">
        <w:t>drafting</w:t>
      </w:r>
      <w:r w:rsidR="5E8FBA2F">
        <w:t xml:space="preserve"> of the Terms of reference for the </w:t>
      </w:r>
      <w:r>
        <w:t xml:space="preserve">UN framework convention on </w:t>
      </w:r>
      <w:r w:rsidR="649D1C94">
        <w:t xml:space="preserve">international </w:t>
      </w:r>
      <w:r>
        <w:t>tax</w:t>
      </w:r>
      <w:r w:rsidR="6604C29D">
        <w:t xml:space="preserve"> cooperation</w:t>
      </w:r>
      <w:r>
        <w:t xml:space="preserve">. Since AAAA there has been significant growth in green and SDG bonds, progress unlocking private capital for the SDGs and in de-risking, innovation in aligning private capital with the SDGs through taxonomies, financial disclosure and sustainability reporting, deepening partnerships between development and financial institutions. The UN Secretary-General’s SDG Stimulus </w:t>
      </w:r>
      <w:r w:rsidR="004F4A7C">
        <w:t xml:space="preserve">identified </w:t>
      </w:r>
      <w:r>
        <w:t xml:space="preserve">financial architecture </w:t>
      </w:r>
      <w:r w:rsidR="004F4A7C">
        <w:t xml:space="preserve">reform </w:t>
      </w:r>
      <w:r>
        <w:t>as a game-changer for the SDGs, and the Pact for the Future included important steps forward on financing for sustainable development.</w:t>
      </w:r>
    </w:p>
    <w:p w14:paraId="567A3445" w14:textId="2B4D3178" w:rsidR="00A862DB" w:rsidRDefault="668ACA71" w:rsidP="00A862DB">
      <w:r>
        <w:t xml:space="preserve">UNDP is at the heart of efforts to build a more sustainable, inclusive financial architecture, from technical leadership </w:t>
      </w:r>
      <w:r w:rsidR="007F002C">
        <w:t xml:space="preserve">supporting </w:t>
      </w:r>
      <w:r>
        <w:t>country-led INFFs for the SDGs and NDCs to the tax inspectors without borders initiative</w:t>
      </w:r>
      <w:r w:rsidR="00C33F76">
        <w:t>,</w:t>
      </w:r>
      <w:r>
        <w:t xml:space="preserve"> advancements in SDG </w:t>
      </w:r>
      <w:r w:rsidR="4FBA67B1">
        <w:t xml:space="preserve">taxation, </w:t>
      </w:r>
      <w:r>
        <w:lastRenderedPageBreak/>
        <w:t>budgeting, insurance, thematic bonds and SDG-aligned private investment</w:t>
      </w:r>
      <w:r w:rsidR="001D2B9B">
        <w:t>,</w:t>
      </w:r>
      <w:r w:rsidR="003809F0">
        <w:t xml:space="preserve"> analytical work on debt, IFA reform and </w:t>
      </w:r>
      <w:r w:rsidR="007F002C">
        <w:t>beyond</w:t>
      </w:r>
      <w:r>
        <w:t>.</w:t>
      </w:r>
    </w:p>
    <w:p w14:paraId="44B4153F" w14:textId="0E18DFB7" w:rsidR="00FF22BA" w:rsidRPr="00FF22BA" w:rsidRDefault="003B282F" w:rsidP="003725EA">
      <w:r>
        <w:t>Drawing</w:t>
      </w:r>
      <w:r w:rsidR="00A640A3">
        <w:t xml:space="preserve"> on this experience we see the </w:t>
      </w:r>
      <w:r w:rsidR="00C33F76">
        <w:t xml:space="preserve">imperative for the </w:t>
      </w:r>
      <w:r w:rsidR="00A640A3">
        <w:t xml:space="preserve">FfD4 Outcome </w:t>
      </w:r>
      <w:r w:rsidR="00C33F76">
        <w:t xml:space="preserve">to </w:t>
      </w:r>
      <w:r w:rsidR="001E1BEA">
        <w:t xml:space="preserve">build on the </w:t>
      </w:r>
      <w:r w:rsidR="00C042CD">
        <w:t>AAAA</w:t>
      </w:r>
      <w:r w:rsidR="001E1BEA">
        <w:t xml:space="preserve"> whilst </w:t>
      </w:r>
      <w:r w:rsidR="005A6EDC">
        <w:t xml:space="preserve">setting </w:t>
      </w:r>
      <w:r w:rsidR="00281795">
        <w:t xml:space="preserve">strategic targets that </w:t>
      </w:r>
      <w:r w:rsidR="00945934">
        <w:t>accelerate systemic reform.</w:t>
      </w:r>
      <w:r w:rsidR="00E313E8">
        <w:t xml:space="preserve"> </w:t>
      </w:r>
    </w:p>
    <w:p w14:paraId="78321196" w14:textId="027BC43F" w:rsidR="006C7C98" w:rsidRDefault="006C7C98" w:rsidP="003C1143">
      <w:pPr>
        <w:pStyle w:val="Heading1"/>
        <w:numPr>
          <w:ilvl w:val="0"/>
          <w:numId w:val="8"/>
        </w:numPr>
        <w:rPr>
          <w:rFonts w:hint="eastAsia"/>
        </w:rPr>
      </w:pPr>
      <w:bookmarkStart w:id="2" w:name="_Toc179920222"/>
      <w:r>
        <w:t>Global financing framework and cross-cutting issues</w:t>
      </w:r>
      <w:bookmarkEnd w:id="2"/>
    </w:p>
    <w:p w14:paraId="7C83A0CE" w14:textId="6B4B31DD" w:rsidR="00B165EE" w:rsidRDefault="00B165EE" w:rsidP="00B165EE">
      <w:pPr>
        <w:pStyle w:val="Heading3"/>
        <w:rPr>
          <w:rFonts w:hint="eastAsia"/>
        </w:rPr>
      </w:pPr>
      <w:bookmarkStart w:id="3" w:name="_Toc179920223"/>
      <w:r>
        <w:t>Element: Financing the Agenda 2030, UNFCCC, C</w:t>
      </w:r>
      <w:r w:rsidR="00766718">
        <w:t xml:space="preserve">onvention on </w:t>
      </w:r>
      <w:r>
        <w:t>B</w:t>
      </w:r>
      <w:r w:rsidR="00766718">
        <w:t xml:space="preserve">iological </w:t>
      </w:r>
      <w:r>
        <w:t>D</w:t>
      </w:r>
      <w:r w:rsidR="00766718">
        <w:t>iversity</w:t>
      </w:r>
      <w:r>
        <w:t xml:space="preserve"> and other international policy commitments</w:t>
      </w:r>
      <w:bookmarkEnd w:id="3"/>
    </w:p>
    <w:p w14:paraId="60BD07A7" w14:textId="40F76CCE" w:rsidR="00B165EE" w:rsidRDefault="004175BB" w:rsidP="00B165EE">
      <w:r>
        <w:t>Language:</w:t>
      </w:r>
    </w:p>
    <w:p w14:paraId="4EDB8595" w14:textId="6F15F2CD" w:rsidR="00B165EE" w:rsidRDefault="40CEE54B" w:rsidP="00B165EE">
      <w:pPr>
        <w:rPr>
          <w:rStyle w:val="Emphasis"/>
        </w:rPr>
      </w:pPr>
      <w:r w:rsidRPr="7D687476">
        <w:rPr>
          <w:rStyle w:val="Emphasis"/>
        </w:rPr>
        <w:t xml:space="preserve">We note the growing focus on financing </w:t>
      </w:r>
      <w:r w:rsidR="00026FE9">
        <w:rPr>
          <w:rStyle w:val="Emphasis"/>
        </w:rPr>
        <w:t xml:space="preserve">across </w:t>
      </w:r>
      <w:r w:rsidRPr="7D687476">
        <w:rPr>
          <w:rStyle w:val="Emphasis"/>
        </w:rPr>
        <w:t>international policy forums including the UNFCCC</w:t>
      </w:r>
      <w:r w:rsidR="006A309F">
        <w:rPr>
          <w:rStyle w:val="Emphasis"/>
        </w:rPr>
        <w:t xml:space="preserve">, </w:t>
      </w:r>
      <w:r w:rsidRPr="7D687476">
        <w:rPr>
          <w:rStyle w:val="Emphasis"/>
        </w:rPr>
        <w:t>Convention on Biological Diversity</w:t>
      </w:r>
      <w:r w:rsidR="006A309F">
        <w:rPr>
          <w:rStyle w:val="Emphasis"/>
        </w:rPr>
        <w:t xml:space="preserve"> and </w:t>
      </w:r>
      <w:r w:rsidR="006A309F" w:rsidRPr="006A309F">
        <w:rPr>
          <w:rStyle w:val="Emphasis"/>
        </w:rPr>
        <w:t>Convention to Combat Desertification</w:t>
      </w:r>
      <w:r w:rsidRPr="7D687476">
        <w:rPr>
          <w:rStyle w:val="Emphasis"/>
        </w:rPr>
        <w:t>, and underscore the need to make finance work for climate, nature, gender equality</w:t>
      </w:r>
      <w:r w:rsidR="5A9E23EA" w:rsidRPr="7D687476">
        <w:rPr>
          <w:rStyle w:val="Emphasis"/>
        </w:rPr>
        <w:t>, health</w:t>
      </w:r>
      <w:r w:rsidRPr="7D687476">
        <w:rPr>
          <w:rStyle w:val="Emphasis"/>
        </w:rPr>
        <w:t xml:space="preserve"> and other sustainable development priorities in an integrated manner. The commitments set out in the FfD4 outcome should directly contribute to making finance work for these agendas as well the SDGs</w:t>
      </w:r>
      <w:r w:rsidR="7E0BB3E8" w:rsidRPr="7D687476">
        <w:rPr>
          <w:rStyle w:val="Emphasis"/>
        </w:rPr>
        <w:t>,</w:t>
      </w:r>
      <w:r w:rsidRPr="7D687476">
        <w:rPr>
          <w:rStyle w:val="Emphasis"/>
        </w:rPr>
        <w:t xml:space="preserve"> </w:t>
      </w:r>
      <w:r w:rsidR="7E0BB3E8" w:rsidRPr="7D687476">
        <w:rPr>
          <w:rStyle w:val="Emphasis"/>
        </w:rPr>
        <w:t>w</w:t>
      </w:r>
      <w:r w:rsidRPr="7D687476">
        <w:rPr>
          <w:rStyle w:val="Emphasis"/>
        </w:rPr>
        <w:t xml:space="preserve">hile </w:t>
      </w:r>
      <w:r w:rsidR="63CD7466" w:rsidRPr="7D687476">
        <w:rPr>
          <w:rStyle w:val="Emphasis"/>
        </w:rPr>
        <w:t>safeguarding the additionality of climate finance</w:t>
      </w:r>
      <w:r w:rsidRPr="7D687476">
        <w:rPr>
          <w:rStyle w:val="Emphasis"/>
        </w:rPr>
        <w:t>.</w:t>
      </w:r>
      <w:r w:rsidR="5E7E9E4B" w:rsidRPr="7D687476">
        <w:rPr>
          <w:rStyle w:val="Emphasis"/>
        </w:rPr>
        <w:t xml:space="preserve"> </w:t>
      </w:r>
    </w:p>
    <w:p w14:paraId="44CED336" w14:textId="5A2A4009" w:rsidR="000C0989" w:rsidRDefault="000C0989" w:rsidP="000C0989">
      <w:pPr>
        <w:pStyle w:val="Heading3"/>
        <w:rPr>
          <w:rFonts w:hint="eastAsia"/>
        </w:rPr>
      </w:pPr>
      <w:bookmarkStart w:id="4" w:name="_Toc179920224"/>
      <w:r>
        <w:t xml:space="preserve">Element: </w:t>
      </w:r>
      <w:r w:rsidR="00F86182">
        <w:t>S</w:t>
      </w:r>
      <w:r w:rsidR="00766718">
        <w:t>ystematic</w:t>
      </w:r>
      <w:r>
        <w:t xml:space="preserve"> collaboration between development institutions and financial institutions</w:t>
      </w:r>
      <w:bookmarkEnd w:id="4"/>
    </w:p>
    <w:p w14:paraId="4D89A44B" w14:textId="381085C1" w:rsidR="000C0989" w:rsidRDefault="004175BB" w:rsidP="000C0989">
      <w:r>
        <w:t>Language:</w:t>
      </w:r>
    </w:p>
    <w:p w14:paraId="3470BDBE" w14:textId="0E8F2AA3" w:rsidR="000C0989" w:rsidRDefault="008E03A4" w:rsidP="000C0989">
      <w:r>
        <w:rPr>
          <w:rStyle w:val="Emphasis"/>
        </w:rPr>
        <w:t>F</w:t>
      </w:r>
      <w:r w:rsidR="000C0989" w:rsidRPr="00E32F4A">
        <w:rPr>
          <w:rStyle w:val="Emphasis"/>
        </w:rPr>
        <w:t xml:space="preserve">inancing for sustainable development sits at the nexus of the financial and development sectors. </w:t>
      </w:r>
      <w:r w:rsidR="00134CA9" w:rsidRPr="00134CA9">
        <w:rPr>
          <w:rStyle w:val="Emphasis"/>
        </w:rPr>
        <w:t>Only with these two areas of expertise, experience and instruments working together effectively can finance truly be made to work for sustainable development.</w:t>
      </w:r>
      <w:r w:rsidR="00134CA9">
        <w:rPr>
          <w:rStyle w:val="Emphasis"/>
        </w:rPr>
        <w:t xml:space="preserve"> </w:t>
      </w:r>
      <w:r w:rsidR="000C0989" w:rsidRPr="00E32F4A">
        <w:rPr>
          <w:rStyle w:val="Emphasis"/>
        </w:rPr>
        <w:t xml:space="preserve">It is crucial that the revitalised partnership </w:t>
      </w:r>
      <w:r w:rsidR="004D1639">
        <w:rPr>
          <w:rStyle w:val="Emphasis"/>
        </w:rPr>
        <w:t xml:space="preserve">both </w:t>
      </w:r>
      <w:r w:rsidR="000C0989" w:rsidRPr="00E32F4A">
        <w:rPr>
          <w:rStyle w:val="Emphasis"/>
        </w:rPr>
        <w:t xml:space="preserve">leverages enhanced contributions from all actors </w:t>
      </w:r>
      <w:r w:rsidR="004D1639">
        <w:rPr>
          <w:rStyle w:val="Emphasis"/>
        </w:rPr>
        <w:t xml:space="preserve">and </w:t>
      </w:r>
      <w:r w:rsidR="000C0989" w:rsidRPr="00E32F4A">
        <w:rPr>
          <w:rStyle w:val="Emphasis"/>
        </w:rPr>
        <w:t xml:space="preserve">deepens collaboration between development and financial institutions </w:t>
      </w:r>
      <w:r w:rsidR="00A955DE">
        <w:rPr>
          <w:rStyle w:val="Emphasis"/>
        </w:rPr>
        <w:t xml:space="preserve">across </w:t>
      </w:r>
      <w:r w:rsidR="000C0989" w:rsidRPr="00E32F4A">
        <w:rPr>
          <w:rStyle w:val="Emphasis"/>
        </w:rPr>
        <w:t>policy, programming and transactions</w:t>
      </w:r>
      <w:r w:rsidR="000C0989">
        <w:rPr>
          <w:rStyle w:val="Emphasis"/>
        </w:rPr>
        <w:t>, including between the UN system and international financial institutions</w:t>
      </w:r>
      <w:r w:rsidR="000C0989" w:rsidRPr="00E32F4A">
        <w:rPr>
          <w:rStyle w:val="Emphasis"/>
        </w:rPr>
        <w:t>.</w:t>
      </w:r>
    </w:p>
    <w:p w14:paraId="60FEDDA4" w14:textId="3B7D1DBE" w:rsidR="007B08E4" w:rsidRDefault="006C5641" w:rsidP="00430DF3">
      <w:pPr>
        <w:pStyle w:val="Heading3"/>
        <w:rPr>
          <w:rFonts w:hint="eastAsia"/>
        </w:rPr>
      </w:pPr>
      <w:bookmarkStart w:id="5" w:name="_Toc179920225"/>
      <w:r>
        <w:t>Element</w:t>
      </w:r>
      <w:r w:rsidR="00430DF3">
        <w:t xml:space="preserve">: </w:t>
      </w:r>
      <w:r w:rsidR="00925D09">
        <w:t>C</w:t>
      </w:r>
      <w:r w:rsidR="00430DF3">
        <w:t>ountry-led integrated national financing frameworks</w:t>
      </w:r>
      <w:bookmarkEnd w:id="5"/>
    </w:p>
    <w:p w14:paraId="146D2660" w14:textId="3C9D026E" w:rsidR="000658CD" w:rsidRDefault="004175BB" w:rsidP="000658CD">
      <w:r>
        <w:t>Language:</w:t>
      </w:r>
    </w:p>
    <w:p w14:paraId="04A73C6E" w14:textId="6EC88940" w:rsidR="00610F83" w:rsidRPr="00892A83" w:rsidRDefault="00567F90" w:rsidP="000658CD">
      <w:pPr>
        <w:rPr>
          <w:rStyle w:val="Emphasis"/>
        </w:rPr>
      </w:pPr>
      <w:r w:rsidRPr="00567F90">
        <w:rPr>
          <w:rStyle w:val="Emphasis"/>
        </w:rPr>
        <w:t xml:space="preserve">We recognise integrated national financing frameworks (INFFs) as the primary financial planning tool at the centre of country-level efforts to deliver the FfD4 agenda, guiding public, private, domestic and international financing policy for sustainable development. We note the success that many countries have realised in mobilising and aligning financing for sustainable development </w:t>
      </w:r>
      <w:r w:rsidRPr="00892A83">
        <w:rPr>
          <w:rStyle w:val="Emphasis"/>
        </w:rPr>
        <w:t xml:space="preserve">since </w:t>
      </w:r>
      <w:r w:rsidR="009F1F54">
        <w:rPr>
          <w:rStyle w:val="Emphasis"/>
        </w:rPr>
        <w:t xml:space="preserve">INFFs </w:t>
      </w:r>
      <w:r w:rsidRPr="00892A83">
        <w:rPr>
          <w:rStyle w:val="Emphasis"/>
        </w:rPr>
        <w:t>were introduced in the A</w:t>
      </w:r>
      <w:r w:rsidR="00720F4C">
        <w:rPr>
          <w:rStyle w:val="Emphasis"/>
        </w:rPr>
        <w:t xml:space="preserve">AAA </w:t>
      </w:r>
      <w:r w:rsidR="009F1F54">
        <w:rPr>
          <w:rStyle w:val="Emphasis"/>
        </w:rPr>
        <w:lastRenderedPageBreak/>
        <w:t xml:space="preserve">and that </w:t>
      </w:r>
      <w:r w:rsidR="00B438EE" w:rsidRPr="00892A83">
        <w:rPr>
          <w:rStyle w:val="Emphasis"/>
        </w:rPr>
        <w:t>strengthening the national financial architecture can catalyse accelerated international financial architecture</w:t>
      </w:r>
      <w:r w:rsidR="00341536">
        <w:rPr>
          <w:rStyle w:val="Emphasis"/>
        </w:rPr>
        <w:t xml:space="preserve"> reform</w:t>
      </w:r>
      <w:r w:rsidR="00B438EE" w:rsidRPr="00892A83">
        <w:rPr>
          <w:rStyle w:val="Emphasis"/>
        </w:rPr>
        <w:t>.</w:t>
      </w:r>
    </w:p>
    <w:p w14:paraId="76923CC3" w14:textId="40B889A7" w:rsidR="000658CD" w:rsidRDefault="00567F90" w:rsidP="000658CD">
      <w:pPr>
        <w:rPr>
          <w:rStyle w:val="Emphasis"/>
        </w:rPr>
      </w:pPr>
      <w:r w:rsidRPr="5ABB6474">
        <w:rPr>
          <w:rStyle w:val="Emphasis"/>
        </w:rPr>
        <w:t xml:space="preserve">We encourage continued uptake and usage of INFFs, as the </w:t>
      </w:r>
      <w:r w:rsidR="4D9D0665" w:rsidRPr="5ABB6474">
        <w:rPr>
          <w:rStyle w:val="Emphasis"/>
        </w:rPr>
        <w:t>primary</w:t>
      </w:r>
      <w:r w:rsidRPr="5ABB6474">
        <w:rPr>
          <w:rStyle w:val="Emphasis"/>
        </w:rPr>
        <w:t xml:space="preserve"> financing strategy for national development plans (NDPs), nationally determined contributions to the Paris Agreement (NDCs), national biodiversity strategies and action plans (NBSAPS)</w:t>
      </w:r>
      <w:r w:rsidR="09F9F296" w:rsidRPr="5ABB6474">
        <w:rPr>
          <w:rStyle w:val="Emphasis"/>
        </w:rPr>
        <w:t xml:space="preserve">, </w:t>
      </w:r>
      <w:r w:rsidRPr="5ABB6474">
        <w:rPr>
          <w:rStyle w:val="Emphasis"/>
        </w:rPr>
        <w:t xml:space="preserve">and </w:t>
      </w:r>
      <w:r w:rsidR="00237DF1">
        <w:rPr>
          <w:rStyle w:val="Emphasis"/>
        </w:rPr>
        <w:t>G</w:t>
      </w:r>
      <w:r w:rsidRPr="5ABB6474">
        <w:rPr>
          <w:rStyle w:val="Emphasis"/>
        </w:rPr>
        <w:t xml:space="preserve">ender </w:t>
      </w:r>
      <w:r w:rsidR="00237DF1">
        <w:rPr>
          <w:rStyle w:val="Emphasis"/>
        </w:rPr>
        <w:t>E</w:t>
      </w:r>
      <w:r w:rsidRPr="5ABB6474">
        <w:rPr>
          <w:rStyle w:val="Emphasis"/>
        </w:rPr>
        <w:t>quality,</w:t>
      </w:r>
      <w:r w:rsidR="00144F6F" w:rsidRPr="5ABB6474">
        <w:rPr>
          <w:rStyle w:val="Emphasis"/>
        </w:rPr>
        <w:t xml:space="preserve"> and a platform for partnership between development institutions and financial institutions across the public, private and civil society sectors. We </w:t>
      </w:r>
      <w:r w:rsidR="007A616A" w:rsidRPr="5ABB6474">
        <w:rPr>
          <w:rStyle w:val="Emphasis"/>
        </w:rPr>
        <w:t xml:space="preserve">encourage continued </w:t>
      </w:r>
      <w:r w:rsidR="00CD7790">
        <w:rPr>
          <w:rStyle w:val="Emphasis"/>
        </w:rPr>
        <w:t xml:space="preserve">uptake, including </w:t>
      </w:r>
      <w:r w:rsidRPr="5ABB6474">
        <w:rPr>
          <w:rStyle w:val="Emphasis"/>
        </w:rPr>
        <w:t xml:space="preserve">at the local level through integrated local financing frameworks (ILFFs). We take note of ongoing efforts to support countries including those of UNDP, UNDESA, UNICEF and the OECD through the INFF </w:t>
      </w:r>
      <w:r w:rsidR="00474499" w:rsidRPr="5ABB6474">
        <w:rPr>
          <w:rStyle w:val="Emphasis"/>
        </w:rPr>
        <w:t>Facility</w:t>
      </w:r>
      <w:r w:rsidRPr="5ABB6474">
        <w:rPr>
          <w:rStyle w:val="Emphasis"/>
        </w:rPr>
        <w:t>.</w:t>
      </w:r>
    </w:p>
    <w:p w14:paraId="55A9725D" w14:textId="326EF40B" w:rsidR="005B49A7" w:rsidRDefault="003725EA" w:rsidP="0043055D">
      <w:pPr>
        <w:rPr>
          <w:rStyle w:val="Emphasis"/>
          <w:i w:val="0"/>
          <w:iCs w:val="0"/>
        </w:rPr>
      </w:pPr>
      <w:r>
        <w:rPr>
          <w:rStyle w:val="Emphasis"/>
        </w:rPr>
        <w:t>Country</w:t>
      </w:r>
      <w:r w:rsidR="005B49A7" w:rsidRPr="005B49A7">
        <w:rPr>
          <w:rStyle w:val="Emphasis"/>
        </w:rPr>
        <w:t xml:space="preserve">-led </w:t>
      </w:r>
      <w:r w:rsidR="00452A9D">
        <w:rPr>
          <w:rStyle w:val="Emphasis"/>
        </w:rPr>
        <w:t xml:space="preserve">INFFs </w:t>
      </w:r>
      <w:r w:rsidR="005B49A7" w:rsidRPr="005B49A7">
        <w:rPr>
          <w:rStyle w:val="Emphasis"/>
        </w:rPr>
        <w:t xml:space="preserve">can </w:t>
      </w:r>
      <w:r w:rsidR="00E011E4">
        <w:rPr>
          <w:rStyle w:val="Emphasis"/>
        </w:rPr>
        <w:t>strengthen</w:t>
      </w:r>
      <w:r w:rsidR="005B49A7" w:rsidRPr="005B49A7">
        <w:rPr>
          <w:rStyle w:val="Emphasis"/>
        </w:rPr>
        <w:t xml:space="preserve"> fiscal policy coherence, ensuring revenue and expenditure is gender- and SDG- positive, </w:t>
      </w:r>
      <w:r w:rsidR="00452A9D">
        <w:rPr>
          <w:rStyle w:val="Emphasis"/>
        </w:rPr>
        <w:t xml:space="preserve">while </w:t>
      </w:r>
      <w:r w:rsidR="00B049C0">
        <w:rPr>
          <w:rStyle w:val="Emphasis"/>
        </w:rPr>
        <w:t>strengthening capacity and policy for</w:t>
      </w:r>
      <w:r w:rsidR="005B49A7" w:rsidRPr="005B49A7">
        <w:rPr>
          <w:rStyle w:val="Emphasis"/>
        </w:rPr>
        <w:t xml:space="preserve"> increased revenue mobilisation. </w:t>
      </w:r>
      <w:r w:rsidR="00B049C0">
        <w:rPr>
          <w:rStyle w:val="Emphasis"/>
        </w:rPr>
        <w:t>They</w:t>
      </w:r>
      <w:r w:rsidR="005B49A7" w:rsidRPr="005B49A7">
        <w:rPr>
          <w:rStyle w:val="Emphasis"/>
        </w:rPr>
        <w:t xml:space="preserve"> can catalyse de-risking of SDG-aligned private investment through policy and instruments and build collaboration between development partners and IFIs, including through MDB country platforms, as well as the private sector, financial institutions, development organisations, civil society and others. </w:t>
      </w:r>
    </w:p>
    <w:p w14:paraId="2D8DBF4F" w14:textId="65950FFA" w:rsidR="00236A19" w:rsidRDefault="00236A19" w:rsidP="00236A19">
      <w:pPr>
        <w:rPr>
          <w:rStyle w:val="Emphasis"/>
        </w:rPr>
      </w:pPr>
      <w:r w:rsidRPr="00666A5B">
        <w:rPr>
          <w:rStyle w:val="Emphasis"/>
        </w:rPr>
        <w:t xml:space="preserve">We </w:t>
      </w:r>
      <w:r w:rsidR="00237DF1">
        <w:rPr>
          <w:rStyle w:val="Emphasis"/>
        </w:rPr>
        <w:t xml:space="preserve">welcome </w:t>
      </w:r>
      <w:r w:rsidRPr="00666A5B">
        <w:rPr>
          <w:rStyle w:val="Emphasis"/>
        </w:rPr>
        <w:t xml:space="preserve">international initiatives to scale financing </w:t>
      </w:r>
      <w:r w:rsidR="00237DF1">
        <w:rPr>
          <w:rStyle w:val="Emphasis"/>
        </w:rPr>
        <w:t xml:space="preserve">- such as MDB supported country platforms to mobilise capital for financing climate action – aligned with </w:t>
      </w:r>
      <w:r w:rsidRPr="00666A5B">
        <w:rPr>
          <w:rStyle w:val="Emphasis"/>
        </w:rPr>
        <w:t>national development priorities and operat</w:t>
      </w:r>
      <w:r w:rsidR="00237DF1">
        <w:rPr>
          <w:rStyle w:val="Emphasis"/>
        </w:rPr>
        <w:t>ing</w:t>
      </w:r>
      <w:r w:rsidRPr="00666A5B">
        <w:rPr>
          <w:rStyle w:val="Emphasis"/>
        </w:rPr>
        <w:t xml:space="preserve"> within existing</w:t>
      </w:r>
      <w:r>
        <w:rPr>
          <w:rStyle w:val="Emphasis"/>
        </w:rPr>
        <w:t xml:space="preserve"> sovereign-led</w:t>
      </w:r>
      <w:r w:rsidRPr="00666A5B">
        <w:rPr>
          <w:rStyle w:val="Emphasis"/>
        </w:rPr>
        <w:t xml:space="preserve"> </w:t>
      </w:r>
      <w:r w:rsidR="00530440">
        <w:rPr>
          <w:rStyle w:val="Emphasis"/>
        </w:rPr>
        <w:t>INFFs</w:t>
      </w:r>
      <w:r w:rsidRPr="00666A5B">
        <w:rPr>
          <w:rStyle w:val="Emphasis"/>
        </w:rPr>
        <w:t>.</w:t>
      </w:r>
      <w:r>
        <w:rPr>
          <w:rStyle w:val="Emphasis"/>
        </w:rPr>
        <w:t xml:space="preserve"> </w:t>
      </w:r>
      <w:r w:rsidR="004026B2">
        <w:rPr>
          <w:rStyle w:val="Emphasis"/>
        </w:rPr>
        <w:t>W</w:t>
      </w:r>
      <w:r>
        <w:rPr>
          <w:rStyle w:val="Emphasis"/>
        </w:rPr>
        <w:t>e encourage greater collaboration between the World Bank, IMF, other IFIs, private sector and the UN system in joint support for governments.</w:t>
      </w:r>
    </w:p>
    <w:p w14:paraId="444055ED" w14:textId="2C6D95E1" w:rsidR="0043055D" w:rsidRDefault="004175BB" w:rsidP="0043055D">
      <w:pPr>
        <w:rPr>
          <w:rStyle w:val="Emphasis"/>
          <w:i w:val="0"/>
          <w:iCs w:val="0"/>
        </w:rPr>
      </w:pPr>
      <w:r>
        <w:rPr>
          <w:rStyle w:val="Emphasis"/>
          <w:i w:val="0"/>
          <w:iCs w:val="0"/>
        </w:rPr>
        <w:t>Target</w:t>
      </w:r>
      <w:r w:rsidR="0043055D">
        <w:rPr>
          <w:rStyle w:val="Emphasis"/>
          <w:i w:val="0"/>
          <w:iCs w:val="0"/>
        </w:rPr>
        <w:t>:</w:t>
      </w:r>
    </w:p>
    <w:p w14:paraId="53984377" w14:textId="1E9ABD6E" w:rsidR="0043055D" w:rsidRPr="0043055D" w:rsidRDefault="0043055D" w:rsidP="76859559">
      <w:pPr>
        <w:pStyle w:val="ListParagraph"/>
        <w:numPr>
          <w:ilvl w:val="0"/>
          <w:numId w:val="4"/>
        </w:numPr>
        <w:rPr>
          <w:rStyle w:val="Emphasis"/>
          <w:i w:val="0"/>
          <w:iCs w:val="0"/>
        </w:rPr>
      </w:pPr>
      <w:r w:rsidRPr="00FF22BA">
        <w:rPr>
          <w:b/>
          <w:bCs/>
        </w:rPr>
        <w:t>120 countries use integrated national financing frameworks</w:t>
      </w:r>
      <w:r w:rsidRPr="00FF22BA">
        <w:t xml:space="preserve"> for SDG and NDC implementation and report </w:t>
      </w:r>
      <w:r w:rsidRPr="00FF22BA">
        <w:rPr>
          <w:b/>
          <w:bCs/>
        </w:rPr>
        <w:t>$4 trillion</w:t>
      </w:r>
      <w:r w:rsidRPr="00FF22BA">
        <w:t xml:space="preserve"> mobilised and aligned to the SDGs annually</w:t>
      </w:r>
      <w:r w:rsidR="000C6CF2">
        <w:t xml:space="preserve"> by 2030</w:t>
      </w:r>
      <w:r>
        <w:t>.</w:t>
      </w:r>
      <w:r w:rsidR="00F56ACA">
        <w:rPr>
          <w:rStyle w:val="EndnoteReference"/>
        </w:rPr>
        <w:endnoteReference w:id="2"/>
      </w:r>
    </w:p>
    <w:p w14:paraId="7D415C87" w14:textId="2292DCB0" w:rsidR="00B438EE" w:rsidRDefault="009E62C6" w:rsidP="009E62C6">
      <w:pPr>
        <w:pStyle w:val="Heading3"/>
        <w:rPr>
          <w:rStyle w:val="Emphasis"/>
          <w:rFonts w:hint="eastAsia"/>
          <w:i w:val="0"/>
          <w:iCs w:val="0"/>
        </w:rPr>
      </w:pPr>
      <w:bookmarkStart w:id="6" w:name="_Toc179920226"/>
      <w:r>
        <w:rPr>
          <w:rStyle w:val="Emphasis"/>
          <w:i w:val="0"/>
          <w:iCs w:val="0"/>
        </w:rPr>
        <w:t xml:space="preserve">Element: Greater private sector engagement </w:t>
      </w:r>
      <w:r w:rsidR="00643E1C">
        <w:rPr>
          <w:rStyle w:val="Emphasis"/>
          <w:i w:val="0"/>
          <w:iCs w:val="0"/>
        </w:rPr>
        <w:t xml:space="preserve">including </w:t>
      </w:r>
      <w:r>
        <w:rPr>
          <w:rStyle w:val="Emphasis"/>
          <w:i w:val="0"/>
          <w:iCs w:val="0"/>
        </w:rPr>
        <w:t>capital markets, insurance and risk finance</w:t>
      </w:r>
      <w:bookmarkEnd w:id="6"/>
    </w:p>
    <w:p w14:paraId="375AC66D" w14:textId="031BACE3" w:rsidR="00643E1C" w:rsidRDefault="004175BB" w:rsidP="00643E1C">
      <w:r>
        <w:t>Language:</w:t>
      </w:r>
    </w:p>
    <w:p w14:paraId="7C2524C2" w14:textId="18DB058B" w:rsidR="00134CA9" w:rsidRDefault="004026B2" w:rsidP="00567959">
      <w:pPr>
        <w:rPr>
          <w:rStyle w:val="Emphasis"/>
        </w:rPr>
      </w:pPr>
      <w:r>
        <w:rPr>
          <w:rStyle w:val="Emphasis"/>
        </w:rPr>
        <w:t>T</w:t>
      </w:r>
      <w:r w:rsidR="00134CA9" w:rsidRPr="00567959">
        <w:rPr>
          <w:rStyle w:val="Emphasis"/>
        </w:rPr>
        <w:t xml:space="preserve">he private sector </w:t>
      </w:r>
      <w:r>
        <w:rPr>
          <w:rStyle w:val="Emphasis"/>
        </w:rPr>
        <w:t>i</w:t>
      </w:r>
      <w:r w:rsidR="00134CA9" w:rsidRPr="00567959">
        <w:rPr>
          <w:rStyle w:val="Emphasis"/>
        </w:rPr>
        <w:t>s a key driver of change</w:t>
      </w:r>
      <w:r w:rsidR="00A6788B">
        <w:rPr>
          <w:rStyle w:val="Emphasis"/>
        </w:rPr>
        <w:t xml:space="preserve">. Private </w:t>
      </w:r>
      <w:r w:rsidR="00141578" w:rsidRPr="00567959">
        <w:rPr>
          <w:rStyle w:val="Emphasis"/>
        </w:rPr>
        <w:t xml:space="preserve">participation </w:t>
      </w:r>
      <w:r w:rsidR="00A6788B">
        <w:rPr>
          <w:rStyle w:val="Emphasis"/>
        </w:rPr>
        <w:t xml:space="preserve">in </w:t>
      </w:r>
      <w:r w:rsidR="00141578" w:rsidRPr="00567959">
        <w:rPr>
          <w:rStyle w:val="Emphasis"/>
        </w:rPr>
        <w:t xml:space="preserve">finance policy dialogue is crucial </w:t>
      </w:r>
      <w:r w:rsidR="002A2373" w:rsidRPr="00567959">
        <w:rPr>
          <w:rStyle w:val="Emphasis"/>
        </w:rPr>
        <w:t xml:space="preserve">to realise meaningful change in </w:t>
      </w:r>
      <w:r w:rsidR="001447BE">
        <w:rPr>
          <w:rStyle w:val="Emphasis"/>
        </w:rPr>
        <w:t xml:space="preserve">how </w:t>
      </w:r>
      <w:r w:rsidR="002A2373" w:rsidRPr="00567959">
        <w:rPr>
          <w:rStyle w:val="Emphasis"/>
        </w:rPr>
        <w:t xml:space="preserve">the more than $450 trillion in private wealth globally </w:t>
      </w:r>
      <w:r w:rsidR="00567959" w:rsidRPr="00567959">
        <w:rPr>
          <w:rStyle w:val="Emphasis"/>
        </w:rPr>
        <w:t>is invested.</w:t>
      </w:r>
      <w:r w:rsidR="00134CA9" w:rsidRPr="00567959">
        <w:rPr>
          <w:rStyle w:val="Emphasis"/>
        </w:rPr>
        <w:t xml:space="preserve"> This must be done with integrity, establishing robust policy and regulatory frameworks, disclosure and reporting requirements for the SDGs and NDCs, building </w:t>
      </w:r>
      <w:r w:rsidR="00572123">
        <w:rPr>
          <w:rStyle w:val="Emphasis"/>
        </w:rPr>
        <w:t xml:space="preserve">open </w:t>
      </w:r>
      <w:r w:rsidR="00134CA9" w:rsidRPr="00567959">
        <w:rPr>
          <w:rStyle w:val="Emphasis"/>
        </w:rPr>
        <w:t>engagement between the private sector, public policymakers, development institutions, investors, IFIs and financial intermediaries, civil society and other stakeholders.</w:t>
      </w:r>
    </w:p>
    <w:p w14:paraId="716D6AB5" w14:textId="21EFF878" w:rsidR="00F87779" w:rsidRPr="00F87779" w:rsidRDefault="004175BB" w:rsidP="00F87779">
      <w:pPr>
        <w:rPr>
          <w:rStyle w:val="Emphasis"/>
          <w:i w:val="0"/>
          <w:iCs w:val="0"/>
        </w:rPr>
      </w:pPr>
      <w:r>
        <w:rPr>
          <w:rStyle w:val="Emphasis"/>
          <w:i w:val="0"/>
          <w:iCs w:val="0"/>
        </w:rPr>
        <w:t>Target</w:t>
      </w:r>
      <w:r w:rsidR="00F87779" w:rsidRPr="00F87779">
        <w:rPr>
          <w:rStyle w:val="Emphasis"/>
          <w:i w:val="0"/>
          <w:iCs w:val="0"/>
        </w:rPr>
        <w:t>:</w:t>
      </w:r>
    </w:p>
    <w:p w14:paraId="03573A82" w14:textId="0E1BCE91" w:rsidR="00F87779" w:rsidRPr="00F87779" w:rsidRDefault="00F87779" w:rsidP="00F87779">
      <w:pPr>
        <w:pStyle w:val="ListParagraph"/>
        <w:numPr>
          <w:ilvl w:val="0"/>
          <w:numId w:val="4"/>
        </w:numPr>
      </w:pPr>
      <w:r w:rsidRPr="00F87779">
        <w:lastRenderedPageBreak/>
        <w:t xml:space="preserve">All </w:t>
      </w:r>
      <w:r w:rsidRPr="00F87779">
        <w:rPr>
          <w:b/>
          <w:bCs/>
        </w:rPr>
        <w:t>listed financial institutions and public development banks</w:t>
      </w:r>
      <w:r>
        <w:t xml:space="preserve"> </w:t>
      </w:r>
      <w:r w:rsidRPr="00F87779">
        <w:t xml:space="preserve">develop </w:t>
      </w:r>
      <w:r w:rsidRPr="00F87779">
        <w:rPr>
          <w:b/>
          <w:bCs/>
        </w:rPr>
        <w:t>transition plans in line with national commitments</w:t>
      </w:r>
      <w:r w:rsidRPr="00F87779">
        <w:t xml:space="preserve"> by 2030</w:t>
      </w:r>
      <w:r>
        <w:t>.</w:t>
      </w:r>
    </w:p>
    <w:p w14:paraId="6827B123" w14:textId="2570518E" w:rsidR="00567959" w:rsidRDefault="003435E9" w:rsidP="003435E9">
      <w:pPr>
        <w:pStyle w:val="Heading3"/>
        <w:rPr>
          <w:rStyle w:val="Emphasis"/>
          <w:rFonts w:hint="eastAsia"/>
          <w:i w:val="0"/>
          <w:iCs w:val="0"/>
        </w:rPr>
      </w:pPr>
      <w:bookmarkStart w:id="7" w:name="_Toc179920227"/>
      <w:r w:rsidRPr="00ED3257">
        <w:rPr>
          <w:rStyle w:val="Emphasis"/>
          <w:i w:val="0"/>
          <w:iCs w:val="0"/>
        </w:rPr>
        <w:t>Element: Accelerat</w:t>
      </w:r>
      <w:r w:rsidR="00AC78B8">
        <w:rPr>
          <w:rStyle w:val="Emphasis"/>
          <w:i w:val="0"/>
          <w:iCs w:val="0"/>
        </w:rPr>
        <w:t xml:space="preserve">ing </w:t>
      </w:r>
      <w:r w:rsidRPr="00ED3257">
        <w:rPr>
          <w:rStyle w:val="Emphasis"/>
          <w:i w:val="0"/>
          <w:iCs w:val="0"/>
        </w:rPr>
        <w:t>international financial architecture</w:t>
      </w:r>
      <w:bookmarkEnd w:id="7"/>
      <w:r w:rsidR="00AC78B8">
        <w:rPr>
          <w:rStyle w:val="Emphasis"/>
          <w:i w:val="0"/>
          <w:iCs w:val="0"/>
        </w:rPr>
        <w:t xml:space="preserve"> reform</w:t>
      </w:r>
    </w:p>
    <w:p w14:paraId="0123E96F" w14:textId="5BD04247" w:rsidR="00D300A6" w:rsidRDefault="004175BB" w:rsidP="00D300A6">
      <w:r>
        <w:t>Language:</w:t>
      </w:r>
    </w:p>
    <w:p w14:paraId="4C00577B" w14:textId="69D5FE0E" w:rsidR="00A45CB1" w:rsidRPr="00ED3257" w:rsidRDefault="009C4080" w:rsidP="00A45CB1">
      <w:pPr>
        <w:rPr>
          <w:rStyle w:val="Emphasis"/>
        </w:rPr>
      </w:pPr>
      <w:r w:rsidRPr="00ED3257">
        <w:rPr>
          <w:rStyle w:val="Emphasis"/>
        </w:rPr>
        <w:t xml:space="preserve">We call for </w:t>
      </w:r>
      <w:r w:rsidR="007F000F">
        <w:rPr>
          <w:rStyle w:val="Emphasis"/>
        </w:rPr>
        <w:t>accelerated</w:t>
      </w:r>
      <w:r w:rsidRPr="00ED3257">
        <w:rPr>
          <w:rStyle w:val="Emphasis"/>
        </w:rPr>
        <w:t xml:space="preserve"> international financial architecture</w:t>
      </w:r>
      <w:r w:rsidR="00680892" w:rsidRPr="00ED3257">
        <w:rPr>
          <w:rStyle w:val="Emphasis"/>
        </w:rPr>
        <w:t xml:space="preserve"> </w:t>
      </w:r>
      <w:r w:rsidR="00DC4A31">
        <w:rPr>
          <w:rStyle w:val="Emphasis"/>
        </w:rPr>
        <w:t xml:space="preserve">(IFA) </w:t>
      </w:r>
      <w:r w:rsidR="007F000F">
        <w:rPr>
          <w:rStyle w:val="Emphasis"/>
        </w:rPr>
        <w:t xml:space="preserve">reform </w:t>
      </w:r>
      <w:r w:rsidR="00680892" w:rsidRPr="00ED3257">
        <w:rPr>
          <w:rStyle w:val="Emphasis"/>
        </w:rPr>
        <w:t xml:space="preserve">to </w:t>
      </w:r>
      <w:r w:rsidR="00A45CB1" w:rsidRPr="00ED3257">
        <w:rPr>
          <w:rStyle w:val="Emphasis"/>
        </w:rPr>
        <w:t>support long-term stable financing for the SDGs and Paris Agreement</w:t>
      </w:r>
      <w:r w:rsidR="00A145CE" w:rsidRPr="00ED3257">
        <w:rPr>
          <w:rStyle w:val="Emphasis"/>
        </w:rPr>
        <w:t>, channell</w:t>
      </w:r>
      <w:r w:rsidR="007F000F">
        <w:rPr>
          <w:rStyle w:val="Emphasis"/>
        </w:rPr>
        <w:t>ing resources</w:t>
      </w:r>
      <w:r w:rsidR="00A145CE" w:rsidRPr="00ED3257">
        <w:rPr>
          <w:rStyle w:val="Emphasis"/>
        </w:rPr>
        <w:t xml:space="preserve"> at speed and scale where investment is most needed. </w:t>
      </w:r>
      <w:r w:rsidR="004A1165">
        <w:rPr>
          <w:rStyle w:val="Emphasis"/>
        </w:rPr>
        <w:t>I</w:t>
      </w:r>
      <w:r w:rsidR="00190792">
        <w:rPr>
          <w:rStyle w:val="Emphasis"/>
        </w:rPr>
        <w:t>FA</w:t>
      </w:r>
      <w:r w:rsidR="00ED3257" w:rsidRPr="00ED3257">
        <w:rPr>
          <w:rStyle w:val="Emphasis"/>
        </w:rPr>
        <w:t xml:space="preserve"> </w:t>
      </w:r>
      <w:r w:rsidR="004A1165">
        <w:rPr>
          <w:rStyle w:val="Emphasis"/>
        </w:rPr>
        <w:t xml:space="preserve">reform </w:t>
      </w:r>
      <w:r w:rsidR="00ED3257" w:rsidRPr="00ED3257">
        <w:rPr>
          <w:rStyle w:val="Emphasis"/>
        </w:rPr>
        <w:t>must connect with, and can be catalysed by, national financial architecture</w:t>
      </w:r>
      <w:r w:rsidR="004A1165">
        <w:rPr>
          <w:rStyle w:val="Emphasis"/>
        </w:rPr>
        <w:t xml:space="preserve"> reform</w:t>
      </w:r>
      <w:r w:rsidR="00ED3257" w:rsidRPr="00ED3257">
        <w:rPr>
          <w:rStyle w:val="Emphasis"/>
        </w:rPr>
        <w:t>.</w:t>
      </w:r>
    </w:p>
    <w:p w14:paraId="388F9DD0" w14:textId="2508CA7A" w:rsidR="00702D1C" w:rsidRDefault="004175BB" w:rsidP="00702D1C">
      <w:pPr>
        <w:rPr>
          <w:rStyle w:val="Emphasis"/>
          <w:i w:val="0"/>
          <w:iCs w:val="0"/>
        </w:rPr>
      </w:pPr>
      <w:r>
        <w:rPr>
          <w:rStyle w:val="Emphasis"/>
          <w:i w:val="0"/>
          <w:iCs w:val="0"/>
        </w:rPr>
        <w:t>Target</w:t>
      </w:r>
      <w:r w:rsidR="0088521A">
        <w:rPr>
          <w:rStyle w:val="Emphasis"/>
          <w:i w:val="0"/>
          <w:iCs w:val="0"/>
        </w:rPr>
        <w:t xml:space="preserve"> based on SDG Stimulus</w:t>
      </w:r>
      <w:r w:rsidR="00702D1C">
        <w:rPr>
          <w:rStyle w:val="Emphasis"/>
          <w:i w:val="0"/>
          <w:iCs w:val="0"/>
        </w:rPr>
        <w:t>:</w:t>
      </w:r>
    </w:p>
    <w:p w14:paraId="78A60A21" w14:textId="51804177" w:rsidR="00702D1C" w:rsidRPr="00702D1C" w:rsidRDefault="00702D1C" w:rsidP="5ABB6474">
      <w:pPr>
        <w:pStyle w:val="ListParagraph"/>
        <w:numPr>
          <w:ilvl w:val="0"/>
          <w:numId w:val="4"/>
        </w:numPr>
        <w:rPr>
          <w:rStyle w:val="Emphasis"/>
          <w:i w:val="0"/>
          <w:iCs w:val="0"/>
        </w:rPr>
      </w:pPr>
      <w:r w:rsidRPr="00FF22BA">
        <w:t xml:space="preserve">Scale </w:t>
      </w:r>
      <w:r w:rsidRPr="00FF22BA">
        <w:rPr>
          <w:b/>
          <w:bCs/>
        </w:rPr>
        <w:t>international financing for sustainable development</w:t>
      </w:r>
      <w:r w:rsidRPr="00FF22BA">
        <w:t xml:space="preserve"> to at least </w:t>
      </w:r>
      <w:r w:rsidRPr="00FF22BA">
        <w:rPr>
          <w:b/>
          <w:bCs/>
        </w:rPr>
        <w:t>$500 billion</w:t>
      </w:r>
      <w:r w:rsidRPr="00FF22BA">
        <w:t xml:space="preserve"> a year, invested within </w:t>
      </w:r>
      <w:r w:rsidR="008F0F05">
        <w:t>INFFs</w:t>
      </w:r>
      <w:r w:rsidRPr="00FF22BA">
        <w:t>.</w:t>
      </w:r>
      <w:r w:rsidR="0088521A">
        <w:rPr>
          <w:rStyle w:val="EndnoteReference"/>
        </w:rPr>
        <w:endnoteReference w:id="3"/>
      </w:r>
    </w:p>
    <w:p w14:paraId="695B2928" w14:textId="405C5F07" w:rsidR="00666A5B" w:rsidRPr="00EB47FA" w:rsidRDefault="00266A86" w:rsidP="00266A86">
      <w:pPr>
        <w:pStyle w:val="Heading3"/>
        <w:rPr>
          <w:rFonts w:hint="eastAsia"/>
        </w:rPr>
      </w:pPr>
      <w:bookmarkStart w:id="8" w:name="_Toc179920228"/>
      <w:r>
        <w:t xml:space="preserve">Element: </w:t>
      </w:r>
      <w:r w:rsidR="000B79B7">
        <w:t>A</w:t>
      </w:r>
      <w:r>
        <w:t>ddressing the root causes of fragility and crisis</w:t>
      </w:r>
      <w:bookmarkEnd w:id="8"/>
    </w:p>
    <w:p w14:paraId="2D536048" w14:textId="564F85ED" w:rsidR="00C853BC" w:rsidRDefault="004175BB" w:rsidP="00FB6B5C">
      <w:r>
        <w:t>Language:</w:t>
      </w:r>
    </w:p>
    <w:p w14:paraId="1AB51642" w14:textId="23EF7C02" w:rsidR="00BE5D13" w:rsidRPr="00811204" w:rsidRDefault="1A927D26" w:rsidP="76859559">
      <w:pPr>
        <w:rPr>
          <w:rStyle w:val="Emphasis"/>
        </w:rPr>
      </w:pPr>
      <w:r w:rsidRPr="00BB61D8">
        <w:rPr>
          <w:rStyle w:val="Emphasis"/>
        </w:rPr>
        <w:t xml:space="preserve">We recognize countries facing fragility and crisis often become trapped in a cycle where scarce financial resources are allocated for immediate crisis response, </w:t>
      </w:r>
      <w:r w:rsidR="005655F6">
        <w:rPr>
          <w:rStyle w:val="Emphasis"/>
        </w:rPr>
        <w:t>minimising</w:t>
      </w:r>
      <w:r w:rsidRPr="00BB61D8">
        <w:rPr>
          <w:rStyle w:val="Emphasis"/>
        </w:rPr>
        <w:t xml:space="preserve"> sustainable development</w:t>
      </w:r>
      <w:r w:rsidR="005655F6">
        <w:rPr>
          <w:rStyle w:val="Emphasis"/>
        </w:rPr>
        <w:t xml:space="preserve"> investments</w:t>
      </w:r>
      <w:r w:rsidRPr="00BB61D8">
        <w:rPr>
          <w:rStyle w:val="Emphasis"/>
        </w:rPr>
        <w:t xml:space="preserve">. </w:t>
      </w:r>
      <w:r w:rsidR="00823CF2">
        <w:rPr>
          <w:rStyle w:val="Emphasis"/>
        </w:rPr>
        <w:t>S</w:t>
      </w:r>
      <w:r w:rsidRPr="00BB61D8">
        <w:rPr>
          <w:rStyle w:val="Emphasis"/>
        </w:rPr>
        <w:t>ignificantly scaled-up, predictable, and flexible</w:t>
      </w:r>
      <w:r w:rsidR="00542BC4" w:rsidRPr="00BB61D8">
        <w:rPr>
          <w:rStyle w:val="Emphasis"/>
        </w:rPr>
        <w:t xml:space="preserve"> </w:t>
      </w:r>
      <w:r w:rsidRPr="00BB61D8">
        <w:rPr>
          <w:rStyle w:val="Emphasis"/>
        </w:rPr>
        <w:t xml:space="preserve">investments are needed across the Humanitarian-Development-Peace </w:t>
      </w:r>
      <w:r w:rsidR="00823CF2">
        <w:rPr>
          <w:rStyle w:val="Emphasis"/>
        </w:rPr>
        <w:t xml:space="preserve">nexus </w:t>
      </w:r>
      <w:r w:rsidRPr="00BB61D8">
        <w:rPr>
          <w:rStyle w:val="Emphasis"/>
        </w:rPr>
        <w:t xml:space="preserve">(HDP). We will foster deeper collaboration among HDP actors </w:t>
      </w:r>
      <w:r w:rsidR="006F5EE6">
        <w:rPr>
          <w:rStyle w:val="Emphasis"/>
        </w:rPr>
        <w:t xml:space="preserve">and </w:t>
      </w:r>
      <w:r w:rsidRPr="00E50A72">
        <w:rPr>
          <w:rStyle w:val="Emphasis"/>
        </w:rPr>
        <w:t>commit to develop a dedicated crisis and fragility financi</w:t>
      </w:r>
      <w:r w:rsidR="0059341C">
        <w:rPr>
          <w:rStyle w:val="Emphasis"/>
        </w:rPr>
        <w:t>ng</w:t>
      </w:r>
      <w:r w:rsidRPr="00E50A72">
        <w:rPr>
          <w:rStyle w:val="Emphasis"/>
        </w:rPr>
        <w:t xml:space="preserve"> </w:t>
      </w:r>
      <w:r w:rsidR="000104EB" w:rsidRPr="00E50A72">
        <w:rPr>
          <w:rStyle w:val="Emphasis"/>
        </w:rPr>
        <w:t>initiative</w:t>
      </w:r>
      <w:r w:rsidRPr="00E50A72">
        <w:rPr>
          <w:rStyle w:val="Emphasis"/>
        </w:rPr>
        <w:t xml:space="preserve"> that bridges immediate crisis response</w:t>
      </w:r>
      <w:r w:rsidR="00BB1E86">
        <w:rPr>
          <w:rStyle w:val="Emphasis"/>
        </w:rPr>
        <w:t>,</w:t>
      </w:r>
      <w:r w:rsidRPr="00E50A72">
        <w:rPr>
          <w:rStyle w:val="Emphasis"/>
        </w:rPr>
        <w:t xml:space="preserve"> enabl</w:t>
      </w:r>
      <w:r w:rsidR="00D12B52">
        <w:rPr>
          <w:rStyle w:val="Emphasis"/>
        </w:rPr>
        <w:t>es</w:t>
      </w:r>
      <w:r w:rsidRPr="00E50A72">
        <w:rPr>
          <w:rStyle w:val="Emphasis"/>
        </w:rPr>
        <w:t xml:space="preserve"> countries to better prevent and manage risks </w:t>
      </w:r>
      <w:r w:rsidR="00BB1E86">
        <w:rPr>
          <w:rStyle w:val="Emphasis"/>
        </w:rPr>
        <w:t>and</w:t>
      </w:r>
      <w:r w:rsidR="00BB1E86">
        <w:rPr>
          <w:rStyle w:val="Emphasis"/>
        </w:rPr>
        <w:t xml:space="preserve"> </w:t>
      </w:r>
      <w:r w:rsidRPr="00E50A72">
        <w:rPr>
          <w:rStyle w:val="Emphasis"/>
        </w:rPr>
        <w:t>promot</w:t>
      </w:r>
      <w:r w:rsidR="00BB1E86">
        <w:rPr>
          <w:rStyle w:val="Emphasis"/>
        </w:rPr>
        <w:t>es</w:t>
      </w:r>
      <w:r w:rsidRPr="00E50A72">
        <w:rPr>
          <w:rStyle w:val="Emphasis"/>
        </w:rPr>
        <w:t xml:space="preserve"> long-term development.</w:t>
      </w:r>
      <w:r w:rsidRPr="00811204">
        <w:rPr>
          <w:rStyle w:val="Emphasis"/>
        </w:rPr>
        <w:t xml:space="preserve">  </w:t>
      </w:r>
    </w:p>
    <w:p w14:paraId="3755B911" w14:textId="359CE83F" w:rsidR="1A927D26" w:rsidRPr="001C5255" w:rsidRDefault="004175BB">
      <w:pPr>
        <w:rPr>
          <w:rFonts w:ascii="Aptos" w:eastAsia="Aptos" w:hAnsi="Aptos" w:cs="Aptos"/>
        </w:rPr>
      </w:pPr>
      <w:r w:rsidRPr="00746B99">
        <w:rPr>
          <w:rStyle w:val="Emphasis"/>
          <w:rFonts w:ascii="Aptos" w:eastAsia="Aptos" w:hAnsi="Aptos" w:cs="Aptos"/>
          <w:i w:val="0"/>
          <w:iCs w:val="0"/>
        </w:rPr>
        <w:t>Target</w:t>
      </w:r>
      <w:r w:rsidR="1A927D26" w:rsidRPr="00746B99">
        <w:rPr>
          <w:rStyle w:val="Emphasis"/>
          <w:rFonts w:ascii="Aptos" w:eastAsia="Aptos" w:hAnsi="Aptos" w:cs="Aptos"/>
          <w:i w:val="0"/>
          <w:iCs w:val="0"/>
        </w:rPr>
        <w:t>:</w:t>
      </w:r>
    </w:p>
    <w:p w14:paraId="523DC2F0" w14:textId="67792379" w:rsidR="1A927D26" w:rsidRPr="00811204" w:rsidRDefault="1A927D26" w:rsidP="00BB61D8">
      <w:pPr>
        <w:pStyle w:val="ListParagraph"/>
        <w:numPr>
          <w:ilvl w:val="0"/>
          <w:numId w:val="4"/>
        </w:numPr>
        <w:rPr>
          <w:rFonts w:ascii="Aptos" w:eastAsia="Aptos" w:hAnsi="Aptos" w:cs="Aptos"/>
        </w:rPr>
      </w:pPr>
      <w:r w:rsidRPr="00811204">
        <w:rPr>
          <w:rFonts w:ascii="Aptos" w:eastAsia="Aptos" w:hAnsi="Aptos" w:cs="Aptos"/>
          <w:b/>
          <w:bCs/>
        </w:rPr>
        <w:t>40% of international financing to countries in crisis and fragile settings</w:t>
      </w:r>
      <w:r w:rsidRPr="00811204">
        <w:rPr>
          <w:rFonts w:ascii="Aptos" w:eastAsia="Aptos" w:hAnsi="Aptos" w:cs="Aptos"/>
        </w:rPr>
        <w:t xml:space="preserve"> </w:t>
      </w:r>
      <w:r w:rsidRPr="00811204">
        <w:rPr>
          <w:rFonts w:ascii="Aptos" w:eastAsia="Aptos" w:hAnsi="Aptos" w:cs="Aptos"/>
          <w:b/>
          <w:bCs/>
        </w:rPr>
        <w:t>address</w:t>
      </w:r>
      <w:r w:rsidR="000B79B7">
        <w:rPr>
          <w:rFonts w:ascii="Aptos" w:eastAsia="Aptos" w:hAnsi="Aptos" w:cs="Aptos"/>
          <w:b/>
          <w:bCs/>
        </w:rPr>
        <w:t>es</w:t>
      </w:r>
      <w:r w:rsidRPr="00811204">
        <w:rPr>
          <w:rFonts w:ascii="Aptos" w:eastAsia="Aptos" w:hAnsi="Aptos" w:cs="Aptos"/>
          <w:b/>
          <w:bCs/>
        </w:rPr>
        <w:t xml:space="preserve"> the root causes of fragility and promoting resilience</w:t>
      </w:r>
      <w:r w:rsidRPr="00811204">
        <w:rPr>
          <w:rFonts w:ascii="Aptos" w:eastAsia="Aptos" w:hAnsi="Aptos" w:cs="Aptos"/>
        </w:rPr>
        <w:t xml:space="preserve"> and sustainable development</w:t>
      </w:r>
      <w:r w:rsidR="006F39F2">
        <w:rPr>
          <w:rFonts w:ascii="Aptos" w:eastAsia="Aptos" w:hAnsi="Aptos" w:cs="Aptos"/>
        </w:rPr>
        <w:t xml:space="preserve"> by 2030</w:t>
      </w:r>
      <w:r w:rsidRPr="00811204">
        <w:rPr>
          <w:rFonts w:ascii="Aptos" w:eastAsia="Aptos" w:hAnsi="Aptos" w:cs="Aptos"/>
        </w:rPr>
        <w:t>.</w:t>
      </w:r>
    </w:p>
    <w:p w14:paraId="25570324" w14:textId="04F2FE93" w:rsidR="304EB19A" w:rsidRDefault="304EB19A" w:rsidP="00C80C9B">
      <w:pPr>
        <w:rPr>
          <w:bCs/>
          <w:szCs w:val="26"/>
        </w:rPr>
      </w:pPr>
      <w:r w:rsidRPr="00C80C9B">
        <w:rPr>
          <w:rFonts w:eastAsiaTheme="majorEastAsia" w:cstheme="majorBidi"/>
          <w:b/>
          <w:bCs/>
          <w:color w:val="0F4761" w:themeColor="accent1" w:themeShade="BF"/>
          <w:sz w:val="26"/>
          <w:szCs w:val="26"/>
        </w:rPr>
        <w:t>Element</w:t>
      </w:r>
      <w:r w:rsidRPr="1659101B">
        <w:rPr>
          <w:rFonts w:eastAsiaTheme="majorEastAsia" w:cstheme="majorBidi"/>
          <w:b/>
          <w:bCs/>
          <w:color w:val="0F4761" w:themeColor="accent1" w:themeShade="BF"/>
          <w:sz w:val="26"/>
          <w:szCs w:val="26"/>
        </w:rPr>
        <w:t xml:space="preserve">: </w:t>
      </w:r>
      <w:r w:rsidR="208AF8E9" w:rsidRPr="1659101B">
        <w:rPr>
          <w:rFonts w:eastAsiaTheme="majorEastAsia" w:cstheme="majorBidi"/>
          <w:b/>
          <w:bCs/>
          <w:color w:val="0F4761" w:themeColor="accent1" w:themeShade="BF"/>
          <w:sz w:val="26"/>
          <w:szCs w:val="26"/>
        </w:rPr>
        <w:t>Strengthening financial integrity and governance</w:t>
      </w:r>
    </w:p>
    <w:p w14:paraId="3ABC7D1C" w14:textId="791D1195" w:rsidR="208AF8E9" w:rsidRDefault="004175BB" w:rsidP="1659101B">
      <w:r>
        <w:rPr>
          <w:rFonts w:eastAsiaTheme="minorEastAsia"/>
        </w:rPr>
        <w:t>Language:</w:t>
      </w:r>
      <w:r w:rsidR="208AF8E9" w:rsidRPr="1659101B">
        <w:rPr>
          <w:rFonts w:eastAsiaTheme="minorEastAsia"/>
        </w:rPr>
        <w:t xml:space="preserve"> </w:t>
      </w:r>
    </w:p>
    <w:p w14:paraId="2363EAA9" w14:textId="197EADDF" w:rsidR="208AF8E9" w:rsidRPr="00E10443" w:rsidRDefault="006F39F2" w:rsidP="2BDC2B7F">
      <w:pPr>
        <w:rPr>
          <w:rFonts w:eastAsiaTheme="minorEastAsia"/>
          <w:i/>
          <w:iCs/>
        </w:rPr>
      </w:pPr>
      <w:r>
        <w:rPr>
          <w:rFonts w:eastAsiaTheme="minorEastAsia"/>
          <w:i/>
          <w:iCs/>
        </w:rPr>
        <w:t>T</w:t>
      </w:r>
      <w:r w:rsidR="39AD4E16" w:rsidRPr="00E10443">
        <w:rPr>
          <w:rFonts w:eastAsiaTheme="minorEastAsia"/>
          <w:i/>
          <w:iCs/>
        </w:rPr>
        <w:t>he financing crisis cannot be addressed without fundamental changes to national and global governance systems</w:t>
      </w:r>
      <w:r w:rsidR="6F6A3985" w:rsidRPr="00E10443">
        <w:rPr>
          <w:rFonts w:eastAsiaTheme="minorEastAsia"/>
          <w:i/>
          <w:iCs/>
        </w:rPr>
        <w:t>. The</w:t>
      </w:r>
      <w:r w:rsidR="00C1588D">
        <w:rPr>
          <w:rFonts w:eastAsiaTheme="minorEastAsia"/>
          <w:i/>
          <w:iCs/>
        </w:rPr>
        <w:t>ir</w:t>
      </w:r>
      <w:r w:rsidR="6F6A3985" w:rsidRPr="00E10443">
        <w:rPr>
          <w:rFonts w:eastAsiaTheme="minorEastAsia"/>
          <w:i/>
          <w:iCs/>
        </w:rPr>
        <w:t xml:space="preserve"> legitimacy </w:t>
      </w:r>
      <w:r w:rsidR="7AC8C702" w:rsidRPr="00E10443">
        <w:rPr>
          <w:rFonts w:eastAsiaTheme="minorEastAsia"/>
          <w:i/>
          <w:iCs/>
        </w:rPr>
        <w:t>depends on f</w:t>
      </w:r>
      <w:r w:rsidR="4639F300" w:rsidRPr="00E10443">
        <w:rPr>
          <w:rFonts w:eastAsiaTheme="minorEastAsia"/>
          <w:i/>
          <w:iCs/>
        </w:rPr>
        <w:t xml:space="preserve">inancial </w:t>
      </w:r>
      <w:r w:rsidR="10F0E51B" w:rsidRPr="00E10443">
        <w:rPr>
          <w:rFonts w:eastAsiaTheme="minorEastAsia"/>
          <w:i/>
          <w:iCs/>
        </w:rPr>
        <w:t>integrity</w:t>
      </w:r>
      <w:r w:rsidR="5C89FABA" w:rsidRPr="2BDC2B7F">
        <w:rPr>
          <w:rFonts w:eastAsiaTheme="minorEastAsia"/>
          <w:i/>
          <w:iCs/>
        </w:rPr>
        <w:t xml:space="preserve"> </w:t>
      </w:r>
      <w:r w:rsidR="00972082">
        <w:rPr>
          <w:rFonts w:eastAsiaTheme="minorEastAsia"/>
          <w:i/>
          <w:iCs/>
        </w:rPr>
        <w:t>and</w:t>
      </w:r>
      <w:r w:rsidR="4DE64B2F" w:rsidRPr="00E10443">
        <w:rPr>
          <w:rFonts w:eastAsiaTheme="minorEastAsia"/>
          <w:i/>
          <w:iCs/>
        </w:rPr>
        <w:t xml:space="preserve"> </w:t>
      </w:r>
      <w:r w:rsidR="00972082">
        <w:rPr>
          <w:rFonts w:eastAsiaTheme="minorEastAsia"/>
          <w:i/>
          <w:iCs/>
        </w:rPr>
        <w:t>w</w:t>
      </w:r>
      <w:r w:rsidR="4DE64B2F" w:rsidRPr="00E10443">
        <w:rPr>
          <w:rFonts w:eastAsiaTheme="minorEastAsia"/>
          <w:i/>
          <w:iCs/>
        </w:rPr>
        <w:t xml:space="preserve">e </w:t>
      </w:r>
      <w:r w:rsidR="60C01EEC" w:rsidRPr="2BDC2B7F">
        <w:rPr>
          <w:rFonts w:eastAsiaTheme="minorEastAsia"/>
          <w:i/>
          <w:iCs/>
        </w:rPr>
        <w:t>reaffirm the Principles of effective governance for sustainable development (E/2018/44-E/C</w:t>
      </w:r>
      <w:r w:rsidR="15A0D200" w:rsidRPr="2BDC2B7F">
        <w:rPr>
          <w:rFonts w:eastAsiaTheme="minorEastAsia"/>
          <w:i/>
          <w:iCs/>
        </w:rPr>
        <w:t xml:space="preserve">.16/2018/8, para 31) and </w:t>
      </w:r>
      <w:r w:rsidR="34732EDC" w:rsidRPr="00E10443">
        <w:rPr>
          <w:rFonts w:eastAsiaTheme="minorEastAsia"/>
          <w:i/>
          <w:iCs/>
        </w:rPr>
        <w:t>commit to strengthening</w:t>
      </w:r>
      <w:r w:rsidR="64C38465" w:rsidRPr="2BDC2B7F">
        <w:rPr>
          <w:rFonts w:eastAsiaTheme="minorEastAsia"/>
          <w:i/>
          <w:iCs/>
        </w:rPr>
        <w:t xml:space="preserve"> </w:t>
      </w:r>
      <w:r w:rsidR="4DE64B2F" w:rsidRPr="00E10443">
        <w:rPr>
          <w:rFonts w:eastAsiaTheme="minorEastAsia"/>
          <w:i/>
          <w:iCs/>
        </w:rPr>
        <w:t>accountable, inclusive and effective governance processes</w:t>
      </w:r>
      <w:r w:rsidR="69C5FE67" w:rsidRPr="00E10443">
        <w:rPr>
          <w:rFonts w:eastAsiaTheme="minorEastAsia"/>
          <w:i/>
          <w:iCs/>
        </w:rPr>
        <w:t xml:space="preserve">. </w:t>
      </w:r>
      <w:r w:rsidR="72957271" w:rsidRPr="00E10443">
        <w:rPr>
          <w:rFonts w:eastAsiaTheme="minorEastAsia"/>
          <w:i/>
          <w:iCs/>
        </w:rPr>
        <w:t xml:space="preserve"> </w:t>
      </w:r>
    </w:p>
    <w:p w14:paraId="3541F42B" w14:textId="2998345E" w:rsidR="006C7C98" w:rsidRDefault="003C1143" w:rsidP="006C7C98">
      <w:pPr>
        <w:pStyle w:val="Heading1"/>
        <w:rPr>
          <w:rFonts w:hint="eastAsia"/>
        </w:rPr>
      </w:pPr>
      <w:bookmarkStart w:id="9" w:name="_Toc179920229"/>
      <w:r>
        <w:lastRenderedPageBreak/>
        <w:t xml:space="preserve">II. Addis Abba </w:t>
      </w:r>
      <w:r w:rsidR="006C7C98">
        <w:t xml:space="preserve">Action </w:t>
      </w:r>
      <w:r>
        <w:t>A</w:t>
      </w:r>
      <w:r w:rsidR="006C7C98">
        <w:t>reas</w:t>
      </w:r>
      <w:r>
        <w:t xml:space="preserve"> (A-G)</w:t>
      </w:r>
      <w:bookmarkEnd w:id="9"/>
    </w:p>
    <w:p w14:paraId="7008B852" w14:textId="2527BA3D" w:rsidR="006C7C98" w:rsidRPr="007F4FF4" w:rsidRDefault="006C7C98" w:rsidP="003C1143">
      <w:pPr>
        <w:pStyle w:val="Heading2"/>
        <w:numPr>
          <w:ilvl w:val="0"/>
          <w:numId w:val="7"/>
        </w:numPr>
        <w:rPr>
          <w:rFonts w:hint="eastAsia"/>
          <w:u w:val="single"/>
        </w:rPr>
      </w:pPr>
      <w:bookmarkStart w:id="10" w:name="_Toc179920230"/>
      <w:r w:rsidRPr="007F4FF4">
        <w:rPr>
          <w:u w:val="single"/>
        </w:rPr>
        <w:t>Domestic public resources</w:t>
      </w:r>
      <w:bookmarkEnd w:id="10"/>
    </w:p>
    <w:p w14:paraId="6F2B9E69" w14:textId="134EC3F7" w:rsidR="001C5158" w:rsidRDefault="7DC42482" w:rsidP="008C7664">
      <w:pPr>
        <w:pStyle w:val="Heading3"/>
        <w:rPr>
          <w:rFonts w:hint="eastAsia"/>
        </w:rPr>
      </w:pPr>
      <w:bookmarkStart w:id="11" w:name="_Toc179920231"/>
      <w:r w:rsidRPr="008C7664">
        <w:t xml:space="preserve">Element: </w:t>
      </w:r>
      <w:r w:rsidR="003D75D4">
        <w:t xml:space="preserve">Strengthening </w:t>
      </w:r>
      <w:r w:rsidR="001C5158">
        <w:t>domestic revenue mobilisation</w:t>
      </w:r>
      <w:bookmarkEnd w:id="11"/>
    </w:p>
    <w:p w14:paraId="565FC798" w14:textId="428A73AF" w:rsidR="004B2D77" w:rsidRDefault="004175BB" w:rsidP="736FA2E3">
      <w:r>
        <w:t>Language:</w:t>
      </w:r>
    </w:p>
    <w:p w14:paraId="3342A1BA" w14:textId="050FECF4" w:rsidR="004B2D77" w:rsidRPr="00D20C54" w:rsidRDefault="7DC42482" w:rsidP="736FA2E3">
      <w:pPr>
        <w:rPr>
          <w:rStyle w:val="Emphasis"/>
        </w:rPr>
      </w:pPr>
      <w:r w:rsidRPr="5ABB6474">
        <w:rPr>
          <w:rStyle w:val="Emphasis"/>
        </w:rPr>
        <w:t xml:space="preserve">We recognize the importance of </w:t>
      </w:r>
      <w:r w:rsidR="00E52E7D" w:rsidRPr="5ABB6474">
        <w:rPr>
          <w:rStyle w:val="Emphasis"/>
        </w:rPr>
        <w:t xml:space="preserve">increasing domestic revenue mobilisation </w:t>
      </w:r>
      <w:r w:rsidR="787CF6CC" w:rsidRPr="5ABB6474">
        <w:rPr>
          <w:rStyle w:val="Emphasis"/>
        </w:rPr>
        <w:t>to meet SDG spending needs</w:t>
      </w:r>
      <w:r w:rsidR="002E7BE9">
        <w:rPr>
          <w:rStyle w:val="Emphasis"/>
        </w:rPr>
        <w:t>.</w:t>
      </w:r>
      <w:r w:rsidR="787CF6CC" w:rsidRPr="5ABB6474">
        <w:rPr>
          <w:rStyle w:val="Emphasis"/>
        </w:rPr>
        <w:t xml:space="preserve"> </w:t>
      </w:r>
      <w:r w:rsidR="006E6118" w:rsidRPr="5ABB6474">
        <w:rPr>
          <w:rStyle w:val="Emphasis"/>
        </w:rPr>
        <w:t>M</w:t>
      </w:r>
      <w:r w:rsidR="17E783BE" w:rsidRPr="5ABB6474">
        <w:rPr>
          <w:rStyle w:val="Emphasis"/>
        </w:rPr>
        <w:t>ultilateral support can enhance efforts to increase the quantity and quality of revenue mobilisation for the SDGs</w:t>
      </w:r>
      <w:r w:rsidR="000F25D6" w:rsidRPr="5ABB6474">
        <w:rPr>
          <w:rStyle w:val="Emphasis"/>
        </w:rPr>
        <w:t xml:space="preserve"> including through </w:t>
      </w:r>
      <w:r w:rsidR="004847DF" w:rsidRPr="5ABB6474">
        <w:rPr>
          <w:rStyle w:val="Emphasis"/>
        </w:rPr>
        <w:t>platforms such as the Addis Tax Initiative</w:t>
      </w:r>
      <w:r w:rsidR="17E783BE" w:rsidRPr="5ABB6474">
        <w:rPr>
          <w:rStyle w:val="Emphasis"/>
        </w:rPr>
        <w:t xml:space="preserve">. Ten years on from its introduction in the Addis Ababa Action Agenda we recognise the success of the UNDP – OECD Tax Inspectors Without Borders (TIWB) initiative in strengthening capacity and increasing revenue mobilisation. We </w:t>
      </w:r>
      <w:r w:rsidRPr="5ABB6474">
        <w:rPr>
          <w:rStyle w:val="Emphasis"/>
        </w:rPr>
        <w:t xml:space="preserve">commit to strengthening </w:t>
      </w:r>
      <w:r w:rsidR="00AC1F9B">
        <w:rPr>
          <w:rStyle w:val="Emphasis"/>
        </w:rPr>
        <w:t>TIWB</w:t>
      </w:r>
      <w:r w:rsidRPr="5ABB6474">
        <w:rPr>
          <w:rStyle w:val="Emphasis"/>
        </w:rPr>
        <w:t xml:space="preserve"> to mobilize additional revenue for developing countries.</w:t>
      </w:r>
    </w:p>
    <w:p w14:paraId="4BBDC57D" w14:textId="549EFDC4" w:rsidR="00D20C54" w:rsidRPr="00D20C54" w:rsidRDefault="00205CA2" w:rsidP="00D20C54">
      <w:pPr>
        <w:rPr>
          <w:rStyle w:val="Emphasis"/>
        </w:rPr>
      </w:pPr>
      <w:r>
        <w:rPr>
          <w:rStyle w:val="Emphasis"/>
        </w:rPr>
        <w:t>P</w:t>
      </w:r>
      <w:r w:rsidR="00D20C54" w:rsidRPr="00D20C54">
        <w:rPr>
          <w:rStyle w:val="Emphasis"/>
        </w:rPr>
        <w:t xml:space="preserve">rogressive taxation </w:t>
      </w:r>
      <w:r>
        <w:rPr>
          <w:rStyle w:val="Emphasis"/>
        </w:rPr>
        <w:t xml:space="preserve">can </w:t>
      </w:r>
      <w:r w:rsidR="00D20C54" w:rsidRPr="00D20C54">
        <w:rPr>
          <w:rStyle w:val="Emphasis"/>
        </w:rPr>
        <w:t>reduc</w:t>
      </w:r>
      <w:r>
        <w:rPr>
          <w:rStyle w:val="Emphasis"/>
        </w:rPr>
        <w:t>e</w:t>
      </w:r>
      <w:r w:rsidR="00D20C54" w:rsidRPr="00D20C54">
        <w:rPr>
          <w:rStyle w:val="Emphasis"/>
        </w:rPr>
        <w:t xml:space="preserve"> inequality </w:t>
      </w:r>
      <w:r>
        <w:rPr>
          <w:rStyle w:val="Emphasis"/>
        </w:rPr>
        <w:t>while</w:t>
      </w:r>
      <w:r w:rsidRPr="00D20C54">
        <w:rPr>
          <w:rStyle w:val="Emphasis"/>
        </w:rPr>
        <w:t xml:space="preserve"> </w:t>
      </w:r>
      <w:r w:rsidR="00D20C54" w:rsidRPr="00D20C54">
        <w:rPr>
          <w:rStyle w:val="Emphasis"/>
        </w:rPr>
        <w:t xml:space="preserve">mobilizing resources for sustainable development. We commit to </w:t>
      </w:r>
      <w:r w:rsidR="005D4278">
        <w:rPr>
          <w:rStyle w:val="Emphasis"/>
        </w:rPr>
        <w:t xml:space="preserve">exploring options to </w:t>
      </w:r>
      <w:r w:rsidR="00D20C54" w:rsidRPr="00D20C54">
        <w:rPr>
          <w:rStyle w:val="Emphasis"/>
        </w:rPr>
        <w:t>improv</w:t>
      </w:r>
      <w:r w:rsidR="005D4278">
        <w:rPr>
          <w:rStyle w:val="Emphasis"/>
        </w:rPr>
        <w:t>e</w:t>
      </w:r>
      <w:r w:rsidR="00D20C54" w:rsidRPr="00D20C54">
        <w:rPr>
          <w:rStyle w:val="Emphasis"/>
        </w:rPr>
        <w:t xml:space="preserve"> the measurement and taxation of High-Net-Worth Individuals (HNWIs)</w:t>
      </w:r>
      <w:r w:rsidR="006903D9">
        <w:rPr>
          <w:rStyle w:val="Emphasis"/>
        </w:rPr>
        <w:t>.</w:t>
      </w:r>
      <w:r w:rsidR="00D93650">
        <w:rPr>
          <w:rStyle w:val="EndnoteReference"/>
          <w:i/>
          <w:iCs/>
        </w:rPr>
        <w:endnoteReference w:id="4"/>
      </w:r>
    </w:p>
    <w:p w14:paraId="220556A8" w14:textId="727A2F27" w:rsidR="00CF67DC" w:rsidRPr="00CF67DC" w:rsidRDefault="000736B9" w:rsidP="736FA2E3">
      <w:pPr>
        <w:rPr>
          <w:rStyle w:val="Emphasis"/>
        </w:rPr>
      </w:pPr>
      <w:r>
        <w:rPr>
          <w:rStyle w:val="Emphasis"/>
        </w:rPr>
        <w:t>H</w:t>
      </w:r>
      <w:r w:rsidR="6ECDEDB8" w:rsidRPr="00CF67DC">
        <w:rPr>
          <w:rStyle w:val="Emphasis"/>
        </w:rPr>
        <w:t xml:space="preserve">ealth-related taxes </w:t>
      </w:r>
      <w:r>
        <w:rPr>
          <w:rStyle w:val="Emphasis"/>
        </w:rPr>
        <w:t xml:space="preserve">offer potential </w:t>
      </w:r>
      <w:r w:rsidR="6ECDEDB8" w:rsidRPr="00CF67DC">
        <w:rPr>
          <w:rStyle w:val="Emphasis"/>
        </w:rPr>
        <w:t>to generate revenue while improving public health outcomes</w:t>
      </w:r>
      <w:r w:rsidR="006B5335">
        <w:rPr>
          <w:rStyle w:val="Emphasis"/>
        </w:rPr>
        <w:t xml:space="preserve"> and will </w:t>
      </w:r>
      <w:r w:rsidR="6ECDEDB8" w:rsidRPr="00CF67DC">
        <w:rPr>
          <w:rStyle w:val="Emphasis"/>
        </w:rPr>
        <w:t>strengthen taxes on products that contribute to noncommunicable diseases, including tobacco, alcohol, sugar-sweetened beverages.</w:t>
      </w:r>
    </w:p>
    <w:p w14:paraId="35278E47" w14:textId="31157E3B" w:rsidR="004B2D77" w:rsidRDefault="004175BB" w:rsidP="736FA2E3">
      <w:r>
        <w:t>Target</w:t>
      </w:r>
      <w:r w:rsidR="004847DF">
        <w:t>s</w:t>
      </w:r>
      <w:r w:rsidR="7DC42482">
        <w:t>:</w:t>
      </w:r>
    </w:p>
    <w:p w14:paraId="59F2C706" w14:textId="6A51F90D" w:rsidR="00545871" w:rsidRDefault="00545871" w:rsidP="00DA5A6C">
      <w:pPr>
        <w:pStyle w:val="ListParagraph"/>
        <w:numPr>
          <w:ilvl w:val="0"/>
          <w:numId w:val="4"/>
        </w:numPr>
      </w:pPr>
      <w:r>
        <w:t xml:space="preserve">Tax revenues reach </w:t>
      </w:r>
      <w:r w:rsidRPr="00FB0D02">
        <w:rPr>
          <w:b/>
          <w:bCs/>
        </w:rPr>
        <w:t>15% to GDP</w:t>
      </w:r>
      <w:r>
        <w:t xml:space="preserve"> in all countries</w:t>
      </w:r>
      <w:r w:rsidR="00FB0D02">
        <w:t xml:space="preserve"> by 2030.</w:t>
      </w:r>
    </w:p>
    <w:p w14:paraId="080E8B1A" w14:textId="5167312B" w:rsidR="00CF67DC" w:rsidRPr="00656591" w:rsidRDefault="7DC42482">
      <w:pPr>
        <w:pStyle w:val="ListParagraph"/>
        <w:numPr>
          <w:ilvl w:val="0"/>
          <w:numId w:val="4"/>
        </w:numPr>
        <w:rPr>
          <w:rFonts w:ascii="Aptos" w:eastAsia="Aptos" w:hAnsi="Aptos" w:cs="Aptos"/>
        </w:rPr>
      </w:pPr>
      <w:r w:rsidRPr="00656591">
        <w:rPr>
          <w:rFonts w:ascii="Aptos" w:eastAsia="Aptos" w:hAnsi="Aptos" w:cs="Aptos"/>
        </w:rPr>
        <w:t xml:space="preserve">Mobilize an additional </w:t>
      </w:r>
      <w:r w:rsidRPr="00FB0D02">
        <w:rPr>
          <w:rFonts w:ascii="Aptos" w:eastAsia="Aptos" w:hAnsi="Aptos" w:cs="Aptos"/>
          <w:b/>
          <w:bCs/>
        </w:rPr>
        <w:t>$10</w:t>
      </w:r>
      <w:r w:rsidR="00545871" w:rsidRPr="00FB0D02">
        <w:rPr>
          <w:rFonts w:ascii="Aptos" w:eastAsia="Aptos" w:hAnsi="Aptos" w:cs="Aptos"/>
          <w:b/>
          <w:bCs/>
        </w:rPr>
        <w:t>0</w:t>
      </w:r>
      <w:r w:rsidRPr="00FB0D02">
        <w:rPr>
          <w:rFonts w:ascii="Aptos" w:eastAsia="Aptos" w:hAnsi="Aptos" w:cs="Aptos"/>
          <w:b/>
          <w:bCs/>
        </w:rPr>
        <w:t xml:space="preserve"> billion in tax revenue</w:t>
      </w:r>
      <w:r w:rsidRPr="00656591">
        <w:rPr>
          <w:rFonts w:ascii="Aptos" w:eastAsia="Aptos" w:hAnsi="Aptos" w:cs="Aptos"/>
        </w:rPr>
        <w:t xml:space="preserve"> for developing countries through </w:t>
      </w:r>
      <w:r w:rsidRPr="00FB0D02">
        <w:rPr>
          <w:rFonts w:ascii="Aptos" w:eastAsia="Aptos" w:hAnsi="Aptos" w:cs="Aptos"/>
          <w:b/>
          <w:bCs/>
        </w:rPr>
        <w:t>Tax Inspectors Without Borders</w:t>
      </w:r>
      <w:r w:rsidRPr="00656591">
        <w:rPr>
          <w:rFonts w:ascii="Aptos" w:eastAsia="Aptos" w:hAnsi="Aptos" w:cs="Aptos"/>
        </w:rPr>
        <w:t xml:space="preserve"> by 2030.</w:t>
      </w:r>
    </w:p>
    <w:p w14:paraId="49AD2F48" w14:textId="7ED62A24" w:rsidR="00CF67DC" w:rsidRPr="00CF67DC" w:rsidRDefault="00A17D10">
      <w:pPr>
        <w:pStyle w:val="ListParagraph"/>
        <w:numPr>
          <w:ilvl w:val="0"/>
          <w:numId w:val="4"/>
        </w:numPr>
        <w:rPr>
          <w:rFonts w:ascii="Aptos" w:eastAsia="Aptos" w:hAnsi="Aptos" w:cs="Aptos"/>
          <w:vertAlign w:val="superscript"/>
        </w:rPr>
      </w:pPr>
      <w:r>
        <w:t xml:space="preserve">Generate at least </w:t>
      </w:r>
      <w:r w:rsidRPr="00FB0D02">
        <w:rPr>
          <w:b/>
          <w:bCs/>
        </w:rPr>
        <w:t>$</w:t>
      </w:r>
      <w:r w:rsidR="00D20C54" w:rsidRPr="00FB0D02">
        <w:rPr>
          <w:b/>
          <w:bCs/>
        </w:rPr>
        <w:t>2</w:t>
      </w:r>
      <w:r w:rsidRPr="00FB0D02">
        <w:rPr>
          <w:b/>
          <w:bCs/>
        </w:rPr>
        <w:t>00 billion</w:t>
      </w:r>
      <w:r>
        <w:t xml:space="preserve"> in additional </w:t>
      </w:r>
      <w:r w:rsidRPr="00FB0D02">
        <w:rPr>
          <w:b/>
          <w:bCs/>
        </w:rPr>
        <w:t xml:space="preserve">tax revenue from </w:t>
      </w:r>
      <w:r w:rsidR="00D20C54" w:rsidRPr="00FB0D02">
        <w:rPr>
          <w:b/>
          <w:bCs/>
        </w:rPr>
        <w:t>high net</w:t>
      </w:r>
      <w:r w:rsidR="000A5D31">
        <w:rPr>
          <w:b/>
          <w:bCs/>
        </w:rPr>
        <w:t>-</w:t>
      </w:r>
      <w:r w:rsidR="00D20C54" w:rsidRPr="00FB0D02">
        <w:rPr>
          <w:b/>
          <w:bCs/>
        </w:rPr>
        <w:t>worth individuals</w:t>
      </w:r>
      <w:r>
        <w:t xml:space="preserve"> in developing countries by 2030.</w:t>
      </w:r>
      <w:r w:rsidR="00D20C54">
        <w:rPr>
          <w:rStyle w:val="EndnoteReference"/>
        </w:rPr>
        <w:endnoteReference w:id="5"/>
      </w:r>
      <w:r>
        <w:t xml:space="preserve"> </w:t>
      </w:r>
    </w:p>
    <w:p w14:paraId="4F42368C" w14:textId="16E67EC2" w:rsidR="2F395780" w:rsidRDefault="5AAB9DEE">
      <w:pPr>
        <w:pStyle w:val="ListParagraph"/>
        <w:numPr>
          <w:ilvl w:val="0"/>
          <w:numId w:val="4"/>
        </w:numPr>
      </w:pPr>
      <w:r w:rsidRPr="00CF67DC">
        <w:rPr>
          <w:rFonts w:ascii="Aptos" w:eastAsia="Aptos" w:hAnsi="Aptos" w:cs="Aptos"/>
        </w:rPr>
        <w:t xml:space="preserve">Generate </w:t>
      </w:r>
      <w:r w:rsidRPr="00FB0D02">
        <w:rPr>
          <w:rFonts w:ascii="Aptos" w:eastAsia="Aptos" w:hAnsi="Aptos" w:cs="Aptos"/>
          <w:b/>
          <w:bCs/>
        </w:rPr>
        <w:t>$250 billion</w:t>
      </w:r>
      <w:r w:rsidRPr="00CF67DC">
        <w:rPr>
          <w:rFonts w:ascii="Aptos" w:eastAsia="Aptos" w:hAnsi="Aptos" w:cs="Aptos"/>
        </w:rPr>
        <w:t xml:space="preserve"> from </w:t>
      </w:r>
      <w:r w:rsidRPr="00FB0D02">
        <w:rPr>
          <w:rFonts w:ascii="Aptos" w:eastAsia="Aptos" w:hAnsi="Aptos" w:cs="Aptos"/>
          <w:b/>
          <w:bCs/>
        </w:rPr>
        <w:t>health-related taxes</w:t>
      </w:r>
      <w:r w:rsidRPr="00CF67DC">
        <w:rPr>
          <w:rFonts w:ascii="Aptos" w:eastAsia="Aptos" w:hAnsi="Aptos" w:cs="Aptos"/>
        </w:rPr>
        <w:t xml:space="preserve"> by 2030.</w:t>
      </w:r>
      <w:r w:rsidR="0046461D">
        <w:rPr>
          <w:rStyle w:val="EndnoteReference"/>
          <w:rFonts w:ascii="Aptos" w:eastAsia="Aptos" w:hAnsi="Aptos" w:cs="Aptos"/>
        </w:rPr>
        <w:endnoteReference w:id="6"/>
      </w:r>
    </w:p>
    <w:p w14:paraId="04B07977" w14:textId="791B9A04" w:rsidR="00AB406E" w:rsidRPr="00E3202C" w:rsidRDefault="4C0D0C3D" w:rsidP="00E3202C">
      <w:pPr>
        <w:pStyle w:val="Heading3"/>
        <w:rPr>
          <w:rFonts w:hint="eastAsia"/>
        </w:rPr>
      </w:pPr>
      <w:bookmarkStart w:id="12" w:name="_Toc179920232"/>
      <w:r w:rsidRPr="00E3202C">
        <w:t>Element:</w:t>
      </w:r>
      <w:r w:rsidR="00BD4A54" w:rsidRPr="00E3202C">
        <w:t xml:space="preserve"> SDG and sustainability-linked debt instruments</w:t>
      </w:r>
      <w:bookmarkEnd w:id="12"/>
    </w:p>
    <w:p w14:paraId="5BADA03C" w14:textId="209879D3" w:rsidR="00AB406E" w:rsidRDefault="004175BB" w:rsidP="00AB406E">
      <w:r>
        <w:t>Language:</w:t>
      </w:r>
      <w:r w:rsidR="4C0D0C3D">
        <w:t xml:space="preserve"> </w:t>
      </w:r>
    </w:p>
    <w:p w14:paraId="6ECA51C5" w14:textId="7A97C707" w:rsidR="004B2D77" w:rsidRPr="004A2FAF" w:rsidRDefault="005D2356" w:rsidP="00BA457D">
      <w:pPr>
        <w:rPr>
          <w:rStyle w:val="Emphasis"/>
        </w:rPr>
      </w:pPr>
      <w:r>
        <w:rPr>
          <w:rStyle w:val="Emphasis"/>
        </w:rPr>
        <w:t>R</w:t>
      </w:r>
      <w:r w:rsidR="4C0D0C3D" w:rsidRPr="5ABB6474">
        <w:rPr>
          <w:rStyle w:val="Emphasis"/>
        </w:rPr>
        <w:t xml:space="preserve">ising debt </w:t>
      </w:r>
      <w:r>
        <w:rPr>
          <w:rStyle w:val="Emphasis"/>
        </w:rPr>
        <w:t xml:space="preserve">amplifies </w:t>
      </w:r>
      <w:r w:rsidR="4C0D0C3D" w:rsidRPr="5ABB6474">
        <w:rPr>
          <w:rStyle w:val="Emphasis"/>
        </w:rPr>
        <w:t xml:space="preserve">developmental challenges due to the cost of servicing debt. We commit to scaling support to </w:t>
      </w:r>
      <w:r w:rsidR="006B5335">
        <w:rPr>
          <w:rStyle w:val="Emphasis"/>
        </w:rPr>
        <w:t xml:space="preserve">LDCs, </w:t>
      </w:r>
      <w:r w:rsidR="4C0D0C3D" w:rsidRPr="5ABB6474">
        <w:rPr>
          <w:rStyle w:val="Emphasis"/>
        </w:rPr>
        <w:t>emerging and frontier markets</w:t>
      </w:r>
      <w:r w:rsidR="006B5335">
        <w:rPr>
          <w:rStyle w:val="Emphasis"/>
        </w:rPr>
        <w:t xml:space="preserve"> </w:t>
      </w:r>
      <w:r w:rsidR="004F3249" w:rsidRPr="5ABB6474">
        <w:rPr>
          <w:rStyle w:val="Emphasis"/>
        </w:rPr>
        <w:t xml:space="preserve">to access </w:t>
      </w:r>
      <w:r w:rsidR="4C0D0C3D" w:rsidRPr="5ABB6474">
        <w:rPr>
          <w:rStyle w:val="Emphasis"/>
        </w:rPr>
        <w:t xml:space="preserve">the debt market through the development of </w:t>
      </w:r>
      <w:r w:rsidR="00BA457D" w:rsidRPr="5ABB6474">
        <w:rPr>
          <w:rStyle w:val="Emphasis"/>
        </w:rPr>
        <w:t xml:space="preserve">SDG, sustainable, </w:t>
      </w:r>
      <w:r w:rsidR="00CD13D1" w:rsidRPr="5ABB6474">
        <w:rPr>
          <w:rStyle w:val="Emphasis"/>
        </w:rPr>
        <w:t>sustainability-linked</w:t>
      </w:r>
      <w:r w:rsidR="00CD13D1">
        <w:rPr>
          <w:rStyle w:val="Emphasis"/>
        </w:rPr>
        <w:t>,</w:t>
      </w:r>
      <w:r w:rsidR="00CD13D1" w:rsidRPr="5ABB6474">
        <w:rPr>
          <w:rStyle w:val="Emphasis"/>
        </w:rPr>
        <w:t xml:space="preserve"> </w:t>
      </w:r>
      <w:r w:rsidR="00BA457D" w:rsidRPr="5ABB6474">
        <w:rPr>
          <w:rStyle w:val="Emphasis"/>
        </w:rPr>
        <w:t>green, blue</w:t>
      </w:r>
      <w:r w:rsidR="00953CCD">
        <w:rPr>
          <w:rStyle w:val="Emphasis"/>
        </w:rPr>
        <w:t>, nature-related</w:t>
      </w:r>
      <w:r w:rsidR="00BA457D" w:rsidRPr="5ABB6474">
        <w:rPr>
          <w:rStyle w:val="Emphasis"/>
        </w:rPr>
        <w:t xml:space="preserve"> or other thematic bond instruments, including debt swaps</w:t>
      </w:r>
      <w:r w:rsidR="4C0D0C3D" w:rsidRPr="5ABB6474">
        <w:rPr>
          <w:rStyle w:val="Emphasis"/>
        </w:rPr>
        <w:t xml:space="preserve">, that </w:t>
      </w:r>
      <w:r w:rsidR="006B5335">
        <w:rPr>
          <w:rStyle w:val="Emphasis"/>
        </w:rPr>
        <w:t>increase investment in sustainable</w:t>
      </w:r>
      <w:r w:rsidR="4C0D0C3D" w:rsidRPr="5ABB6474">
        <w:rPr>
          <w:rStyle w:val="Emphasis"/>
        </w:rPr>
        <w:t xml:space="preserve"> development.</w:t>
      </w:r>
      <w:r w:rsidR="6BBE3446" w:rsidRPr="5ABB6474">
        <w:rPr>
          <w:rStyle w:val="Emphasis"/>
        </w:rPr>
        <w:t xml:space="preserve"> </w:t>
      </w:r>
    </w:p>
    <w:p w14:paraId="754E54CC" w14:textId="7E3B4B44" w:rsidR="004B2D77" w:rsidRPr="004A2FAF" w:rsidRDefault="004175BB" w:rsidP="43991689">
      <w:r>
        <w:t>Target</w:t>
      </w:r>
      <w:r w:rsidR="4C0D0C3D" w:rsidRPr="004A2FAF">
        <w:t>:</w:t>
      </w:r>
    </w:p>
    <w:p w14:paraId="767FC51B" w14:textId="2BBB4D55" w:rsidR="00AB406E" w:rsidRPr="004A2FAF" w:rsidRDefault="00AB406E" w:rsidP="008E036E">
      <w:pPr>
        <w:pStyle w:val="ListParagraph"/>
        <w:numPr>
          <w:ilvl w:val="0"/>
          <w:numId w:val="12"/>
        </w:numPr>
        <w:tabs>
          <w:tab w:val="num" w:pos="720"/>
        </w:tabs>
      </w:pPr>
      <w:r>
        <w:lastRenderedPageBreak/>
        <w:t>10% of sovereign bond</w:t>
      </w:r>
      <w:r w:rsidR="00CE344F">
        <w:t>s issued use SDG, sustainability-linked, green, blue or other thematic bond instruments</w:t>
      </w:r>
      <w:r w:rsidR="001A0DEB">
        <w:t xml:space="preserve">, supporting increased sustainable development </w:t>
      </w:r>
      <w:r w:rsidR="008A107D">
        <w:t>investment</w:t>
      </w:r>
      <w:r w:rsidR="001A0DEB">
        <w:t>.</w:t>
      </w:r>
    </w:p>
    <w:p w14:paraId="43D40B7D" w14:textId="4DF9F609" w:rsidR="001C5158" w:rsidRPr="008C7664" w:rsidRDefault="001C5158" w:rsidP="001C5158">
      <w:pPr>
        <w:pStyle w:val="Heading3"/>
        <w:rPr>
          <w:rFonts w:hint="eastAsia"/>
        </w:rPr>
      </w:pPr>
      <w:bookmarkStart w:id="13" w:name="_Toc179920233"/>
      <w:r w:rsidRPr="008C7664">
        <w:t xml:space="preserve">Element: </w:t>
      </w:r>
      <w:r w:rsidR="00AE5BC7">
        <w:t>F</w:t>
      </w:r>
      <w:r w:rsidRPr="008C7664">
        <w:t>iscal policy coherence for SDGs</w:t>
      </w:r>
      <w:bookmarkEnd w:id="13"/>
    </w:p>
    <w:p w14:paraId="38C99F0A" w14:textId="43C36078" w:rsidR="001C5158" w:rsidRDefault="004175BB" w:rsidP="001C5158">
      <w:r>
        <w:t>Language:</w:t>
      </w:r>
    </w:p>
    <w:p w14:paraId="29E71A4D" w14:textId="16A906C1" w:rsidR="001C5158" w:rsidRDefault="007520A3" w:rsidP="001C5158">
      <w:pPr>
        <w:rPr>
          <w:rStyle w:val="Emphasis"/>
        </w:rPr>
      </w:pPr>
      <w:r>
        <w:rPr>
          <w:rStyle w:val="Emphasis"/>
        </w:rPr>
        <w:t>Each</w:t>
      </w:r>
      <w:r w:rsidR="001C5158" w:rsidRPr="00014C48">
        <w:rPr>
          <w:rStyle w:val="Emphasis"/>
        </w:rPr>
        <w:t xml:space="preserve"> element of public finance can have differentiated effects, contributing positively or negatively toward gender equality, the </w:t>
      </w:r>
      <w:r w:rsidR="00237DF1">
        <w:rPr>
          <w:rStyle w:val="Emphasis"/>
        </w:rPr>
        <w:t xml:space="preserve">climate </w:t>
      </w:r>
      <w:r w:rsidR="001C5158" w:rsidRPr="00014C48">
        <w:rPr>
          <w:rStyle w:val="Emphasis"/>
        </w:rPr>
        <w:t>and biodiversity. We commit to building greater coherence across public expenditure, tax and debt</w:t>
      </w:r>
      <w:r w:rsidR="00237DF1">
        <w:rPr>
          <w:rStyle w:val="Emphasis"/>
        </w:rPr>
        <w:t xml:space="preserve"> in </w:t>
      </w:r>
      <w:r w:rsidR="008A107D">
        <w:rPr>
          <w:rStyle w:val="Emphasis"/>
        </w:rPr>
        <w:t xml:space="preserve">SDG </w:t>
      </w:r>
      <w:r w:rsidR="00237DF1">
        <w:rPr>
          <w:rStyle w:val="Emphasis"/>
        </w:rPr>
        <w:t>deliver</w:t>
      </w:r>
      <w:r w:rsidR="008A107D">
        <w:rPr>
          <w:rStyle w:val="Emphasis"/>
        </w:rPr>
        <w:t>y</w:t>
      </w:r>
      <w:r w:rsidR="004A5822">
        <w:rPr>
          <w:rStyle w:val="Emphasis"/>
        </w:rPr>
        <w:t xml:space="preserve">. We will strengthen </w:t>
      </w:r>
      <w:r w:rsidR="00CC60A7">
        <w:rPr>
          <w:rStyle w:val="Emphasis"/>
        </w:rPr>
        <w:t xml:space="preserve">government </w:t>
      </w:r>
      <w:r w:rsidR="004A5822">
        <w:rPr>
          <w:rStyle w:val="Emphasis"/>
        </w:rPr>
        <w:t xml:space="preserve">capacities to </w:t>
      </w:r>
      <w:r w:rsidR="00237DF1">
        <w:rPr>
          <w:rStyle w:val="Emphasis"/>
        </w:rPr>
        <w:t xml:space="preserve">identify synergies and trade-offs across tax and </w:t>
      </w:r>
      <w:r w:rsidR="004A5822">
        <w:rPr>
          <w:rStyle w:val="Emphasis"/>
        </w:rPr>
        <w:t xml:space="preserve">expenditure </w:t>
      </w:r>
      <w:r w:rsidR="00237DF1">
        <w:rPr>
          <w:rStyle w:val="Emphasis"/>
        </w:rPr>
        <w:t xml:space="preserve">policy in </w:t>
      </w:r>
      <w:r w:rsidR="008A107D">
        <w:rPr>
          <w:rStyle w:val="Emphasis"/>
        </w:rPr>
        <w:t>service</w:t>
      </w:r>
      <w:r w:rsidR="008A107D">
        <w:rPr>
          <w:rStyle w:val="Emphasis"/>
        </w:rPr>
        <w:t xml:space="preserve"> </w:t>
      </w:r>
      <w:r w:rsidR="00237DF1">
        <w:rPr>
          <w:rStyle w:val="Emphasis"/>
        </w:rPr>
        <w:t>delivery</w:t>
      </w:r>
      <w:r w:rsidR="000250DD">
        <w:rPr>
          <w:rStyle w:val="Emphasis"/>
        </w:rPr>
        <w:t xml:space="preserve">, </w:t>
      </w:r>
      <w:r w:rsidR="001C5158" w:rsidRPr="00014C48">
        <w:rPr>
          <w:rStyle w:val="Emphasis"/>
        </w:rPr>
        <w:t>accelerat</w:t>
      </w:r>
      <w:r w:rsidR="008A107D">
        <w:rPr>
          <w:rStyle w:val="Emphasis"/>
        </w:rPr>
        <w:t>ing</w:t>
      </w:r>
      <w:r w:rsidR="001C5158" w:rsidRPr="00014C48">
        <w:rPr>
          <w:rStyle w:val="Emphasis"/>
        </w:rPr>
        <w:t xml:space="preserve"> gender equality and women’s empowerment, climate </w:t>
      </w:r>
      <w:r w:rsidR="00237DF1">
        <w:rPr>
          <w:rStyle w:val="Emphasis"/>
        </w:rPr>
        <w:t xml:space="preserve">action </w:t>
      </w:r>
      <w:r w:rsidR="001C5158" w:rsidRPr="00014C48">
        <w:rPr>
          <w:rStyle w:val="Emphasis"/>
        </w:rPr>
        <w:t>and nature priorities</w:t>
      </w:r>
      <w:r w:rsidR="00FC070F">
        <w:rPr>
          <w:rStyle w:val="Emphasis"/>
        </w:rPr>
        <w:t xml:space="preserve"> and reinforc</w:t>
      </w:r>
      <w:r w:rsidR="008A107D">
        <w:rPr>
          <w:rStyle w:val="Emphasis"/>
        </w:rPr>
        <w:t>ing</w:t>
      </w:r>
      <w:r w:rsidR="00FC070F">
        <w:rPr>
          <w:rStyle w:val="Emphasis"/>
        </w:rPr>
        <w:t xml:space="preserve"> the social contract </w:t>
      </w:r>
      <w:r w:rsidR="001D7B3A">
        <w:rPr>
          <w:rStyle w:val="Emphasis"/>
        </w:rPr>
        <w:t>to</w:t>
      </w:r>
      <w:r w:rsidR="001D7B3A">
        <w:rPr>
          <w:rStyle w:val="Emphasis"/>
        </w:rPr>
        <w:t xml:space="preserve"> </w:t>
      </w:r>
      <w:r w:rsidR="00FC070F">
        <w:rPr>
          <w:rStyle w:val="Emphasis"/>
        </w:rPr>
        <w:t xml:space="preserve">build </w:t>
      </w:r>
      <w:r w:rsidR="00237DF1">
        <w:rPr>
          <w:rStyle w:val="Emphasis"/>
        </w:rPr>
        <w:t xml:space="preserve">trust in </w:t>
      </w:r>
      <w:r w:rsidR="00FC070F">
        <w:rPr>
          <w:rStyle w:val="Emphasis"/>
        </w:rPr>
        <w:t>institutions</w:t>
      </w:r>
      <w:r w:rsidR="001C5158" w:rsidRPr="00014C48">
        <w:rPr>
          <w:rStyle w:val="Emphasis"/>
        </w:rPr>
        <w:t>.</w:t>
      </w:r>
      <w:r w:rsidR="00E03EE3">
        <w:rPr>
          <w:rStyle w:val="EndnoteReference"/>
          <w:i/>
          <w:iCs/>
        </w:rPr>
        <w:endnoteReference w:id="7"/>
      </w:r>
      <w:r w:rsidR="001C5158" w:rsidRPr="00014C48">
        <w:rPr>
          <w:rStyle w:val="Emphasis"/>
        </w:rPr>
        <w:t xml:space="preserve"> We will deepen collaboration across the UN and IFIs in supporting countries, including expanding the Platform for Collaboration on Tax to consider integrated fiscal strategies covering both tax and expenditures, bringing together the IMF, World Bank, UN and OECD.</w:t>
      </w:r>
    </w:p>
    <w:p w14:paraId="3F303C17" w14:textId="77777777" w:rsidR="00792409" w:rsidRDefault="00792409" w:rsidP="00792409">
      <w:bookmarkStart w:id="14" w:name="_Toc179920234"/>
      <w:r>
        <w:t>Target:</w:t>
      </w:r>
    </w:p>
    <w:p w14:paraId="160FCE21" w14:textId="79AB0973" w:rsidR="00792409" w:rsidRDefault="00792409" w:rsidP="00792409">
      <w:pPr>
        <w:numPr>
          <w:ilvl w:val="0"/>
          <w:numId w:val="5"/>
        </w:numPr>
        <w:tabs>
          <w:tab w:val="num" w:pos="720"/>
        </w:tabs>
      </w:pPr>
      <w:r w:rsidRPr="00BA1231">
        <w:t xml:space="preserve">Commitment to </w:t>
      </w:r>
      <w:r w:rsidRPr="00837A7D">
        <w:rPr>
          <w:b/>
          <w:bCs/>
        </w:rPr>
        <w:t>fiscal policy coherence</w:t>
      </w:r>
      <w:r w:rsidRPr="00BA1231">
        <w:t xml:space="preserve">, where expenditure </w:t>
      </w:r>
      <w:r>
        <w:t xml:space="preserve">and tax policy work together to accelerate </w:t>
      </w:r>
      <w:r w:rsidRPr="00BA1231">
        <w:t xml:space="preserve">gender equality and the SDGs, covering </w:t>
      </w:r>
      <w:r w:rsidRPr="00837A7D">
        <w:rPr>
          <w:b/>
          <w:bCs/>
        </w:rPr>
        <w:t>$2 trillion</w:t>
      </w:r>
      <w:r w:rsidRPr="00BA1231">
        <w:t xml:space="preserve"> in annual tax revenue and expenditure together</w:t>
      </w:r>
      <w:r>
        <w:t xml:space="preserve"> by 2030</w:t>
      </w:r>
      <w:r w:rsidRPr="00BA1231">
        <w:t>.</w:t>
      </w:r>
    </w:p>
    <w:p w14:paraId="339E52EB" w14:textId="6D74E3D7" w:rsidR="004B2D77" w:rsidRPr="004A2FAF" w:rsidRDefault="7DC42482" w:rsidP="004A2FAF">
      <w:pPr>
        <w:pStyle w:val="Heading3"/>
        <w:rPr>
          <w:rFonts w:hint="eastAsia"/>
        </w:rPr>
      </w:pPr>
      <w:r w:rsidRPr="004A2FAF">
        <w:t xml:space="preserve">Element: </w:t>
      </w:r>
      <w:r w:rsidR="584405DB" w:rsidRPr="004A2FAF">
        <w:t xml:space="preserve">Development-outcome focused </w:t>
      </w:r>
      <w:r w:rsidR="007650EA">
        <w:t>PFM</w:t>
      </w:r>
      <w:r w:rsidR="584405DB" w:rsidRPr="004A2FAF">
        <w:t xml:space="preserve"> reform</w:t>
      </w:r>
      <w:bookmarkEnd w:id="14"/>
      <w:r w:rsidR="584405DB" w:rsidRPr="004A2FAF">
        <w:t xml:space="preserve"> </w:t>
      </w:r>
    </w:p>
    <w:p w14:paraId="3AE1E2E5" w14:textId="56111910" w:rsidR="004B2D77" w:rsidRDefault="004175BB" w:rsidP="731260D5">
      <w:r>
        <w:t>Language:</w:t>
      </w:r>
      <w:r w:rsidR="584405DB">
        <w:t xml:space="preserve"> </w:t>
      </w:r>
    </w:p>
    <w:p w14:paraId="3396BE8B" w14:textId="009B144F" w:rsidR="006E44A3" w:rsidRDefault="00975AFC" w:rsidP="00AB2515">
      <w:pPr>
        <w:rPr>
          <w:rStyle w:val="Emphasis"/>
        </w:rPr>
      </w:pPr>
      <w:r w:rsidRPr="00BA62B7">
        <w:rPr>
          <w:rStyle w:val="Emphasis"/>
        </w:rPr>
        <w:t xml:space="preserve">Public finance is a crucial driver of SDG and NDC outcomes. We commit to public financial management reform </w:t>
      </w:r>
      <w:r w:rsidR="00AB2515">
        <w:rPr>
          <w:rStyle w:val="Emphasis"/>
        </w:rPr>
        <w:t xml:space="preserve">and institutional reforms </w:t>
      </w:r>
      <w:r w:rsidRPr="00BA62B7">
        <w:rPr>
          <w:rStyle w:val="Emphasis"/>
        </w:rPr>
        <w:t xml:space="preserve">that accelerate </w:t>
      </w:r>
      <w:r w:rsidR="00971436">
        <w:rPr>
          <w:rStyle w:val="Emphasis"/>
        </w:rPr>
        <w:t xml:space="preserve">gender equality, </w:t>
      </w:r>
      <w:r w:rsidRPr="00BA62B7">
        <w:rPr>
          <w:rStyle w:val="Emphasis"/>
        </w:rPr>
        <w:t>NDCs and SDGs</w:t>
      </w:r>
      <w:r w:rsidR="00B63B7A">
        <w:rPr>
          <w:rStyle w:val="Emphasis"/>
        </w:rPr>
        <w:t xml:space="preserve">, including building on </w:t>
      </w:r>
      <w:r w:rsidRPr="00BA62B7">
        <w:rPr>
          <w:rStyle w:val="Emphasis"/>
        </w:rPr>
        <w:t>greater collaboration between the World Bank, IMF, UN agencies and development partners.</w:t>
      </w:r>
    </w:p>
    <w:p w14:paraId="5BDB1FE5" w14:textId="77777777" w:rsidR="00792409" w:rsidRDefault="00792409" w:rsidP="00792409">
      <w:bookmarkStart w:id="15" w:name="_Toc179920235"/>
      <w:r>
        <w:t>Target:</w:t>
      </w:r>
    </w:p>
    <w:p w14:paraId="78C2C7AD" w14:textId="07CB818E" w:rsidR="00792409" w:rsidRPr="00792409" w:rsidRDefault="00792409" w:rsidP="00792409">
      <w:pPr>
        <w:pStyle w:val="ListParagraph"/>
        <w:numPr>
          <w:ilvl w:val="0"/>
          <w:numId w:val="5"/>
        </w:numPr>
        <w:rPr>
          <w:i/>
          <w:iCs/>
        </w:rPr>
      </w:pPr>
      <w:r>
        <w:t>All new PFM reform programmes explicitly state how reforms will contribute to one or more specific sustainable development outcomes.</w:t>
      </w:r>
    </w:p>
    <w:p w14:paraId="58BAAFE8" w14:textId="524694AE" w:rsidR="4418B5C7" w:rsidRPr="003C4AF7" w:rsidRDefault="4418B5C7" w:rsidP="003C4AF7">
      <w:pPr>
        <w:pStyle w:val="Heading3"/>
        <w:rPr>
          <w:rFonts w:hint="eastAsia"/>
        </w:rPr>
      </w:pPr>
      <w:r w:rsidRPr="003C4AF7">
        <w:t xml:space="preserve">Element: </w:t>
      </w:r>
      <w:r w:rsidR="00CF500A">
        <w:t>G</w:t>
      </w:r>
      <w:r w:rsidRPr="003C4AF7">
        <w:t xml:space="preserve">lobal </w:t>
      </w:r>
      <w:r w:rsidR="00CF500A">
        <w:t>approaches to address</w:t>
      </w:r>
      <w:r w:rsidRPr="003C4AF7">
        <w:t xml:space="preserve"> illicit finance</w:t>
      </w:r>
      <w:bookmarkEnd w:id="15"/>
    </w:p>
    <w:p w14:paraId="486BF0B3" w14:textId="1E76155E" w:rsidR="4418B5C7" w:rsidRDefault="004175BB">
      <w:r>
        <w:t>Language:</w:t>
      </w:r>
    </w:p>
    <w:p w14:paraId="6EE4B9CA" w14:textId="4B15AA74" w:rsidR="003C1143" w:rsidRPr="004E3D25" w:rsidRDefault="4418B5C7" w:rsidP="008E036E">
      <w:pPr>
        <w:rPr>
          <w:rStyle w:val="Emphasis"/>
        </w:rPr>
      </w:pPr>
      <w:r w:rsidRPr="1659101B">
        <w:rPr>
          <w:rStyle w:val="Emphasis"/>
        </w:rPr>
        <w:t>We commit to establish an inclusive global coordination mechanism on illicit financial flows at UNECOSOC</w:t>
      </w:r>
      <w:r w:rsidR="00EB430F">
        <w:rPr>
          <w:rStyle w:val="Emphasis"/>
        </w:rPr>
        <w:t xml:space="preserve"> as</w:t>
      </w:r>
      <w:r w:rsidRPr="1659101B">
        <w:rPr>
          <w:rStyle w:val="Emphasis"/>
        </w:rPr>
        <w:t xml:space="preserve"> a formal structure for coordinating initiatives that address illicit finance across geographies and areas of focus, </w:t>
      </w:r>
      <w:r w:rsidR="00EB430F">
        <w:rPr>
          <w:rStyle w:val="Emphasis"/>
        </w:rPr>
        <w:t xml:space="preserve">to </w:t>
      </w:r>
      <w:r w:rsidRPr="1659101B">
        <w:rPr>
          <w:rStyle w:val="Emphasis"/>
        </w:rPr>
        <w:t>catalys</w:t>
      </w:r>
      <w:r w:rsidR="00EB430F">
        <w:rPr>
          <w:rStyle w:val="Emphasis"/>
        </w:rPr>
        <w:t>e</w:t>
      </w:r>
      <w:r w:rsidRPr="1659101B">
        <w:rPr>
          <w:rStyle w:val="Emphasis"/>
        </w:rPr>
        <w:t xml:space="preserve"> a systemic level approach to financial integrity.</w:t>
      </w:r>
      <w:r w:rsidR="4BDF2386" w:rsidRPr="1659101B">
        <w:rPr>
          <w:rStyle w:val="Emphasis"/>
        </w:rPr>
        <w:t xml:space="preserve"> </w:t>
      </w:r>
    </w:p>
    <w:p w14:paraId="5C2C3D4E" w14:textId="4500EA50" w:rsidR="1659101B" w:rsidRDefault="5E5F7CFA" w:rsidP="1659101B">
      <w:pPr>
        <w:rPr>
          <w:rStyle w:val="Emphasis"/>
        </w:rPr>
      </w:pPr>
      <w:r w:rsidRPr="00AA7DA6">
        <w:rPr>
          <w:rStyle w:val="Emphasis"/>
        </w:rPr>
        <w:lastRenderedPageBreak/>
        <w:t xml:space="preserve">We recognize </w:t>
      </w:r>
      <w:r w:rsidR="73A9BFFE" w:rsidRPr="00AA7DA6">
        <w:rPr>
          <w:rStyle w:val="Emphasis"/>
        </w:rPr>
        <w:t xml:space="preserve">the critical role of </w:t>
      </w:r>
      <w:r w:rsidRPr="00AA7DA6">
        <w:rPr>
          <w:rStyle w:val="Emphasis"/>
        </w:rPr>
        <w:t xml:space="preserve">professional service </w:t>
      </w:r>
      <w:r w:rsidR="03C12651" w:rsidRPr="00AA7DA6">
        <w:rPr>
          <w:rStyle w:val="Emphasis"/>
        </w:rPr>
        <w:t>providers</w:t>
      </w:r>
      <w:r w:rsidR="4BABC257" w:rsidRPr="00AA7DA6">
        <w:rPr>
          <w:rStyle w:val="Emphasis"/>
        </w:rPr>
        <w:t xml:space="preserve"> in enabling illicit financial flows a</w:t>
      </w:r>
      <w:r w:rsidR="601748D5" w:rsidRPr="00AA7DA6">
        <w:rPr>
          <w:rStyle w:val="Emphasis"/>
        </w:rPr>
        <w:t xml:space="preserve">nd the challenge of </w:t>
      </w:r>
      <w:r w:rsidR="2B2B8C15" w:rsidRPr="00AA7DA6">
        <w:rPr>
          <w:rStyle w:val="Emphasis"/>
        </w:rPr>
        <w:t xml:space="preserve">varying </w:t>
      </w:r>
      <w:r w:rsidR="16F67F28" w:rsidRPr="00AA7DA6">
        <w:rPr>
          <w:rStyle w:val="Emphasis"/>
        </w:rPr>
        <w:t xml:space="preserve">standards across professions and jurisdictions. We </w:t>
      </w:r>
      <w:r w:rsidR="00146D76">
        <w:rPr>
          <w:rStyle w:val="Emphasis"/>
        </w:rPr>
        <w:t xml:space="preserve">will explore </w:t>
      </w:r>
      <w:r w:rsidR="4EFD3740" w:rsidRPr="00AA7DA6">
        <w:rPr>
          <w:rStyle w:val="Emphasis"/>
        </w:rPr>
        <w:t xml:space="preserve">the viability of </w:t>
      </w:r>
      <w:r w:rsidR="16F67F28" w:rsidRPr="00AA7DA6">
        <w:rPr>
          <w:rStyle w:val="Emphasis"/>
        </w:rPr>
        <w:t xml:space="preserve">global norms </w:t>
      </w:r>
      <w:r w:rsidR="7FE9D753" w:rsidRPr="00AA7DA6">
        <w:rPr>
          <w:rStyle w:val="Emphasis"/>
        </w:rPr>
        <w:t>for enabling professions</w:t>
      </w:r>
      <w:r w:rsidR="05BA2632" w:rsidRPr="00AA7DA6">
        <w:rPr>
          <w:rStyle w:val="Emphasis"/>
        </w:rPr>
        <w:t xml:space="preserve"> that </w:t>
      </w:r>
      <w:r w:rsidR="00CF500A">
        <w:rPr>
          <w:rStyle w:val="Emphasis"/>
        </w:rPr>
        <w:t>en</w:t>
      </w:r>
      <w:r w:rsidR="0402A80F" w:rsidRPr="00AA7DA6">
        <w:rPr>
          <w:rStyle w:val="Emphasis"/>
        </w:rPr>
        <w:t>sure they play a more inclusive, accountable and effective role</w:t>
      </w:r>
      <w:r w:rsidR="7FE9D753" w:rsidRPr="00AA7DA6">
        <w:rPr>
          <w:rStyle w:val="Emphasis"/>
        </w:rPr>
        <w:t xml:space="preserve">. </w:t>
      </w:r>
    </w:p>
    <w:p w14:paraId="17E9DCDD" w14:textId="767033C7" w:rsidR="006C7C98" w:rsidRPr="007F4FF4" w:rsidRDefault="006C7C98" w:rsidP="00766718">
      <w:pPr>
        <w:pStyle w:val="Heading2"/>
        <w:numPr>
          <w:ilvl w:val="0"/>
          <w:numId w:val="7"/>
        </w:numPr>
        <w:rPr>
          <w:rFonts w:hint="eastAsia"/>
          <w:u w:val="single"/>
        </w:rPr>
      </w:pPr>
      <w:bookmarkStart w:id="16" w:name="_Toc179920236"/>
      <w:r w:rsidRPr="007F4FF4">
        <w:rPr>
          <w:u w:val="single"/>
        </w:rPr>
        <w:t>Domestic and international private business and finance</w:t>
      </w:r>
      <w:bookmarkEnd w:id="16"/>
    </w:p>
    <w:p w14:paraId="4EBDB9EB" w14:textId="59A98EFC" w:rsidR="006D24F0" w:rsidRDefault="001C54BA" w:rsidP="006D24F0">
      <w:pPr>
        <w:pStyle w:val="Heading3"/>
        <w:rPr>
          <w:rFonts w:hint="eastAsia"/>
        </w:rPr>
      </w:pPr>
      <w:bookmarkStart w:id="17" w:name="_Toc179920237"/>
      <w:r>
        <w:t>Element: Leveraging private capital for the SDGs</w:t>
      </w:r>
      <w:bookmarkEnd w:id="17"/>
    </w:p>
    <w:p w14:paraId="09D2F4D6" w14:textId="3C2E20A0" w:rsidR="006D24F0" w:rsidRDefault="004175BB" w:rsidP="006C7C98">
      <w:r>
        <w:t>Language:</w:t>
      </w:r>
    </w:p>
    <w:p w14:paraId="7E239D49" w14:textId="610B741F" w:rsidR="00D90DA1" w:rsidRDefault="00284045" w:rsidP="006C7C98">
      <w:pPr>
        <w:rPr>
          <w:rStyle w:val="Emphasis"/>
        </w:rPr>
      </w:pPr>
      <w:r>
        <w:rPr>
          <w:rStyle w:val="Emphasis"/>
        </w:rPr>
        <w:t>Accelerating</w:t>
      </w:r>
      <w:r w:rsidR="007179C9" w:rsidRPr="008A03CE">
        <w:rPr>
          <w:rStyle w:val="Emphasis"/>
        </w:rPr>
        <w:t xml:space="preserve"> progress toward the SDGs and Paris Agreement requires </w:t>
      </w:r>
      <w:r w:rsidR="003969D8">
        <w:rPr>
          <w:rStyle w:val="Emphasis"/>
        </w:rPr>
        <w:t xml:space="preserve">scaling </w:t>
      </w:r>
      <w:r w:rsidR="0051630B" w:rsidRPr="008A03CE">
        <w:rPr>
          <w:rStyle w:val="Emphasis"/>
        </w:rPr>
        <w:t>SDG-aligned private investment</w:t>
      </w:r>
      <w:r w:rsidR="007C35CB">
        <w:rPr>
          <w:rStyle w:val="Emphasis"/>
        </w:rPr>
        <w:t xml:space="preserve">, including in crisis </w:t>
      </w:r>
      <w:r w:rsidR="002804A3">
        <w:rPr>
          <w:rStyle w:val="Emphasis"/>
        </w:rPr>
        <w:t>and fragile settings</w:t>
      </w:r>
      <w:r w:rsidR="4609DBA8" w:rsidRPr="274AC55F">
        <w:rPr>
          <w:rStyle w:val="Emphasis"/>
        </w:rPr>
        <w:t>.</w:t>
      </w:r>
      <w:r w:rsidR="0051630B" w:rsidRPr="008A03CE">
        <w:rPr>
          <w:rStyle w:val="Emphasis"/>
        </w:rPr>
        <w:t xml:space="preserve"> </w:t>
      </w:r>
      <w:r w:rsidR="00765003">
        <w:rPr>
          <w:rStyle w:val="Emphasis"/>
        </w:rPr>
        <w:t>It is important</w:t>
      </w:r>
      <w:r w:rsidR="0051630B" w:rsidRPr="008A03CE">
        <w:rPr>
          <w:rStyle w:val="Emphasis"/>
        </w:rPr>
        <w:t xml:space="preserve"> to </w:t>
      </w:r>
      <w:r w:rsidR="00600C35">
        <w:rPr>
          <w:rStyle w:val="Emphasis"/>
        </w:rPr>
        <w:t>improve information on</w:t>
      </w:r>
      <w:r w:rsidR="0051630B" w:rsidRPr="008A03CE">
        <w:rPr>
          <w:rStyle w:val="Emphasis"/>
        </w:rPr>
        <w:t xml:space="preserve"> investment in emerging markets</w:t>
      </w:r>
      <w:r w:rsidR="00FD4AD9">
        <w:rPr>
          <w:rStyle w:val="Emphasis"/>
        </w:rPr>
        <w:t>.</w:t>
      </w:r>
      <w:r w:rsidR="002804A3">
        <w:rPr>
          <w:rStyle w:val="Emphasis"/>
        </w:rPr>
        <w:t xml:space="preserve"> </w:t>
      </w:r>
      <w:r w:rsidR="00377AF2">
        <w:rPr>
          <w:rStyle w:val="Emphasis"/>
        </w:rPr>
        <w:t>W</w:t>
      </w:r>
      <w:r w:rsidR="009F39F6">
        <w:rPr>
          <w:rStyle w:val="Emphasis"/>
        </w:rPr>
        <w:t xml:space="preserve">e commit to </w:t>
      </w:r>
      <w:r w:rsidR="00803F5E">
        <w:rPr>
          <w:rStyle w:val="Emphasis"/>
        </w:rPr>
        <w:t>promoting inclusive and</w:t>
      </w:r>
      <w:r w:rsidR="009F39F6">
        <w:rPr>
          <w:rStyle w:val="Emphasis"/>
        </w:rPr>
        <w:t xml:space="preserve"> i</w:t>
      </w:r>
      <w:r w:rsidR="009F39F6" w:rsidRPr="009F39F6">
        <w:rPr>
          <w:rStyle w:val="Emphasis"/>
        </w:rPr>
        <w:t xml:space="preserve">nnovative financing mechanisms, </w:t>
      </w:r>
      <w:r w:rsidR="009F39F6">
        <w:rPr>
          <w:rStyle w:val="Emphasis"/>
        </w:rPr>
        <w:t>including</w:t>
      </w:r>
      <w:r w:rsidR="009F39F6" w:rsidRPr="009F39F6">
        <w:rPr>
          <w:rStyle w:val="Emphasis"/>
        </w:rPr>
        <w:t xml:space="preserve"> risk-sharing and impact investments.</w:t>
      </w:r>
      <w:r w:rsidR="00377AF2">
        <w:rPr>
          <w:rStyle w:val="EndnoteReference"/>
          <w:i/>
          <w:iCs/>
        </w:rPr>
        <w:endnoteReference w:id="8"/>
      </w:r>
      <w:r w:rsidR="00FD4AD9">
        <w:rPr>
          <w:rStyle w:val="Emphasis"/>
        </w:rPr>
        <w:t xml:space="preserve"> </w:t>
      </w:r>
      <w:r w:rsidR="00CF500A">
        <w:rPr>
          <w:rStyle w:val="Emphasis"/>
        </w:rPr>
        <w:t>W</w:t>
      </w:r>
      <w:r w:rsidR="00FD4AD9">
        <w:rPr>
          <w:rStyle w:val="Emphasis"/>
        </w:rPr>
        <w:t xml:space="preserve">e </w:t>
      </w:r>
      <w:r w:rsidR="00575F15">
        <w:rPr>
          <w:rStyle w:val="Emphasis"/>
        </w:rPr>
        <w:t>will deepen partnerships between the private</w:t>
      </w:r>
      <w:r w:rsidR="00FD4AD9">
        <w:rPr>
          <w:rStyle w:val="Emphasis"/>
        </w:rPr>
        <w:t xml:space="preserve"> sector, </w:t>
      </w:r>
      <w:r w:rsidR="00E031FF">
        <w:rPr>
          <w:rStyle w:val="Emphasis"/>
        </w:rPr>
        <w:t>investors</w:t>
      </w:r>
      <w:r w:rsidR="00FD4AD9">
        <w:rPr>
          <w:rStyle w:val="Emphasis"/>
        </w:rPr>
        <w:t>, policymakers</w:t>
      </w:r>
      <w:r w:rsidR="00EA1DB4">
        <w:rPr>
          <w:rStyle w:val="Emphasis"/>
        </w:rPr>
        <w:t xml:space="preserve">, multilateral and public development banks, and </w:t>
      </w:r>
      <w:r w:rsidR="00FD4AD9">
        <w:rPr>
          <w:rStyle w:val="Emphasis"/>
        </w:rPr>
        <w:t>development institutions</w:t>
      </w:r>
      <w:r w:rsidR="00BC155C" w:rsidRPr="008A03CE">
        <w:rPr>
          <w:rStyle w:val="Emphasis"/>
        </w:rPr>
        <w:t xml:space="preserve">. </w:t>
      </w:r>
      <w:r w:rsidR="7AEBEF8F" w:rsidRPr="274AC55F">
        <w:rPr>
          <w:rStyle w:val="Emphasis"/>
        </w:rPr>
        <w:t xml:space="preserve">We will </w:t>
      </w:r>
      <w:r w:rsidR="00C81E4B">
        <w:rPr>
          <w:rStyle w:val="Emphasis"/>
        </w:rPr>
        <w:t>work</w:t>
      </w:r>
      <w:r w:rsidR="05A70691" w:rsidRPr="274AC55F">
        <w:rPr>
          <w:rStyle w:val="Emphasis"/>
        </w:rPr>
        <w:t xml:space="preserve"> with investors to embed </w:t>
      </w:r>
      <w:r w:rsidR="054735C8" w:rsidRPr="3B919668">
        <w:rPr>
          <w:rStyle w:val="Emphasis"/>
        </w:rPr>
        <w:t>sustainability</w:t>
      </w:r>
      <w:r w:rsidR="05A70691" w:rsidRPr="274AC55F">
        <w:rPr>
          <w:rStyle w:val="Emphasis"/>
        </w:rPr>
        <w:t xml:space="preserve"> at the core of their operations,</w:t>
      </w:r>
      <w:r w:rsidR="00BC155C" w:rsidRPr="008A03CE">
        <w:rPr>
          <w:rStyle w:val="Emphasis"/>
        </w:rPr>
        <w:t xml:space="preserve"> building </w:t>
      </w:r>
      <w:r w:rsidR="00AF28A8" w:rsidRPr="008A03CE">
        <w:rPr>
          <w:rStyle w:val="Emphasis"/>
        </w:rPr>
        <w:t xml:space="preserve">SDG-aligned pipelines, </w:t>
      </w:r>
      <w:r w:rsidR="00807214">
        <w:rPr>
          <w:rStyle w:val="Emphasis"/>
        </w:rPr>
        <w:t xml:space="preserve">investment promotion and facilitation, </w:t>
      </w:r>
      <w:r w:rsidR="009B6A80">
        <w:rPr>
          <w:rStyle w:val="Emphasis"/>
        </w:rPr>
        <w:t xml:space="preserve">de-risking and </w:t>
      </w:r>
      <w:r w:rsidR="00AF28A8" w:rsidRPr="008A03CE">
        <w:rPr>
          <w:rStyle w:val="Emphasis"/>
        </w:rPr>
        <w:t>promot</w:t>
      </w:r>
      <w:r w:rsidR="00BC155C" w:rsidRPr="008A03CE">
        <w:rPr>
          <w:rStyle w:val="Emphasis"/>
        </w:rPr>
        <w:t>ing</w:t>
      </w:r>
      <w:r w:rsidR="00AF28A8" w:rsidRPr="008A03CE">
        <w:rPr>
          <w:rStyle w:val="Emphasis"/>
        </w:rPr>
        <w:t xml:space="preserve"> financing opportunities </w:t>
      </w:r>
      <w:r w:rsidR="00253F2E" w:rsidRPr="008A03CE">
        <w:rPr>
          <w:rStyle w:val="Emphasis"/>
        </w:rPr>
        <w:t>including corporate thematic bond</w:t>
      </w:r>
      <w:r w:rsidR="00CE392D">
        <w:rPr>
          <w:rStyle w:val="Emphasis"/>
        </w:rPr>
        <w:t>s</w:t>
      </w:r>
      <w:r w:rsidR="00BC155C" w:rsidRPr="008A03CE">
        <w:rPr>
          <w:rStyle w:val="Emphasis"/>
        </w:rPr>
        <w:t xml:space="preserve">, with the support </w:t>
      </w:r>
      <w:r w:rsidR="008A03CE" w:rsidRPr="008A03CE">
        <w:rPr>
          <w:rStyle w:val="Emphasis"/>
        </w:rPr>
        <w:t>of data-driven technical assistance.</w:t>
      </w:r>
    </w:p>
    <w:p w14:paraId="7A44F563" w14:textId="746B5BE7" w:rsidR="00BF6DAE" w:rsidRDefault="004175BB" w:rsidP="00BF6DAE">
      <w:pPr>
        <w:rPr>
          <w:rStyle w:val="Emphasis"/>
          <w:i w:val="0"/>
          <w:iCs w:val="0"/>
        </w:rPr>
      </w:pPr>
      <w:r>
        <w:rPr>
          <w:rStyle w:val="Emphasis"/>
          <w:i w:val="0"/>
          <w:iCs w:val="0"/>
        </w:rPr>
        <w:t>Target</w:t>
      </w:r>
      <w:r w:rsidR="001C7AA7">
        <w:rPr>
          <w:rStyle w:val="Emphasis"/>
          <w:i w:val="0"/>
          <w:iCs w:val="0"/>
        </w:rPr>
        <w:t>:</w:t>
      </w:r>
    </w:p>
    <w:p w14:paraId="638DD4BC" w14:textId="449FEACB" w:rsidR="009237E0" w:rsidRDefault="009237E0" w:rsidP="00DA5A6C">
      <w:pPr>
        <w:numPr>
          <w:ilvl w:val="0"/>
          <w:numId w:val="5"/>
        </w:numPr>
        <w:tabs>
          <w:tab w:val="num" w:pos="720"/>
        </w:tabs>
      </w:pPr>
      <w:r>
        <w:t xml:space="preserve">Net capital </w:t>
      </w:r>
      <w:r w:rsidR="004B136D">
        <w:t xml:space="preserve">private </w:t>
      </w:r>
      <w:r>
        <w:t xml:space="preserve">inflows </w:t>
      </w:r>
      <w:r w:rsidR="00C54FF3">
        <w:t>to developing countries are sustained at over x</w:t>
      </w:r>
      <w:r w:rsidR="00902384">
        <w:t>x</w:t>
      </w:r>
      <w:r w:rsidR="00C54FF3">
        <w:t>% GDP</w:t>
      </w:r>
    </w:p>
    <w:p w14:paraId="15E62143" w14:textId="29B73AF7" w:rsidR="001C54BA" w:rsidRDefault="00FC3232" w:rsidP="00FC3232">
      <w:pPr>
        <w:pStyle w:val="Heading3"/>
        <w:rPr>
          <w:rFonts w:hint="eastAsia"/>
        </w:rPr>
      </w:pPr>
      <w:bookmarkStart w:id="18" w:name="_Toc179920238"/>
      <w:r w:rsidRPr="00B63D49">
        <w:t>Element: SDG finance taxonomies</w:t>
      </w:r>
      <w:bookmarkEnd w:id="18"/>
    </w:p>
    <w:p w14:paraId="4506B852" w14:textId="1A292895" w:rsidR="00D87A04" w:rsidRDefault="004175BB" w:rsidP="003C1143">
      <w:pPr>
        <w:tabs>
          <w:tab w:val="left" w:pos="7090"/>
        </w:tabs>
      </w:pPr>
      <w:r>
        <w:t>Language:</w:t>
      </w:r>
      <w:r w:rsidR="003C1143">
        <w:tab/>
      </w:r>
    </w:p>
    <w:p w14:paraId="177407CC" w14:textId="7DA7AF97" w:rsidR="004B5EAC" w:rsidRPr="00837A7D" w:rsidRDefault="00243AE8" w:rsidP="00FC3232">
      <w:pPr>
        <w:rPr>
          <w:rStyle w:val="Emphasis"/>
        </w:rPr>
      </w:pPr>
      <w:r w:rsidRPr="00837A7D">
        <w:rPr>
          <w:rStyle w:val="Emphasis"/>
        </w:rPr>
        <w:t xml:space="preserve">Clear definitions about what constitutes sustainable </w:t>
      </w:r>
      <w:r w:rsidR="003C4804" w:rsidRPr="00837A7D">
        <w:rPr>
          <w:rStyle w:val="Emphasis"/>
        </w:rPr>
        <w:t xml:space="preserve">finance </w:t>
      </w:r>
      <w:r w:rsidRPr="00837A7D">
        <w:rPr>
          <w:rStyle w:val="Emphasis"/>
        </w:rPr>
        <w:t>are essential for sustainable markets and econo</w:t>
      </w:r>
      <w:r w:rsidR="00265B0F" w:rsidRPr="00837A7D">
        <w:rPr>
          <w:rStyle w:val="Emphasis"/>
        </w:rPr>
        <w:t xml:space="preserve">mies. </w:t>
      </w:r>
      <w:r w:rsidR="0016440D" w:rsidRPr="00837A7D">
        <w:rPr>
          <w:rStyle w:val="Emphasis"/>
        </w:rPr>
        <w:t xml:space="preserve">We encourage continued uptake </w:t>
      </w:r>
      <w:r w:rsidR="005C4FFD" w:rsidRPr="00837A7D">
        <w:rPr>
          <w:rStyle w:val="Emphasis"/>
        </w:rPr>
        <w:t>of</w:t>
      </w:r>
      <w:r w:rsidR="0016440D" w:rsidRPr="00837A7D">
        <w:rPr>
          <w:rStyle w:val="Emphasis"/>
        </w:rPr>
        <w:t xml:space="preserve"> sovereign-led</w:t>
      </w:r>
      <w:r w:rsidR="005633F4" w:rsidRPr="00837A7D">
        <w:rPr>
          <w:rStyle w:val="Emphasis"/>
        </w:rPr>
        <w:t xml:space="preserve"> </w:t>
      </w:r>
      <w:r w:rsidR="003E4399" w:rsidRPr="00837A7D">
        <w:rPr>
          <w:rStyle w:val="Emphasis"/>
        </w:rPr>
        <w:t xml:space="preserve">sustainable finance </w:t>
      </w:r>
      <w:r w:rsidR="005633F4" w:rsidRPr="00837A7D">
        <w:rPr>
          <w:rStyle w:val="Emphasis"/>
        </w:rPr>
        <w:t>taxonomies</w:t>
      </w:r>
      <w:r w:rsidR="005C4FFD" w:rsidRPr="00837A7D">
        <w:rPr>
          <w:rStyle w:val="Emphasis"/>
        </w:rPr>
        <w:t xml:space="preserve"> that</w:t>
      </w:r>
      <w:r w:rsidR="007E68DD">
        <w:rPr>
          <w:rStyle w:val="Emphasis"/>
        </w:rPr>
        <w:t xml:space="preserve"> are</w:t>
      </w:r>
      <w:r w:rsidR="005C4FFD" w:rsidRPr="00837A7D">
        <w:rPr>
          <w:rStyle w:val="Emphasis"/>
        </w:rPr>
        <w:t xml:space="preserve"> </w:t>
      </w:r>
      <w:r w:rsidR="74A98B96" w:rsidRPr="0AD7AC5E">
        <w:rPr>
          <w:rStyle w:val="Emphasis"/>
        </w:rPr>
        <w:t>globally</w:t>
      </w:r>
      <w:r w:rsidR="3E77F291" w:rsidRPr="0AD7AC5E">
        <w:rPr>
          <w:rStyle w:val="Emphasis"/>
        </w:rPr>
        <w:t xml:space="preserve"> comparable and</w:t>
      </w:r>
      <w:r w:rsidR="74A98B96" w:rsidRPr="0AD7AC5E">
        <w:rPr>
          <w:rStyle w:val="Emphasis"/>
        </w:rPr>
        <w:t xml:space="preserve"> </w:t>
      </w:r>
      <w:r w:rsidR="005C4FFD" w:rsidRPr="00837A7D">
        <w:rPr>
          <w:rStyle w:val="Emphasis"/>
        </w:rPr>
        <w:t xml:space="preserve">interoperable </w:t>
      </w:r>
      <w:r w:rsidR="209BAC02" w:rsidRPr="0AD7AC5E">
        <w:rPr>
          <w:rStyle w:val="Emphasis"/>
        </w:rPr>
        <w:t xml:space="preserve">to </w:t>
      </w:r>
      <w:r w:rsidR="00C7420E" w:rsidRPr="00837A7D">
        <w:rPr>
          <w:rStyle w:val="Emphasis"/>
        </w:rPr>
        <w:t xml:space="preserve">enable greater access to </w:t>
      </w:r>
      <w:r w:rsidR="005C4FFD" w:rsidRPr="00837A7D">
        <w:rPr>
          <w:rStyle w:val="Emphasis"/>
        </w:rPr>
        <w:t>global markets</w:t>
      </w:r>
      <w:r w:rsidR="00C7420E" w:rsidRPr="00837A7D">
        <w:rPr>
          <w:rStyle w:val="Emphasis"/>
        </w:rPr>
        <w:t xml:space="preserve">. </w:t>
      </w:r>
      <w:r w:rsidR="003C4804" w:rsidRPr="00837A7D">
        <w:rPr>
          <w:rStyle w:val="Emphasis"/>
        </w:rPr>
        <w:t xml:space="preserve">We encourage continued development of policy incentives that build on sovereign taxonomies to strengthen sustainable </w:t>
      </w:r>
      <w:r w:rsidR="00B63D49" w:rsidRPr="00837A7D">
        <w:rPr>
          <w:rStyle w:val="Emphasis"/>
        </w:rPr>
        <w:t>investment</w:t>
      </w:r>
      <w:r w:rsidR="00A12672" w:rsidRPr="00837A7D">
        <w:rPr>
          <w:rStyle w:val="Emphasis"/>
        </w:rPr>
        <w:t xml:space="preserve"> within national financing frameworks. We </w:t>
      </w:r>
      <w:r w:rsidR="004821FF">
        <w:rPr>
          <w:rStyle w:val="Emphasis"/>
        </w:rPr>
        <w:t xml:space="preserve">will strengthen </w:t>
      </w:r>
      <w:r w:rsidR="00A12672" w:rsidRPr="00837A7D">
        <w:rPr>
          <w:rStyle w:val="Emphasis"/>
        </w:rPr>
        <w:t xml:space="preserve">capacity for </w:t>
      </w:r>
      <w:r w:rsidR="28DB31A7" w:rsidRPr="0AD7AC5E">
        <w:rPr>
          <w:rStyle w:val="Emphasis"/>
        </w:rPr>
        <w:t xml:space="preserve">sustainable </w:t>
      </w:r>
      <w:r w:rsidR="00A12672" w:rsidRPr="0AD7AC5E">
        <w:rPr>
          <w:rStyle w:val="Emphasis"/>
        </w:rPr>
        <w:t xml:space="preserve">finance </w:t>
      </w:r>
      <w:r w:rsidR="00B63D49" w:rsidRPr="0AD7AC5E">
        <w:rPr>
          <w:rStyle w:val="Emphasis"/>
        </w:rPr>
        <w:t>taxonomies.</w:t>
      </w:r>
    </w:p>
    <w:p w14:paraId="4B8A0185" w14:textId="2640355D" w:rsidR="00837A7D" w:rsidRDefault="004175BB" w:rsidP="00FC3232">
      <w:r>
        <w:t>Target</w:t>
      </w:r>
      <w:r w:rsidR="00837A7D">
        <w:t>:</w:t>
      </w:r>
    </w:p>
    <w:p w14:paraId="75895194" w14:textId="77777777" w:rsidR="00CB73A0" w:rsidRDefault="00CB73A0" w:rsidP="00CB73A0">
      <w:pPr>
        <w:numPr>
          <w:ilvl w:val="0"/>
          <w:numId w:val="5"/>
        </w:numPr>
        <w:tabs>
          <w:tab w:val="num" w:pos="720"/>
        </w:tabs>
      </w:pPr>
      <w:r>
        <w:t xml:space="preserve">Uptake of sovereign-led globally comparable and interoperable </w:t>
      </w:r>
      <w:r w:rsidRPr="000C4015">
        <w:rPr>
          <w:b/>
          <w:bCs/>
        </w:rPr>
        <w:t>sustainable finance taxonomies</w:t>
      </w:r>
      <w:r>
        <w:t xml:space="preserve">, </w:t>
      </w:r>
      <w:r w:rsidRPr="000C4015">
        <w:rPr>
          <w:b/>
          <w:bCs/>
        </w:rPr>
        <w:t>aligning $500 billion</w:t>
      </w:r>
      <w:r>
        <w:t xml:space="preserve"> by 2030.</w:t>
      </w:r>
    </w:p>
    <w:p w14:paraId="35E39867" w14:textId="2438EF97" w:rsidR="00FC3232" w:rsidRDefault="00FC3232" w:rsidP="00FC3232">
      <w:pPr>
        <w:pStyle w:val="Heading3"/>
        <w:rPr>
          <w:rFonts w:hint="eastAsia"/>
        </w:rPr>
      </w:pPr>
      <w:bookmarkStart w:id="19" w:name="_Toc179920239"/>
      <w:r>
        <w:t xml:space="preserve">Element: </w:t>
      </w:r>
      <w:r w:rsidR="00766718">
        <w:t xml:space="preserve">Sustainability </w:t>
      </w:r>
      <w:r w:rsidR="008C280D">
        <w:t xml:space="preserve">Standards, </w:t>
      </w:r>
      <w:r w:rsidR="00766718">
        <w:t>Financial</w:t>
      </w:r>
      <w:r>
        <w:t xml:space="preserve"> </w:t>
      </w:r>
      <w:r w:rsidR="00766718">
        <w:t>D</w:t>
      </w:r>
      <w:r>
        <w:t>isclosure</w:t>
      </w:r>
      <w:r w:rsidR="00766718">
        <w:t>, corporate reporting requirements</w:t>
      </w:r>
      <w:r w:rsidR="008C280D">
        <w:t xml:space="preserve"> and i</w:t>
      </w:r>
      <w:r w:rsidR="00914F97">
        <w:t>mpact management and measurement</w:t>
      </w:r>
      <w:bookmarkEnd w:id="19"/>
    </w:p>
    <w:p w14:paraId="1D3BD304" w14:textId="676317C1" w:rsidR="00914F97" w:rsidRDefault="004175BB" w:rsidP="00914F97">
      <w:r>
        <w:t>Language:</w:t>
      </w:r>
    </w:p>
    <w:p w14:paraId="0CD8F143" w14:textId="3051E028" w:rsidR="008C280D" w:rsidRDefault="003C1DA0" w:rsidP="00914F97">
      <w:pPr>
        <w:rPr>
          <w:rStyle w:val="Emphasis"/>
        </w:rPr>
      </w:pPr>
      <w:r>
        <w:rPr>
          <w:rStyle w:val="Emphasis"/>
        </w:rPr>
        <w:lastRenderedPageBreak/>
        <w:t>I</w:t>
      </w:r>
      <w:r w:rsidR="00DD3C4D" w:rsidRPr="76859559">
        <w:rPr>
          <w:rStyle w:val="Emphasis"/>
        </w:rPr>
        <w:t xml:space="preserve">nvestment </w:t>
      </w:r>
      <w:r>
        <w:rPr>
          <w:rStyle w:val="Emphasis"/>
        </w:rPr>
        <w:t xml:space="preserve">should </w:t>
      </w:r>
      <w:r w:rsidR="00DD3C4D" w:rsidRPr="76859559">
        <w:rPr>
          <w:rStyle w:val="Emphasis"/>
        </w:rPr>
        <w:t xml:space="preserve">generate positive social and environmental impacts </w:t>
      </w:r>
      <w:r w:rsidR="00E75A30" w:rsidRPr="76859559">
        <w:rPr>
          <w:rStyle w:val="Emphasis"/>
        </w:rPr>
        <w:t>for NDCs and the SDGs</w:t>
      </w:r>
      <w:r w:rsidR="00D6067F" w:rsidRPr="76859559">
        <w:rPr>
          <w:rStyle w:val="Emphasis"/>
        </w:rPr>
        <w:t>, contributing to transition plans</w:t>
      </w:r>
      <w:r w:rsidR="00E75A30" w:rsidRPr="76859559">
        <w:rPr>
          <w:rStyle w:val="Emphasis"/>
        </w:rPr>
        <w:t xml:space="preserve"> </w:t>
      </w:r>
      <w:r w:rsidR="00DD3C4D" w:rsidRPr="76859559">
        <w:rPr>
          <w:rStyle w:val="Emphasis"/>
        </w:rPr>
        <w:t xml:space="preserve">while yielding financial returns. </w:t>
      </w:r>
      <w:r w:rsidR="00A448E4">
        <w:rPr>
          <w:rStyle w:val="Emphasis"/>
        </w:rPr>
        <w:t>A</w:t>
      </w:r>
      <w:r w:rsidR="006C6ACF" w:rsidRPr="76859559">
        <w:rPr>
          <w:rStyle w:val="Emphasis"/>
        </w:rPr>
        <w:t xml:space="preserve">ll aspects of the private investment </w:t>
      </w:r>
      <w:r w:rsidR="009B5C11" w:rsidRPr="76859559">
        <w:rPr>
          <w:rStyle w:val="Emphasis"/>
        </w:rPr>
        <w:t xml:space="preserve">and financial </w:t>
      </w:r>
      <w:r w:rsidR="006C6ACF" w:rsidRPr="2EB51DFA">
        <w:rPr>
          <w:rStyle w:val="Emphasis"/>
        </w:rPr>
        <w:t>ecosystem</w:t>
      </w:r>
      <w:r w:rsidR="00A448E4">
        <w:rPr>
          <w:rStyle w:val="Emphasis"/>
        </w:rPr>
        <w:t xml:space="preserve"> must be strengthened</w:t>
      </w:r>
      <w:r w:rsidR="6F8B7AFA" w:rsidRPr="2EB51DFA">
        <w:rPr>
          <w:rStyle w:val="Emphasis"/>
        </w:rPr>
        <w:t>,</w:t>
      </w:r>
      <w:r w:rsidR="00766718" w:rsidRPr="76859559">
        <w:rPr>
          <w:rStyle w:val="Emphasis"/>
        </w:rPr>
        <w:t xml:space="preserve"> </w:t>
      </w:r>
      <w:r w:rsidR="00532D59">
        <w:rPr>
          <w:rStyle w:val="Emphasis"/>
        </w:rPr>
        <w:t>including appropriate levels of regulation</w:t>
      </w:r>
      <w:r w:rsidR="3D88A057" w:rsidRPr="4B30CA30">
        <w:rPr>
          <w:rStyle w:val="Emphasis"/>
        </w:rPr>
        <w:t>,</w:t>
      </w:r>
      <w:r w:rsidR="00532D59">
        <w:rPr>
          <w:rStyle w:val="Emphasis"/>
        </w:rPr>
        <w:t xml:space="preserve"> </w:t>
      </w:r>
      <w:r w:rsidR="04554166" w:rsidRPr="52F806AE">
        <w:rPr>
          <w:rStyle w:val="Emphasis"/>
        </w:rPr>
        <w:t>moving</w:t>
      </w:r>
      <w:r w:rsidR="00584B49" w:rsidRPr="76859559">
        <w:rPr>
          <w:rStyle w:val="Emphasis"/>
        </w:rPr>
        <w:t xml:space="preserve"> beyond ESG </w:t>
      </w:r>
      <w:r w:rsidR="661847F9" w:rsidRPr="22EFF3BA">
        <w:rPr>
          <w:rStyle w:val="Emphasis"/>
        </w:rPr>
        <w:t xml:space="preserve">factors </w:t>
      </w:r>
      <w:r w:rsidR="00584B49" w:rsidRPr="22EFF3BA">
        <w:rPr>
          <w:rStyle w:val="Emphasis"/>
        </w:rPr>
        <w:t>alone</w:t>
      </w:r>
      <w:r w:rsidR="00584B49" w:rsidRPr="76859559">
        <w:rPr>
          <w:rStyle w:val="Emphasis"/>
        </w:rPr>
        <w:t xml:space="preserve"> to </w:t>
      </w:r>
      <w:r w:rsidR="58C3483A" w:rsidRPr="25DA57F6">
        <w:rPr>
          <w:rStyle w:val="Emphasis"/>
        </w:rPr>
        <w:t>comprehensive</w:t>
      </w:r>
      <w:r w:rsidR="00584B49" w:rsidRPr="0751041A">
        <w:rPr>
          <w:rStyle w:val="Emphasis"/>
        </w:rPr>
        <w:t xml:space="preserve"> </w:t>
      </w:r>
      <w:r w:rsidR="4FCEE340" w:rsidRPr="76859559">
        <w:rPr>
          <w:rStyle w:val="Emphasis"/>
        </w:rPr>
        <w:t xml:space="preserve">risk and </w:t>
      </w:r>
      <w:r w:rsidR="00584B49" w:rsidRPr="76859559">
        <w:rPr>
          <w:rStyle w:val="Emphasis"/>
        </w:rPr>
        <w:t xml:space="preserve">impact </w:t>
      </w:r>
      <w:r w:rsidR="5D0959AC" w:rsidRPr="76859559">
        <w:rPr>
          <w:rStyle w:val="Emphasis"/>
        </w:rPr>
        <w:t>management</w:t>
      </w:r>
      <w:r w:rsidR="002F6EB9">
        <w:rPr>
          <w:rStyle w:val="Emphasis"/>
        </w:rPr>
        <w:t>,</w:t>
      </w:r>
      <w:r w:rsidR="5D0959AC" w:rsidRPr="76859559">
        <w:rPr>
          <w:rStyle w:val="Emphasis"/>
        </w:rPr>
        <w:t xml:space="preserve"> </w:t>
      </w:r>
      <w:r w:rsidR="5E2B642D" w:rsidRPr="54B83B61">
        <w:rPr>
          <w:rStyle w:val="Emphasis"/>
        </w:rPr>
        <w:t>adopting</w:t>
      </w:r>
      <w:r w:rsidR="5D0959AC" w:rsidRPr="449F8AE5">
        <w:rPr>
          <w:rStyle w:val="Emphasis"/>
        </w:rPr>
        <w:t xml:space="preserve"> </w:t>
      </w:r>
      <w:r w:rsidR="7EE81D75" w:rsidRPr="76859559">
        <w:rPr>
          <w:rStyle w:val="Emphasis"/>
        </w:rPr>
        <w:t>SDG-</w:t>
      </w:r>
      <w:r w:rsidR="36E821DE" w:rsidRPr="7E8FD44A">
        <w:rPr>
          <w:rStyle w:val="Emphasis"/>
        </w:rPr>
        <w:t>aligned</w:t>
      </w:r>
      <w:r w:rsidR="00584B49" w:rsidRPr="76859559">
        <w:rPr>
          <w:rStyle w:val="Emphasis"/>
        </w:rPr>
        <w:t xml:space="preserve"> approach</w:t>
      </w:r>
      <w:r w:rsidR="002F6EB9">
        <w:rPr>
          <w:rStyle w:val="Emphasis"/>
        </w:rPr>
        <w:t>es</w:t>
      </w:r>
      <w:r w:rsidR="00584B49" w:rsidRPr="76859559">
        <w:rPr>
          <w:rStyle w:val="Emphasis"/>
        </w:rPr>
        <w:t xml:space="preserve">. </w:t>
      </w:r>
      <w:r w:rsidR="00766718" w:rsidRPr="76859559">
        <w:rPr>
          <w:rStyle w:val="Emphasis"/>
        </w:rPr>
        <w:t xml:space="preserve">Financial disclosure related to sustainability risks and opportunities is critical </w:t>
      </w:r>
      <w:r w:rsidR="0023415B">
        <w:rPr>
          <w:rStyle w:val="Emphasis"/>
        </w:rPr>
        <w:t>for</w:t>
      </w:r>
      <w:r w:rsidR="00766718" w:rsidRPr="76859559">
        <w:rPr>
          <w:rStyle w:val="Emphasis"/>
        </w:rPr>
        <w:t xml:space="preserve"> a financial system that works for people and planet. </w:t>
      </w:r>
      <w:r w:rsidR="00CA4AB9" w:rsidRPr="76859559">
        <w:rPr>
          <w:rStyle w:val="Emphasis"/>
        </w:rPr>
        <w:t xml:space="preserve">We take note of the ongoing work of </w:t>
      </w:r>
      <w:r w:rsidR="00C8095C" w:rsidRPr="76859559">
        <w:rPr>
          <w:rStyle w:val="Emphasis"/>
        </w:rPr>
        <w:t xml:space="preserve">ISSB, </w:t>
      </w:r>
      <w:r w:rsidR="2A3050ED" w:rsidRPr="76859559">
        <w:rPr>
          <w:rStyle w:val="Emphasis"/>
        </w:rPr>
        <w:t xml:space="preserve">the </w:t>
      </w:r>
      <w:r w:rsidR="00CA4AB9" w:rsidRPr="76859559">
        <w:rPr>
          <w:rStyle w:val="Emphasis"/>
        </w:rPr>
        <w:t xml:space="preserve">Taskforce </w:t>
      </w:r>
      <w:r w:rsidR="00486B0C" w:rsidRPr="76859559">
        <w:rPr>
          <w:rStyle w:val="Emphasis"/>
        </w:rPr>
        <w:t>on nature-related financial disclosures</w:t>
      </w:r>
      <w:r w:rsidR="000B320B" w:rsidRPr="76859559">
        <w:rPr>
          <w:rStyle w:val="Emphasis"/>
        </w:rPr>
        <w:t xml:space="preserve"> and the Taskforce on inequality and social-related financial disclosures</w:t>
      </w:r>
      <w:r w:rsidR="007F4FF4" w:rsidRPr="76859559">
        <w:rPr>
          <w:rStyle w:val="Emphasis"/>
        </w:rPr>
        <w:t xml:space="preserve"> in </w:t>
      </w:r>
      <w:r w:rsidR="2B96B3E5" w:rsidRPr="76859559">
        <w:rPr>
          <w:rStyle w:val="Emphasis"/>
        </w:rPr>
        <w:t>enhancing understanding and providing tools for market actors to ident</w:t>
      </w:r>
      <w:r w:rsidR="1E039E74" w:rsidRPr="76859559">
        <w:rPr>
          <w:rStyle w:val="Emphasis"/>
        </w:rPr>
        <w:t>ify, assess, manage and report on sustainability-related impacts, risks and opportunities</w:t>
      </w:r>
      <w:r w:rsidR="000B320B" w:rsidRPr="76859559">
        <w:rPr>
          <w:rStyle w:val="Emphasis"/>
        </w:rPr>
        <w:t xml:space="preserve">. </w:t>
      </w:r>
      <w:r w:rsidR="00F52995" w:rsidRPr="76859559">
        <w:rPr>
          <w:rStyle w:val="Emphasis"/>
        </w:rPr>
        <w:t xml:space="preserve">We will deepen partnerships </w:t>
      </w:r>
      <w:r w:rsidR="00F31001" w:rsidRPr="76859559">
        <w:rPr>
          <w:rStyle w:val="Emphasis"/>
        </w:rPr>
        <w:t>between standard</w:t>
      </w:r>
      <w:r w:rsidR="00090418">
        <w:rPr>
          <w:rStyle w:val="Emphasis"/>
        </w:rPr>
        <w:t>-</w:t>
      </w:r>
      <w:r w:rsidR="00F31001" w:rsidRPr="76859559">
        <w:rPr>
          <w:rStyle w:val="Emphasis"/>
        </w:rPr>
        <w:t>setting bodies and development actors and welcome ongoing initiatives</w:t>
      </w:r>
      <w:r w:rsidR="00041665" w:rsidRPr="76859559">
        <w:rPr>
          <w:rStyle w:val="Emphasis"/>
        </w:rPr>
        <w:t xml:space="preserve"> </w:t>
      </w:r>
      <w:r w:rsidR="003F71C1" w:rsidRPr="76859559">
        <w:rPr>
          <w:rStyle w:val="Emphasis"/>
        </w:rPr>
        <w:t xml:space="preserve">to </w:t>
      </w:r>
      <w:r w:rsidR="00BA39E5" w:rsidRPr="76859559">
        <w:rPr>
          <w:rStyle w:val="Emphasis"/>
        </w:rPr>
        <w:t xml:space="preserve">strengthen SDG impact standards for </w:t>
      </w:r>
      <w:r w:rsidR="2958B52F" w:rsidRPr="13FBBB4B">
        <w:rPr>
          <w:rStyle w:val="Emphasis"/>
        </w:rPr>
        <w:t xml:space="preserve">impact </w:t>
      </w:r>
      <w:r w:rsidR="00BA39E5" w:rsidRPr="13FBBB4B">
        <w:rPr>
          <w:rStyle w:val="Emphasis"/>
        </w:rPr>
        <w:t>management</w:t>
      </w:r>
      <w:r w:rsidR="00BA39E5" w:rsidRPr="76859559">
        <w:rPr>
          <w:rStyle w:val="Emphasis"/>
        </w:rPr>
        <w:t xml:space="preserve"> systems</w:t>
      </w:r>
      <w:r w:rsidR="00E77F05" w:rsidRPr="76859559">
        <w:rPr>
          <w:rStyle w:val="Emphasis"/>
        </w:rPr>
        <w:t>, which complement disclosure standards</w:t>
      </w:r>
      <w:r w:rsidR="00BA39E5" w:rsidRPr="76859559">
        <w:rPr>
          <w:rStyle w:val="Emphasis"/>
        </w:rPr>
        <w:t>, including</w:t>
      </w:r>
      <w:r w:rsidR="00620236" w:rsidRPr="76859559">
        <w:rPr>
          <w:rStyle w:val="Emphasis"/>
        </w:rPr>
        <w:t xml:space="preserve"> the ISO/UNDP Guidelines for contributing to the UN Sustainable Development Goals</w:t>
      </w:r>
      <w:r w:rsidR="006E7676" w:rsidRPr="76859559">
        <w:rPr>
          <w:rStyle w:val="Emphasis"/>
        </w:rPr>
        <w:t>.</w:t>
      </w:r>
      <w:r w:rsidR="00766718" w:rsidRPr="76859559">
        <w:rPr>
          <w:rStyle w:val="Emphasis"/>
        </w:rPr>
        <w:t xml:space="preserve"> We will ensure standards, disclosure and corporate reporting requirements, as well as sustainable finance taxonomies and related regulation, do not </w:t>
      </w:r>
      <w:r w:rsidR="004C7C9E">
        <w:rPr>
          <w:rStyle w:val="Emphasis"/>
        </w:rPr>
        <w:t>constrain</w:t>
      </w:r>
      <w:r w:rsidR="00766718" w:rsidRPr="76859559">
        <w:rPr>
          <w:rStyle w:val="Emphasis"/>
        </w:rPr>
        <w:t xml:space="preserve"> developing countries</w:t>
      </w:r>
      <w:r w:rsidR="004C7C9E">
        <w:rPr>
          <w:rStyle w:val="Emphasis"/>
        </w:rPr>
        <w:t>’</w:t>
      </w:r>
      <w:r w:rsidR="00766718" w:rsidRPr="76859559">
        <w:rPr>
          <w:rStyle w:val="Emphasis"/>
        </w:rPr>
        <w:t xml:space="preserve"> access </w:t>
      </w:r>
      <w:r w:rsidR="004C7C9E">
        <w:rPr>
          <w:rStyle w:val="Emphasis"/>
        </w:rPr>
        <w:t xml:space="preserve">to </w:t>
      </w:r>
      <w:r w:rsidR="00766718" w:rsidRPr="76859559">
        <w:rPr>
          <w:rStyle w:val="Emphasis"/>
        </w:rPr>
        <w:t xml:space="preserve">international capital markets and that all stakeholders have access to adequate capacity development.  </w:t>
      </w:r>
    </w:p>
    <w:p w14:paraId="037D368E" w14:textId="2BE2511D" w:rsidR="00837A7D" w:rsidRDefault="004175BB" w:rsidP="00837A7D">
      <w:pPr>
        <w:rPr>
          <w:rStyle w:val="Emphasis"/>
          <w:i w:val="0"/>
          <w:iCs w:val="0"/>
        </w:rPr>
      </w:pPr>
      <w:r>
        <w:rPr>
          <w:rStyle w:val="Emphasis"/>
          <w:i w:val="0"/>
          <w:iCs w:val="0"/>
        </w:rPr>
        <w:t>Target</w:t>
      </w:r>
      <w:r w:rsidR="00837A7D">
        <w:rPr>
          <w:rStyle w:val="Emphasis"/>
          <w:i w:val="0"/>
          <w:iCs w:val="0"/>
        </w:rPr>
        <w:t>s:</w:t>
      </w:r>
    </w:p>
    <w:p w14:paraId="0A985D49" w14:textId="77777777" w:rsidR="0043055D" w:rsidRPr="00FF22BA" w:rsidRDefault="0043055D" w:rsidP="0043055D">
      <w:pPr>
        <w:pStyle w:val="ListParagraph"/>
        <w:numPr>
          <w:ilvl w:val="0"/>
          <w:numId w:val="5"/>
        </w:numPr>
      </w:pPr>
      <w:r w:rsidRPr="00FF22BA">
        <w:t xml:space="preserve">Uptake of </w:t>
      </w:r>
      <w:r w:rsidRPr="00FF22BA">
        <w:rPr>
          <w:b/>
          <w:bCs/>
        </w:rPr>
        <w:t>sustainability policy and regulation in 100 economies and 100 major financial institutions</w:t>
      </w:r>
      <w:r w:rsidRPr="00FF22BA">
        <w:t xml:space="preserve">, aligning </w:t>
      </w:r>
      <w:r w:rsidRPr="00FF22BA">
        <w:rPr>
          <w:b/>
          <w:bCs/>
        </w:rPr>
        <w:t>$2 trillion</w:t>
      </w:r>
      <w:r w:rsidRPr="00FF22BA">
        <w:t xml:space="preserve"> capital annually.</w:t>
      </w:r>
    </w:p>
    <w:p w14:paraId="1940257B" w14:textId="5F3BF113" w:rsidR="00837A7D" w:rsidRDefault="00837A7D">
      <w:pPr>
        <w:numPr>
          <w:ilvl w:val="0"/>
          <w:numId w:val="5"/>
        </w:numPr>
        <w:tabs>
          <w:tab w:val="num" w:pos="720"/>
        </w:tabs>
      </w:pPr>
      <w:r w:rsidRPr="00837A7D">
        <w:rPr>
          <w:b/>
          <w:bCs/>
        </w:rPr>
        <w:t>Corporate sustainability disclosure and reporting</w:t>
      </w:r>
      <w:r w:rsidRPr="00C420B1">
        <w:t xml:space="preserve"> by firms with a combined market capitalization of </w:t>
      </w:r>
      <w:r w:rsidRPr="00837A7D">
        <w:rPr>
          <w:b/>
          <w:bCs/>
        </w:rPr>
        <w:t>$50 trillion</w:t>
      </w:r>
      <w:r w:rsidRPr="00C420B1">
        <w:t xml:space="preserve"> by 2030</w:t>
      </w:r>
      <w:r w:rsidR="00BF42A4">
        <w:rPr>
          <w:rStyle w:val="EndnoteReference"/>
        </w:rPr>
        <w:endnoteReference w:id="9"/>
      </w:r>
    </w:p>
    <w:p w14:paraId="2FBDAF5D" w14:textId="2FE87F2F" w:rsidR="0AD7AC5E" w:rsidRPr="00F633C3" w:rsidRDefault="00837A7D" w:rsidP="00F633C3">
      <w:pPr>
        <w:numPr>
          <w:ilvl w:val="0"/>
          <w:numId w:val="5"/>
        </w:numPr>
        <w:tabs>
          <w:tab w:val="num" w:pos="720"/>
        </w:tabs>
        <w:rPr>
          <w:rStyle w:val="Emphasis"/>
          <w:i w:val="0"/>
          <w:iCs w:val="0"/>
        </w:rPr>
      </w:pPr>
      <w:r w:rsidRPr="00C420B1">
        <w:t xml:space="preserve">Adoption of </w:t>
      </w:r>
      <w:r w:rsidRPr="00837A7D">
        <w:rPr>
          <w:b/>
          <w:bCs/>
        </w:rPr>
        <w:t>impact management and measurement</w:t>
      </w:r>
      <w:r w:rsidRPr="00C420B1">
        <w:t xml:space="preserve"> practices</w:t>
      </w:r>
      <w:r w:rsidR="764A38AF">
        <w:t>, and ISO/UNDP Guidelines (and upcoming Management system Standards)</w:t>
      </w:r>
      <w:r w:rsidRPr="00C420B1">
        <w:t xml:space="preserve"> by firms with a combined market capitalization of </w:t>
      </w:r>
      <w:r w:rsidRPr="00837A7D">
        <w:rPr>
          <w:b/>
          <w:bCs/>
        </w:rPr>
        <w:t>$10 trillion</w:t>
      </w:r>
      <w:r w:rsidRPr="00C420B1">
        <w:t xml:space="preserve"> by 2030.</w:t>
      </w:r>
    </w:p>
    <w:p w14:paraId="2B9B458C" w14:textId="3E1FB808" w:rsidR="00F539DB" w:rsidRDefault="00F539DB" w:rsidP="008F37F8">
      <w:pPr>
        <w:pStyle w:val="Heading3"/>
        <w:rPr>
          <w:rFonts w:hint="eastAsia"/>
        </w:rPr>
      </w:pPr>
      <w:bookmarkStart w:id="20" w:name="_Toc179920240"/>
      <w:r>
        <w:t xml:space="preserve">Element: </w:t>
      </w:r>
      <w:r w:rsidR="00A477D1">
        <w:t>Build</w:t>
      </w:r>
      <w:r w:rsidR="00067C59">
        <w:t>ing</w:t>
      </w:r>
      <w:r w:rsidR="00A477D1">
        <w:t xml:space="preserve"> financial resilience </w:t>
      </w:r>
      <w:r w:rsidR="00AB0723">
        <w:t>through</w:t>
      </w:r>
      <w:r w:rsidR="00A477D1">
        <w:t xml:space="preserve"> insurance </w:t>
      </w:r>
      <w:bookmarkEnd w:id="20"/>
    </w:p>
    <w:p w14:paraId="77981A78" w14:textId="244E93EA" w:rsidR="00A477D1" w:rsidRDefault="004175BB" w:rsidP="00A477D1">
      <w:r>
        <w:t>Language:</w:t>
      </w:r>
    </w:p>
    <w:p w14:paraId="462C41F1" w14:textId="49340B28" w:rsidR="000141CC" w:rsidRPr="000141CC" w:rsidRDefault="003C1DA0" w:rsidP="000141CC">
      <w:pPr>
        <w:rPr>
          <w:rStyle w:val="Emphasis"/>
        </w:rPr>
      </w:pPr>
      <w:r>
        <w:rPr>
          <w:rStyle w:val="Emphasis"/>
        </w:rPr>
        <w:t>I</w:t>
      </w:r>
      <w:r w:rsidR="00872519">
        <w:rPr>
          <w:rStyle w:val="Emphasis"/>
        </w:rPr>
        <w:t>n</w:t>
      </w:r>
      <w:r w:rsidR="000141CC" w:rsidRPr="000141CC">
        <w:rPr>
          <w:rStyle w:val="Emphasis"/>
        </w:rPr>
        <w:t xml:space="preserve">surance plays </w:t>
      </w:r>
      <w:r>
        <w:rPr>
          <w:rStyle w:val="Emphasis"/>
        </w:rPr>
        <w:t xml:space="preserve">a critical role </w:t>
      </w:r>
      <w:r w:rsidR="000141CC" w:rsidRPr="000141CC">
        <w:rPr>
          <w:rStyle w:val="Emphasis"/>
        </w:rPr>
        <w:t>managing and mitigating risks in the face of external shocks such as climate and geological disasters</w:t>
      </w:r>
      <w:r w:rsidR="00872519">
        <w:rPr>
          <w:rStyle w:val="Emphasis"/>
        </w:rPr>
        <w:t xml:space="preserve"> and </w:t>
      </w:r>
      <w:r w:rsidR="000141CC" w:rsidRPr="000141CC">
        <w:rPr>
          <w:rStyle w:val="Emphasis"/>
        </w:rPr>
        <w:t xml:space="preserve">health emergencies. </w:t>
      </w:r>
      <w:r w:rsidR="00B960DF">
        <w:rPr>
          <w:rStyle w:val="Emphasis"/>
        </w:rPr>
        <w:t>Within</w:t>
      </w:r>
      <w:r w:rsidR="000141CC" w:rsidRPr="000141CC">
        <w:rPr>
          <w:rStyle w:val="Emphasis"/>
        </w:rPr>
        <w:t xml:space="preserve"> broader </w:t>
      </w:r>
      <w:r w:rsidR="00B960DF">
        <w:rPr>
          <w:rStyle w:val="Emphasis"/>
        </w:rPr>
        <w:t xml:space="preserve">risk management </w:t>
      </w:r>
      <w:r w:rsidR="000141CC" w:rsidRPr="000141CC">
        <w:rPr>
          <w:rStyle w:val="Emphasis"/>
        </w:rPr>
        <w:t>efforts, insurance mechanisms provide a safety net for communities and nations</w:t>
      </w:r>
      <w:r w:rsidR="00465C20">
        <w:rPr>
          <w:rStyle w:val="Emphasis"/>
        </w:rPr>
        <w:t>, including fragile states</w:t>
      </w:r>
      <w:r w:rsidR="00585ABE">
        <w:rPr>
          <w:rStyle w:val="Emphasis"/>
        </w:rPr>
        <w:t xml:space="preserve">, </w:t>
      </w:r>
      <w:r w:rsidR="000141CC" w:rsidRPr="000141CC">
        <w:rPr>
          <w:rStyle w:val="Emphasis"/>
        </w:rPr>
        <w:t>reducing vulnerability</w:t>
      </w:r>
      <w:r w:rsidR="00585ABE">
        <w:rPr>
          <w:rStyle w:val="Emphasis"/>
        </w:rPr>
        <w:t xml:space="preserve">, </w:t>
      </w:r>
      <w:r w:rsidR="000141CC" w:rsidRPr="000141CC">
        <w:rPr>
          <w:rStyle w:val="Emphasis"/>
        </w:rPr>
        <w:t>improving resilience</w:t>
      </w:r>
      <w:r w:rsidR="00585ABE">
        <w:rPr>
          <w:rStyle w:val="Emphasis"/>
        </w:rPr>
        <w:t xml:space="preserve">, enabling </w:t>
      </w:r>
      <w:r w:rsidR="000141CC" w:rsidRPr="000141CC">
        <w:rPr>
          <w:rStyle w:val="Emphasis"/>
        </w:rPr>
        <w:t xml:space="preserve">recovery and </w:t>
      </w:r>
      <w:r w:rsidR="00563611">
        <w:rPr>
          <w:rStyle w:val="Emphasis"/>
        </w:rPr>
        <w:t>reducing</w:t>
      </w:r>
      <w:r w:rsidR="000141CC" w:rsidRPr="000141CC">
        <w:rPr>
          <w:rStyle w:val="Emphasis"/>
        </w:rPr>
        <w:t xml:space="preserve"> the economic and social impacts of disasters.</w:t>
      </w:r>
      <w:r w:rsidR="00585ABE">
        <w:rPr>
          <w:rStyle w:val="Emphasis"/>
        </w:rPr>
        <w:t xml:space="preserve"> </w:t>
      </w:r>
      <w:r w:rsidR="00FE55CC">
        <w:rPr>
          <w:rStyle w:val="Emphasis"/>
        </w:rPr>
        <w:t>R</w:t>
      </w:r>
      <w:r w:rsidR="000141CC" w:rsidRPr="000141CC">
        <w:rPr>
          <w:rStyle w:val="Emphasis"/>
        </w:rPr>
        <w:t xml:space="preserve">isk management tools </w:t>
      </w:r>
      <w:r w:rsidR="00FE55CC">
        <w:rPr>
          <w:rStyle w:val="Emphasis"/>
        </w:rPr>
        <w:t>including</w:t>
      </w:r>
      <w:r w:rsidR="000141CC" w:rsidRPr="000141CC">
        <w:rPr>
          <w:rStyle w:val="Emphasis"/>
        </w:rPr>
        <w:t xml:space="preserve"> insurance</w:t>
      </w:r>
      <w:r w:rsidR="00FE55CC">
        <w:rPr>
          <w:rStyle w:val="Emphasis"/>
        </w:rPr>
        <w:t xml:space="preserve"> allow</w:t>
      </w:r>
      <w:r w:rsidR="000141CC" w:rsidRPr="000141CC">
        <w:rPr>
          <w:rStyle w:val="Emphasis"/>
        </w:rPr>
        <w:t xml:space="preserve"> governments and development banks </w:t>
      </w:r>
      <w:r w:rsidR="00FE55CC">
        <w:rPr>
          <w:rStyle w:val="Emphasis"/>
        </w:rPr>
        <w:t xml:space="preserve">to </w:t>
      </w:r>
      <w:r w:rsidR="000141CC" w:rsidRPr="000141CC">
        <w:rPr>
          <w:rStyle w:val="Emphasis"/>
        </w:rPr>
        <w:t xml:space="preserve">better allocate resources to protect vulnerable populations. This strengthens local economies </w:t>
      </w:r>
      <w:r w:rsidR="00FE55CC">
        <w:rPr>
          <w:rStyle w:val="Emphasis"/>
        </w:rPr>
        <w:t xml:space="preserve">and </w:t>
      </w:r>
      <w:r w:rsidR="000141CC" w:rsidRPr="000141CC">
        <w:rPr>
          <w:rStyle w:val="Emphasis"/>
        </w:rPr>
        <w:t xml:space="preserve">contributes to global financial stability by mitigating potential shocks. We commit to build insurance markets and </w:t>
      </w:r>
      <w:r w:rsidR="00DB038F">
        <w:rPr>
          <w:rStyle w:val="Emphasis"/>
        </w:rPr>
        <w:t>increase coverage</w:t>
      </w:r>
      <w:r w:rsidR="007D308C">
        <w:rPr>
          <w:rStyle w:val="Emphasis"/>
        </w:rPr>
        <w:t>, reaching</w:t>
      </w:r>
      <w:r w:rsidR="000141CC" w:rsidRPr="000141CC">
        <w:rPr>
          <w:rStyle w:val="Emphasis"/>
        </w:rPr>
        <w:t xml:space="preserve"> vulnerable countries and communities in partnership with governments, the </w:t>
      </w:r>
      <w:r w:rsidR="000141CC" w:rsidRPr="000141CC">
        <w:rPr>
          <w:rStyle w:val="Emphasis"/>
        </w:rPr>
        <w:lastRenderedPageBreak/>
        <w:t>insurance industry, development and financial institutions. We will integrate insurance into financial planning (INFFs) and development frameworks including NDCs, NAPs, Social Protection, etc.</w:t>
      </w:r>
    </w:p>
    <w:p w14:paraId="515B9A5D" w14:textId="758D2B55" w:rsidR="00F539DB" w:rsidRPr="00F539DB" w:rsidRDefault="004175BB" w:rsidP="00F539DB">
      <w:r>
        <w:t>Target</w:t>
      </w:r>
      <w:r w:rsidR="00636AE8">
        <w:t>s</w:t>
      </w:r>
      <w:r w:rsidR="00F539DB">
        <w:t>:</w:t>
      </w:r>
    </w:p>
    <w:p w14:paraId="1F879A5E" w14:textId="577951EB" w:rsidR="00F539DB" w:rsidRDefault="00F539DB">
      <w:pPr>
        <w:pStyle w:val="ListParagraph"/>
        <w:numPr>
          <w:ilvl w:val="0"/>
          <w:numId w:val="4"/>
        </w:numPr>
      </w:pPr>
      <w:r w:rsidRPr="00FF22BA">
        <w:t xml:space="preserve">Scaling </w:t>
      </w:r>
      <w:r w:rsidRPr="00CE02D5">
        <w:rPr>
          <w:b/>
          <w:bCs/>
        </w:rPr>
        <w:t>insurance instruments in 100 countries</w:t>
      </w:r>
      <w:r w:rsidRPr="00FF22BA">
        <w:t xml:space="preserve">, reaching </w:t>
      </w:r>
      <w:r w:rsidRPr="00CE02D5">
        <w:rPr>
          <w:b/>
          <w:bCs/>
        </w:rPr>
        <w:t>penetration</w:t>
      </w:r>
      <w:r w:rsidRPr="00FF22BA">
        <w:t xml:space="preserve"> of at least </w:t>
      </w:r>
      <w:r w:rsidR="00E8338A">
        <w:rPr>
          <w:b/>
          <w:bCs/>
        </w:rPr>
        <w:t>5</w:t>
      </w:r>
      <w:r w:rsidRPr="00CE02D5">
        <w:rPr>
          <w:b/>
          <w:bCs/>
        </w:rPr>
        <w:t>%</w:t>
      </w:r>
      <w:r w:rsidRPr="00FF22BA">
        <w:t xml:space="preserve"> in developing countries.</w:t>
      </w:r>
    </w:p>
    <w:p w14:paraId="7BAEFA2B" w14:textId="5F9B0463" w:rsidR="00636AE8" w:rsidRPr="00F539DB" w:rsidRDefault="00636AE8" w:rsidP="00636AE8">
      <w:pPr>
        <w:numPr>
          <w:ilvl w:val="0"/>
          <w:numId w:val="4"/>
        </w:numPr>
        <w:tabs>
          <w:tab w:val="num" w:pos="720"/>
        </w:tabs>
      </w:pPr>
      <w:r w:rsidRPr="004810A6">
        <w:t>Economic impact of</w:t>
      </w:r>
      <w:r>
        <w:rPr>
          <w:b/>
          <w:bCs/>
        </w:rPr>
        <w:t xml:space="preserve"> climate and geological disasters covered by insurance and risk finance </w:t>
      </w:r>
      <w:r w:rsidRPr="004810A6">
        <w:t>solutions of</w:t>
      </w:r>
      <w:r>
        <w:rPr>
          <w:b/>
          <w:bCs/>
        </w:rPr>
        <w:t xml:space="preserve"> $150 billion </w:t>
      </w:r>
      <w:r w:rsidRPr="004810A6">
        <w:t>per annum by 2030.</w:t>
      </w:r>
    </w:p>
    <w:p w14:paraId="740143A6" w14:textId="5417AED7" w:rsidR="00914F97" w:rsidRPr="00914F97" w:rsidRDefault="008F37F8" w:rsidP="008F37F8">
      <w:pPr>
        <w:pStyle w:val="Heading3"/>
        <w:rPr>
          <w:rFonts w:hint="eastAsia"/>
        </w:rPr>
      </w:pPr>
      <w:bookmarkStart w:id="21" w:name="_Toc179920241"/>
      <w:r>
        <w:t>Element: Insurance as an enabler of investment</w:t>
      </w:r>
      <w:bookmarkEnd w:id="21"/>
    </w:p>
    <w:p w14:paraId="05BDA980" w14:textId="5BBD6973" w:rsidR="006C7C98" w:rsidRDefault="004175BB" w:rsidP="006C7C98">
      <w:r>
        <w:t>Language:</w:t>
      </w:r>
    </w:p>
    <w:p w14:paraId="730AABB3" w14:textId="089BD0DF" w:rsidR="00636AE8" w:rsidRPr="00636AE8" w:rsidRDefault="00636AE8" w:rsidP="00636AE8">
      <w:pPr>
        <w:rPr>
          <w:i/>
          <w:iCs/>
        </w:rPr>
      </w:pPr>
      <w:r w:rsidRPr="00636AE8">
        <w:rPr>
          <w:i/>
          <w:iCs/>
        </w:rPr>
        <w:t xml:space="preserve">Insurance </w:t>
      </w:r>
      <w:r w:rsidR="00DB038F">
        <w:rPr>
          <w:i/>
          <w:iCs/>
        </w:rPr>
        <w:t xml:space="preserve">is an </w:t>
      </w:r>
      <w:r w:rsidRPr="00636AE8">
        <w:rPr>
          <w:i/>
          <w:iCs/>
        </w:rPr>
        <w:t xml:space="preserve">enabler of investment, especially in long-term projects. </w:t>
      </w:r>
      <w:r w:rsidR="00A6356C">
        <w:rPr>
          <w:i/>
          <w:iCs/>
        </w:rPr>
        <w:t xml:space="preserve">We recognise that what is uninsurable is </w:t>
      </w:r>
      <w:proofErr w:type="spellStart"/>
      <w:r w:rsidR="00A6356C">
        <w:rPr>
          <w:i/>
          <w:iCs/>
        </w:rPr>
        <w:t>uninvestable</w:t>
      </w:r>
      <w:proofErr w:type="spellEnd"/>
      <w:r w:rsidR="00A6356C">
        <w:rPr>
          <w:i/>
          <w:iCs/>
        </w:rPr>
        <w:t xml:space="preserve">. </w:t>
      </w:r>
      <w:r w:rsidR="00C06262">
        <w:rPr>
          <w:i/>
          <w:iCs/>
        </w:rPr>
        <w:t>Insurance solutions</w:t>
      </w:r>
      <w:r w:rsidR="00C06262" w:rsidRPr="00636AE8">
        <w:rPr>
          <w:i/>
          <w:iCs/>
        </w:rPr>
        <w:t xml:space="preserve"> </w:t>
      </w:r>
      <w:r w:rsidRPr="00636AE8">
        <w:rPr>
          <w:i/>
          <w:iCs/>
        </w:rPr>
        <w:t xml:space="preserve">transfer risk from investors to insurers, </w:t>
      </w:r>
      <w:r w:rsidR="00974911">
        <w:rPr>
          <w:i/>
          <w:iCs/>
        </w:rPr>
        <w:t xml:space="preserve">enabling </w:t>
      </w:r>
      <w:r w:rsidRPr="00636AE8">
        <w:rPr>
          <w:i/>
          <w:iCs/>
        </w:rPr>
        <w:t xml:space="preserve">critical </w:t>
      </w:r>
      <w:r w:rsidR="00974911">
        <w:rPr>
          <w:i/>
          <w:iCs/>
        </w:rPr>
        <w:t xml:space="preserve">public and private investments, including </w:t>
      </w:r>
      <w:r w:rsidRPr="00636AE8">
        <w:rPr>
          <w:i/>
          <w:iCs/>
        </w:rPr>
        <w:t>sectors such as infrastructure</w:t>
      </w:r>
      <w:r w:rsidR="00B35761">
        <w:rPr>
          <w:i/>
          <w:iCs/>
        </w:rPr>
        <w:t>, renewable energy and climate change adaptation</w:t>
      </w:r>
      <w:r w:rsidRPr="00636AE8">
        <w:rPr>
          <w:i/>
          <w:iCs/>
        </w:rPr>
        <w:t>, where the risks of long-term investments can be high.</w:t>
      </w:r>
      <w:r>
        <w:rPr>
          <w:i/>
          <w:iCs/>
        </w:rPr>
        <w:t xml:space="preserve"> I</w:t>
      </w:r>
      <w:r w:rsidRPr="00636AE8">
        <w:rPr>
          <w:i/>
          <w:iCs/>
        </w:rPr>
        <w:t xml:space="preserve">nsurance </w:t>
      </w:r>
      <w:r w:rsidR="004D63E8">
        <w:rPr>
          <w:i/>
          <w:iCs/>
        </w:rPr>
        <w:t xml:space="preserve">builds resilience </w:t>
      </w:r>
      <w:r w:rsidRPr="00636AE8">
        <w:rPr>
          <w:i/>
          <w:iCs/>
        </w:rPr>
        <w:t>and align</w:t>
      </w:r>
      <w:r w:rsidR="004D63E8">
        <w:rPr>
          <w:i/>
          <w:iCs/>
        </w:rPr>
        <w:t>ment</w:t>
      </w:r>
      <w:r w:rsidRPr="00636AE8">
        <w:rPr>
          <w:i/>
          <w:iCs/>
        </w:rPr>
        <w:t xml:space="preserve"> with social and environmental goals</w:t>
      </w:r>
      <w:r w:rsidR="00B35761">
        <w:rPr>
          <w:i/>
          <w:iCs/>
        </w:rPr>
        <w:t>,</w:t>
      </w:r>
      <w:r w:rsidRPr="00636AE8">
        <w:rPr>
          <w:i/>
          <w:iCs/>
        </w:rPr>
        <w:t xml:space="preserve"> mitigat</w:t>
      </w:r>
      <w:r w:rsidR="00B35761">
        <w:rPr>
          <w:i/>
          <w:iCs/>
        </w:rPr>
        <w:t>ing</w:t>
      </w:r>
      <w:r w:rsidRPr="00636AE8">
        <w:rPr>
          <w:i/>
          <w:iCs/>
        </w:rPr>
        <w:t xml:space="preserve"> risks </w:t>
      </w:r>
      <w:r w:rsidR="002470D9">
        <w:rPr>
          <w:i/>
          <w:iCs/>
        </w:rPr>
        <w:t xml:space="preserve">while </w:t>
      </w:r>
      <w:r w:rsidRPr="00636AE8">
        <w:rPr>
          <w:i/>
          <w:iCs/>
        </w:rPr>
        <w:t>contribut</w:t>
      </w:r>
      <w:r w:rsidR="002470D9">
        <w:rPr>
          <w:i/>
          <w:iCs/>
        </w:rPr>
        <w:t>ing</w:t>
      </w:r>
      <w:r w:rsidRPr="00636AE8">
        <w:rPr>
          <w:i/>
          <w:iCs/>
        </w:rPr>
        <w:t xml:space="preserve"> to economic growth and sustainable development. </w:t>
      </w:r>
      <w:r w:rsidR="002470D9">
        <w:rPr>
          <w:i/>
          <w:iCs/>
        </w:rPr>
        <w:t>W</w:t>
      </w:r>
      <w:r w:rsidRPr="00636AE8">
        <w:rPr>
          <w:i/>
          <w:iCs/>
        </w:rPr>
        <w:t xml:space="preserve">e commit </w:t>
      </w:r>
      <w:r w:rsidR="006013E9">
        <w:rPr>
          <w:i/>
          <w:iCs/>
        </w:rPr>
        <w:t>to</w:t>
      </w:r>
      <w:r w:rsidR="006013E9" w:rsidRPr="00636AE8">
        <w:rPr>
          <w:i/>
          <w:iCs/>
        </w:rPr>
        <w:t xml:space="preserve"> </w:t>
      </w:r>
      <w:r w:rsidRPr="00636AE8">
        <w:rPr>
          <w:i/>
          <w:iCs/>
        </w:rPr>
        <w:t>develop generation insurance and risk finance solutions</w:t>
      </w:r>
      <w:r w:rsidR="006013E9">
        <w:rPr>
          <w:i/>
          <w:iCs/>
        </w:rPr>
        <w:t>,</w:t>
      </w:r>
      <w:r w:rsidRPr="00636AE8">
        <w:rPr>
          <w:i/>
          <w:iCs/>
        </w:rPr>
        <w:t xml:space="preserve"> available to the public and private sector</w:t>
      </w:r>
      <w:r w:rsidR="006013E9">
        <w:rPr>
          <w:i/>
          <w:iCs/>
        </w:rPr>
        <w:t>,</w:t>
      </w:r>
      <w:r w:rsidRPr="00636AE8">
        <w:rPr>
          <w:i/>
          <w:iCs/>
        </w:rPr>
        <w:t xml:space="preserve"> </w:t>
      </w:r>
      <w:r w:rsidR="00BE7E67">
        <w:rPr>
          <w:i/>
          <w:iCs/>
        </w:rPr>
        <w:t xml:space="preserve">through </w:t>
      </w:r>
      <w:r w:rsidRPr="00636AE8">
        <w:rPr>
          <w:i/>
          <w:iCs/>
        </w:rPr>
        <w:t>partnership between governments, the insurance industry, development and financial institutions.</w:t>
      </w:r>
    </w:p>
    <w:p w14:paraId="6797F827" w14:textId="0C83549F" w:rsidR="00837A7D" w:rsidRDefault="004175BB" w:rsidP="00837A7D">
      <w:pPr>
        <w:rPr>
          <w:rStyle w:val="Emphasis"/>
          <w:i w:val="0"/>
          <w:iCs w:val="0"/>
        </w:rPr>
      </w:pPr>
      <w:r>
        <w:rPr>
          <w:rStyle w:val="Emphasis"/>
          <w:i w:val="0"/>
          <w:iCs w:val="0"/>
        </w:rPr>
        <w:t>Target</w:t>
      </w:r>
      <w:r w:rsidR="00837A7D">
        <w:rPr>
          <w:rStyle w:val="Emphasis"/>
          <w:i w:val="0"/>
          <w:iCs w:val="0"/>
        </w:rPr>
        <w:t>:</w:t>
      </w:r>
    </w:p>
    <w:p w14:paraId="58037E36" w14:textId="4D8A6EE6" w:rsidR="00837A7D" w:rsidRDefault="00CF7694" w:rsidP="00837A7D">
      <w:pPr>
        <w:numPr>
          <w:ilvl w:val="0"/>
          <w:numId w:val="5"/>
        </w:numPr>
        <w:tabs>
          <w:tab w:val="num" w:pos="720"/>
        </w:tabs>
      </w:pPr>
      <w:r>
        <w:rPr>
          <w:b/>
          <w:bCs/>
        </w:rPr>
        <w:t>Annual c</w:t>
      </w:r>
      <w:r w:rsidR="00E8338A">
        <w:rPr>
          <w:b/>
          <w:bCs/>
        </w:rPr>
        <w:t xml:space="preserve">apital investment in development enabled through improved insurance protection </w:t>
      </w:r>
      <w:r>
        <w:t>of</w:t>
      </w:r>
      <w:r>
        <w:rPr>
          <w:b/>
          <w:bCs/>
        </w:rPr>
        <w:t xml:space="preserve"> </w:t>
      </w:r>
      <w:r w:rsidR="00837A7D" w:rsidRPr="00C420B1">
        <w:rPr>
          <w:b/>
          <w:bCs/>
        </w:rPr>
        <w:t>$</w:t>
      </w:r>
      <w:r w:rsidR="004810A6">
        <w:rPr>
          <w:b/>
          <w:bCs/>
        </w:rPr>
        <w:t>80</w:t>
      </w:r>
      <w:r w:rsidR="00837A7D" w:rsidRPr="00C420B1">
        <w:rPr>
          <w:b/>
          <w:bCs/>
        </w:rPr>
        <w:t xml:space="preserve"> billion</w:t>
      </w:r>
      <w:r w:rsidR="00837A7D" w:rsidRPr="00C420B1">
        <w:t xml:space="preserve"> by 2030.</w:t>
      </w:r>
    </w:p>
    <w:p w14:paraId="01CACEB3" w14:textId="249272B0" w:rsidR="006C7C98" w:rsidRPr="007F4FF4" w:rsidRDefault="006C7C98" w:rsidP="007F4FF4">
      <w:pPr>
        <w:pStyle w:val="Heading2"/>
        <w:numPr>
          <w:ilvl w:val="0"/>
          <w:numId w:val="7"/>
        </w:numPr>
        <w:rPr>
          <w:rFonts w:hint="eastAsia"/>
          <w:u w:val="single"/>
        </w:rPr>
      </w:pPr>
      <w:bookmarkStart w:id="22" w:name="_Toc179920242"/>
      <w:r w:rsidRPr="007F4FF4">
        <w:rPr>
          <w:u w:val="single"/>
        </w:rPr>
        <w:t>International development cooperation</w:t>
      </w:r>
      <w:bookmarkEnd w:id="22"/>
    </w:p>
    <w:p w14:paraId="437B3315" w14:textId="42DF2470" w:rsidR="002C2172" w:rsidRPr="00DA5A6C" w:rsidRDefault="00911A68" w:rsidP="00911A68">
      <w:pPr>
        <w:pStyle w:val="Heading3"/>
        <w:rPr>
          <w:rFonts w:hint="eastAsia"/>
        </w:rPr>
      </w:pPr>
      <w:bookmarkStart w:id="23" w:name="_Toc179920243"/>
      <w:r w:rsidRPr="00DA5A6C">
        <w:t>Element: Development effectiveness</w:t>
      </w:r>
      <w:bookmarkEnd w:id="23"/>
    </w:p>
    <w:p w14:paraId="4A12B888" w14:textId="25520432" w:rsidR="00B211F9" w:rsidRDefault="004175BB" w:rsidP="00B211F9">
      <w:r>
        <w:t>Language:</w:t>
      </w:r>
    </w:p>
    <w:p w14:paraId="0C739623" w14:textId="6D912FED" w:rsidR="41074F95" w:rsidRPr="00DA5A6C" w:rsidRDefault="41074F95" w:rsidP="00DF21AF">
      <w:pPr>
        <w:rPr>
          <w:rStyle w:val="Emphasis"/>
        </w:rPr>
      </w:pPr>
      <w:r w:rsidRPr="76859559">
        <w:rPr>
          <w:rStyle w:val="Emphasis"/>
        </w:rPr>
        <w:t xml:space="preserve">We reaffirm commitment to effective development cooperation and its principles. </w:t>
      </w:r>
      <w:r w:rsidR="00AC0018">
        <w:rPr>
          <w:rStyle w:val="Emphasis"/>
        </w:rPr>
        <w:t xml:space="preserve">Effective </w:t>
      </w:r>
      <w:r w:rsidRPr="76859559">
        <w:rPr>
          <w:rStyle w:val="Emphasis"/>
        </w:rPr>
        <w:t xml:space="preserve">development cooperation depends on a common platform to ensure </w:t>
      </w:r>
      <w:r w:rsidR="00B3647E">
        <w:rPr>
          <w:rStyle w:val="Emphasis"/>
        </w:rPr>
        <w:t xml:space="preserve">high quality, impactful </w:t>
      </w:r>
      <w:r w:rsidRPr="76859559">
        <w:rPr>
          <w:rStyle w:val="Emphasis"/>
        </w:rPr>
        <w:t xml:space="preserve">cooperation across traditional development assistance, humanitarian assistance and global public goods. </w:t>
      </w:r>
      <w:r w:rsidR="00CF500A" w:rsidRPr="0059612A">
        <w:rPr>
          <w:rStyle w:val="Emphasis"/>
        </w:rPr>
        <w:t>International cooperation in crisis and fragile settings requires tailored approaches includ</w:t>
      </w:r>
      <w:r w:rsidR="00B3647E">
        <w:rPr>
          <w:rStyle w:val="Emphasis"/>
        </w:rPr>
        <w:t>ing</w:t>
      </w:r>
      <w:r w:rsidR="00CF500A" w:rsidRPr="0059612A">
        <w:rPr>
          <w:rStyle w:val="Emphasis"/>
        </w:rPr>
        <w:t xml:space="preserve"> long-term, flexible financing and technical support to build resilience, foster inclusive governance, and strengthen local capacities.</w:t>
      </w:r>
      <w:r w:rsidR="00EA29D3">
        <w:rPr>
          <w:rStyle w:val="Emphasis"/>
        </w:rPr>
        <w:t xml:space="preserve"> </w:t>
      </w:r>
      <w:r w:rsidRPr="76859559">
        <w:rPr>
          <w:rStyle w:val="Emphasis"/>
        </w:rPr>
        <w:t>We commit to evidence-based, multi-stakeholder dialogues on effective development co-operation to inform planning, budgeting, implementation and allocation decisions. INFFs a</w:t>
      </w:r>
      <w:r w:rsidR="009B739A">
        <w:rPr>
          <w:rStyle w:val="Emphasis"/>
        </w:rPr>
        <w:t>re</w:t>
      </w:r>
      <w:r w:rsidRPr="76859559">
        <w:rPr>
          <w:rStyle w:val="Emphasis"/>
        </w:rPr>
        <w:t xml:space="preserve"> crucial </w:t>
      </w:r>
      <w:r w:rsidR="00CF500A">
        <w:rPr>
          <w:rStyle w:val="Emphasis"/>
        </w:rPr>
        <w:t xml:space="preserve">for enhanced </w:t>
      </w:r>
      <w:r w:rsidRPr="76859559">
        <w:rPr>
          <w:rStyle w:val="Emphasis"/>
        </w:rPr>
        <w:t xml:space="preserve">development </w:t>
      </w:r>
      <w:r w:rsidR="007613D3">
        <w:rPr>
          <w:rStyle w:val="Emphasis"/>
        </w:rPr>
        <w:t>cooperation</w:t>
      </w:r>
      <w:r w:rsidRPr="76859559">
        <w:rPr>
          <w:rStyle w:val="Emphasis"/>
        </w:rPr>
        <w:t xml:space="preserve">. We recognise the International Aid Transparency Initiative </w:t>
      </w:r>
      <w:r w:rsidR="00393B8E">
        <w:rPr>
          <w:rStyle w:val="Emphasis"/>
        </w:rPr>
        <w:t xml:space="preserve">(IATI) </w:t>
      </w:r>
      <w:r w:rsidR="00CF500A">
        <w:rPr>
          <w:rStyle w:val="Emphasis"/>
        </w:rPr>
        <w:t xml:space="preserve">as </w:t>
      </w:r>
      <w:r w:rsidRPr="76859559">
        <w:rPr>
          <w:rStyle w:val="Emphasis"/>
        </w:rPr>
        <w:t xml:space="preserve">an open data standard </w:t>
      </w:r>
      <w:r w:rsidRPr="76859559">
        <w:rPr>
          <w:rStyle w:val="Emphasis"/>
        </w:rPr>
        <w:lastRenderedPageBreak/>
        <w:t xml:space="preserve">and platform for anchoring effective development cooperation across all forms of international financing. </w:t>
      </w:r>
    </w:p>
    <w:p w14:paraId="53FB96EE" w14:textId="10B344CD" w:rsidR="00911A68" w:rsidRDefault="00911A68" w:rsidP="00911A68">
      <w:pPr>
        <w:pStyle w:val="Heading3"/>
        <w:rPr>
          <w:rFonts w:hint="eastAsia"/>
        </w:rPr>
      </w:pPr>
      <w:bookmarkStart w:id="24" w:name="_Toc179920244"/>
      <w:r>
        <w:t xml:space="preserve">Element: G20 Framework of support for </w:t>
      </w:r>
      <w:r w:rsidR="00E977AC">
        <w:t>INFFs</w:t>
      </w:r>
      <w:bookmarkEnd w:id="24"/>
    </w:p>
    <w:p w14:paraId="53F6F418" w14:textId="71DF10D6" w:rsidR="0071338B" w:rsidRDefault="004175BB" w:rsidP="006C7C98">
      <w:r>
        <w:t>Language:</w:t>
      </w:r>
    </w:p>
    <w:p w14:paraId="54B7EADB" w14:textId="16B3C2F0" w:rsidR="00B03124" w:rsidRPr="0071338B" w:rsidRDefault="00C850EF" w:rsidP="006C7C98">
      <w:pPr>
        <w:rPr>
          <w:rStyle w:val="Emphasis"/>
        </w:rPr>
      </w:pPr>
      <w:r w:rsidRPr="0071338B">
        <w:rPr>
          <w:rStyle w:val="Emphasis"/>
        </w:rPr>
        <w:t xml:space="preserve">We take note of </w:t>
      </w:r>
      <w:r w:rsidR="00497C78" w:rsidRPr="0071338B">
        <w:rPr>
          <w:rStyle w:val="Emphasis"/>
        </w:rPr>
        <w:t xml:space="preserve">G20 Leaders’ endorsement of the G20 Framework of voluntary support to INFFs and welcome continued implementation by G20 members </w:t>
      </w:r>
      <w:r w:rsidR="00292B54">
        <w:rPr>
          <w:rStyle w:val="Emphasis"/>
        </w:rPr>
        <w:t>in support of sovereign INFFs</w:t>
      </w:r>
      <w:r w:rsidR="0071338B" w:rsidRPr="0071338B">
        <w:rPr>
          <w:rStyle w:val="Emphasis"/>
        </w:rPr>
        <w:t>.</w:t>
      </w:r>
    </w:p>
    <w:p w14:paraId="23CAF8E7" w14:textId="44DA58B4" w:rsidR="00B03124" w:rsidRDefault="00B03124" w:rsidP="00B03124">
      <w:pPr>
        <w:pStyle w:val="Heading3"/>
        <w:rPr>
          <w:rFonts w:hint="eastAsia"/>
        </w:rPr>
      </w:pPr>
      <w:bookmarkStart w:id="25" w:name="_Toc179920245"/>
      <w:r w:rsidRPr="00DA5A6C">
        <w:t xml:space="preserve">Element: </w:t>
      </w:r>
      <w:r w:rsidR="00773B81" w:rsidRPr="00DA5A6C">
        <w:t>International aid transparency initiative</w:t>
      </w:r>
      <w:bookmarkEnd w:id="25"/>
    </w:p>
    <w:p w14:paraId="415EF712" w14:textId="7C3F617F" w:rsidR="007B4126" w:rsidRDefault="004175BB">
      <w:r>
        <w:t>Language:</w:t>
      </w:r>
    </w:p>
    <w:p w14:paraId="2F31EA40" w14:textId="307C18DA" w:rsidR="4AB4BEA6" w:rsidRPr="00DA5A6C" w:rsidRDefault="1A3A8660" w:rsidP="2BF25A63">
      <w:pPr>
        <w:rPr>
          <w:rStyle w:val="Emphasis"/>
        </w:rPr>
      </w:pPr>
      <w:r w:rsidRPr="00DA5A6C">
        <w:rPr>
          <w:rStyle w:val="Emphasis"/>
        </w:rPr>
        <w:t>The AAAA recognised the need for greater transparency in development finance, and we welcome the expansion of timely, comprehensive</w:t>
      </w:r>
      <w:r w:rsidR="00E9190D">
        <w:rPr>
          <w:rStyle w:val="Emphasis"/>
        </w:rPr>
        <w:t>,</w:t>
      </w:r>
      <w:r w:rsidRPr="00DA5A6C">
        <w:rPr>
          <w:rStyle w:val="Emphasis"/>
        </w:rPr>
        <w:t xml:space="preserve"> forward-looking data on external development resources published to the IATI from diverse development </w:t>
      </w:r>
      <w:r w:rsidR="52C3B2BC" w:rsidRPr="00DA5A6C">
        <w:rPr>
          <w:rStyle w:val="Emphasis"/>
        </w:rPr>
        <w:t>actors</w:t>
      </w:r>
      <w:r w:rsidRPr="00DA5A6C">
        <w:rPr>
          <w:rStyle w:val="Emphasis"/>
        </w:rPr>
        <w:t xml:space="preserve">.  We note the growing complexity of the financing landscape and the need for quality data to assess resources </w:t>
      </w:r>
      <w:r w:rsidR="00CD382F">
        <w:rPr>
          <w:rStyle w:val="Emphasis"/>
        </w:rPr>
        <w:t>for</w:t>
      </w:r>
      <w:r w:rsidRPr="00DA5A6C">
        <w:rPr>
          <w:rStyle w:val="Emphasis"/>
        </w:rPr>
        <w:t xml:space="preserve"> sustainable development priorities</w:t>
      </w:r>
      <w:r w:rsidR="00CD382F" w:rsidRPr="00CD382F">
        <w:rPr>
          <w:rStyle w:val="Emphasis"/>
        </w:rPr>
        <w:t xml:space="preserve"> </w:t>
      </w:r>
      <w:r w:rsidR="00CD382F" w:rsidRPr="00DA5A6C">
        <w:rPr>
          <w:rStyle w:val="Emphasis"/>
        </w:rPr>
        <w:t>at the country level</w:t>
      </w:r>
      <w:r w:rsidRPr="00DA5A6C">
        <w:rPr>
          <w:rStyle w:val="Emphasis"/>
        </w:rPr>
        <w:t xml:space="preserve">. We reaffirm the need for the range of international finances to be published to the IATI Standard.  </w:t>
      </w:r>
    </w:p>
    <w:p w14:paraId="0D0EAD7B" w14:textId="25B6F10A" w:rsidR="007F4FF4" w:rsidRPr="007F4FF4" w:rsidRDefault="007F4FF4" w:rsidP="007F4FF4">
      <w:pPr>
        <w:rPr>
          <w:u w:val="single"/>
        </w:rPr>
      </w:pPr>
      <w:r w:rsidRPr="007F4FF4">
        <w:rPr>
          <w:color w:val="153D63" w:themeColor="text2" w:themeTint="E6"/>
          <w:sz w:val="32"/>
          <w:szCs w:val="32"/>
        </w:rPr>
        <w:t>D.</w:t>
      </w:r>
      <w:r>
        <w:rPr>
          <w:color w:val="153D63" w:themeColor="text2" w:themeTint="E6"/>
          <w:sz w:val="32"/>
          <w:szCs w:val="32"/>
          <w:u w:val="single"/>
        </w:rPr>
        <w:t xml:space="preserve"> I</w:t>
      </w:r>
      <w:r w:rsidRPr="007F4FF4">
        <w:rPr>
          <w:color w:val="153D63" w:themeColor="text2" w:themeTint="E6"/>
          <w:sz w:val="32"/>
          <w:szCs w:val="32"/>
          <w:u w:val="single"/>
        </w:rPr>
        <w:t>nternational Trade as an engine for development</w:t>
      </w:r>
    </w:p>
    <w:p w14:paraId="294311CD" w14:textId="78178B6A" w:rsidR="007F4FF4" w:rsidRDefault="007F4FF4" w:rsidP="005A0C20"/>
    <w:p w14:paraId="29C2FD46" w14:textId="24BF3F3F" w:rsidR="006C7C98" w:rsidRPr="007F4FF4" w:rsidRDefault="5ABB6474" w:rsidP="5ABB6474">
      <w:pPr>
        <w:pStyle w:val="Heading2"/>
        <w:rPr>
          <w:rFonts w:hint="eastAsia"/>
          <w:u w:val="single"/>
        </w:rPr>
      </w:pPr>
      <w:bookmarkStart w:id="26" w:name="_Toc179920246"/>
      <w:r w:rsidRPr="5ABB6474">
        <w:rPr>
          <w:u w:val="single"/>
        </w:rPr>
        <w:t>E.</w:t>
      </w:r>
      <w:r w:rsidR="00AA7DA6">
        <w:rPr>
          <w:u w:val="single"/>
        </w:rPr>
        <w:t xml:space="preserve"> </w:t>
      </w:r>
      <w:r w:rsidR="006C7C98" w:rsidRPr="5ABB6474">
        <w:rPr>
          <w:u w:val="single"/>
        </w:rPr>
        <w:t>Debt and debt sustainability</w:t>
      </w:r>
      <w:bookmarkEnd w:id="26"/>
    </w:p>
    <w:p w14:paraId="7E22DD82" w14:textId="36B0B6E7" w:rsidR="01402315" w:rsidRDefault="004175BB" w:rsidP="00A526F8">
      <w:r>
        <w:t>Language:</w:t>
      </w:r>
      <w:r w:rsidR="01402315">
        <w:t xml:space="preserve"> </w:t>
      </w:r>
    </w:p>
    <w:p w14:paraId="02D80FAE" w14:textId="5832D60E" w:rsidR="452E02E1" w:rsidRDefault="000A6B3F" w:rsidP="001B3063">
      <w:pPr>
        <w:rPr>
          <w:rStyle w:val="Emphasis"/>
        </w:rPr>
      </w:pPr>
      <w:r>
        <w:rPr>
          <w:rFonts w:ascii="Aptos" w:eastAsia="Aptos" w:hAnsi="Aptos" w:cs="Aptos"/>
          <w:i/>
          <w:iCs/>
        </w:rPr>
        <w:t>T</w:t>
      </w:r>
      <w:r w:rsidR="00317756">
        <w:rPr>
          <w:rFonts w:ascii="Aptos" w:eastAsia="Aptos" w:hAnsi="Aptos" w:cs="Aptos"/>
          <w:i/>
          <w:iCs/>
        </w:rPr>
        <w:t xml:space="preserve">he </w:t>
      </w:r>
      <w:r w:rsidR="00317756" w:rsidRPr="00A526F8">
        <w:rPr>
          <w:rFonts w:ascii="Aptos" w:eastAsia="Aptos" w:hAnsi="Aptos" w:cs="Aptos"/>
          <w:i/>
          <w:iCs/>
        </w:rPr>
        <w:t>continued lack of access to effective debt restructuring and liquidity support</w:t>
      </w:r>
      <w:r w:rsidR="0039626C">
        <w:rPr>
          <w:rFonts w:ascii="Aptos" w:eastAsia="Aptos" w:hAnsi="Aptos" w:cs="Aptos"/>
          <w:i/>
          <w:iCs/>
        </w:rPr>
        <w:t xml:space="preserve"> pose</w:t>
      </w:r>
      <w:r w:rsidR="00AC59F3">
        <w:rPr>
          <w:rFonts w:ascii="Aptos" w:eastAsia="Aptos" w:hAnsi="Aptos" w:cs="Aptos"/>
          <w:i/>
          <w:iCs/>
        </w:rPr>
        <w:t>s</w:t>
      </w:r>
      <w:r w:rsidR="0039626C">
        <w:rPr>
          <w:rFonts w:ascii="Aptos" w:eastAsia="Aptos" w:hAnsi="Aptos" w:cs="Aptos"/>
          <w:i/>
          <w:iCs/>
        </w:rPr>
        <w:t xml:space="preserve"> major constraints </w:t>
      </w:r>
      <w:r w:rsidR="0039626C" w:rsidRPr="001B3063">
        <w:rPr>
          <w:rFonts w:ascii="Aptos" w:eastAsia="Aptos" w:hAnsi="Aptos" w:cs="Aptos"/>
          <w:i/>
          <w:iCs/>
        </w:rPr>
        <w:t xml:space="preserve">for </w:t>
      </w:r>
      <w:r w:rsidR="008D58E6" w:rsidRPr="001B3063">
        <w:rPr>
          <w:rFonts w:ascii="Aptos" w:eastAsia="Aptos" w:hAnsi="Aptos" w:cs="Aptos"/>
          <w:i/>
          <w:iCs/>
        </w:rPr>
        <w:t xml:space="preserve">countries in or at high risk of debt </w:t>
      </w:r>
      <w:r w:rsidR="001A4A15" w:rsidRPr="001B3063">
        <w:rPr>
          <w:rFonts w:ascii="Aptos" w:eastAsia="Aptos" w:hAnsi="Aptos" w:cs="Aptos"/>
          <w:i/>
          <w:iCs/>
        </w:rPr>
        <w:t>distress</w:t>
      </w:r>
      <w:r w:rsidR="47068AD2" w:rsidRPr="001B3063">
        <w:rPr>
          <w:rFonts w:ascii="Aptos" w:eastAsia="Aptos" w:hAnsi="Aptos" w:cs="Aptos"/>
          <w:i/>
          <w:iCs/>
        </w:rPr>
        <w:t>.</w:t>
      </w:r>
      <w:r w:rsidR="00551A75" w:rsidRPr="001B3063">
        <w:rPr>
          <w:rFonts w:ascii="Aptos" w:eastAsia="Aptos" w:hAnsi="Aptos" w:cs="Aptos"/>
          <w:i/>
          <w:iCs/>
        </w:rPr>
        <w:t xml:space="preserve"> </w:t>
      </w:r>
      <w:r w:rsidR="00E977AC">
        <w:rPr>
          <w:rFonts w:ascii="Aptos" w:eastAsia="Aptos" w:hAnsi="Aptos" w:cs="Aptos"/>
          <w:i/>
          <w:iCs/>
        </w:rPr>
        <w:t>D</w:t>
      </w:r>
      <w:r w:rsidR="001B3063" w:rsidRPr="001B3063">
        <w:rPr>
          <w:rFonts w:ascii="Aptos" w:eastAsia="Aptos" w:hAnsi="Aptos" w:cs="Aptos"/>
          <w:i/>
          <w:iCs/>
        </w:rPr>
        <w:t xml:space="preserve">ebt service payments crowd out spending on </w:t>
      </w:r>
      <w:r w:rsidR="00B61A9B">
        <w:rPr>
          <w:rFonts w:ascii="Aptos" w:eastAsia="Aptos" w:hAnsi="Aptos" w:cs="Aptos"/>
          <w:i/>
          <w:iCs/>
        </w:rPr>
        <w:t xml:space="preserve">sustainable </w:t>
      </w:r>
      <w:r w:rsidR="001B3063">
        <w:rPr>
          <w:rFonts w:ascii="Aptos" w:eastAsia="Aptos" w:hAnsi="Aptos" w:cs="Aptos"/>
          <w:i/>
          <w:iCs/>
        </w:rPr>
        <w:t xml:space="preserve">development. </w:t>
      </w:r>
      <w:r w:rsidR="452E02E1" w:rsidRPr="00A526F8">
        <w:rPr>
          <w:rStyle w:val="Emphasis"/>
        </w:rPr>
        <w:t>We commit to exploring innovative debt relief mechanisms to ensure that countries can recover while maintaining fiscal stability and invest</w:t>
      </w:r>
      <w:r w:rsidR="009634C3">
        <w:rPr>
          <w:rStyle w:val="Emphasis"/>
        </w:rPr>
        <w:t>ment</w:t>
      </w:r>
      <w:r w:rsidR="452E02E1" w:rsidRPr="00A526F8">
        <w:rPr>
          <w:rStyle w:val="Emphasis"/>
        </w:rPr>
        <w:t xml:space="preserve"> in key sectors.</w:t>
      </w:r>
    </w:p>
    <w:p w14:paraId="05BAB196" w14:textId="314AC30F" w:rsidR="009703D5" w:rsidRPr="00A526F8" w:rsidRDefault="009703D5" w:rsidP="001B3063">
      <w:pPr>
        <w:rPr>
          <w:rStyle w:val="Emphasis"/>
        </w:rPr>
      </w:pPr>
      <w:r w:rsidRPr="009703D5">
        <w:rPr>
          <w:rStyle w:val="Emphasis"/>
        </w:rPr>
        <w:t>We call for simplifying and improving the design, transparency and financing of debt swaps, including concrete measures to support countries with the costs of transaction</w:t>
      </w:r>
      <w:r w:rsidR="00460216">
        <w:rPr>
          <w:rStyle w:val="Emphasis"/>
        </w:rPr>
        <w:t>s</w:t>
      </w:r>
      <w:r w:rsidRPr="009703D5">
        <w:rPr>
          <w:rStyle w:val="Emphasis"/>
        </w:rPr>
        <w:t>, technical assistance, information-sharing, credit enhancement and risks</w:t>
      </w:r>
      <w:r w:rsidR="00460216">
        <w:rPr>
          <w:rStyle w:val="Emphasis"/>
        </w:rPr>
        <w:t>.</w:t>
      </w:r>
    </w:p>
    <w:p w14:paraId="26062BE9" w14:textId="0E7B8980" w:rsidR="5ABB6474" w:rsidRDefault="00E07C82" w:rsidP="0E127262">
      <w:pPr>
        <w:pStyle w:val="Heading3"/>
        <w:rPr>
          <w:rFonts w:hint="eastAsia"/>
        </w:rPr>
      </w:pPr>
      <w:bookmarkStart w:id="27" w:name="_Toc179920247"/>
      <w:r>
        <w:t xml:space="preserve">Element: </w:t>
      </w:r>
      <w:r w:rsidR="00C36D5A">
        <w:t>I</w:t>
      </w:r>
      <w:r w:rsidR="7D14B3EF">
        <w:t>nclusive, accountable</w:t>
      </w:r>
      <w:r w:rsidR="00AC0018">
        <w:t>,</w:t>
      </w:r>
      <w:r w:rsidR="7D14B3EF">
        <w:t xml:space="preserve"> </w:t>
      </w:r>
      <w:r w:rsidR="4A5BB6B4">
        <w:t>effective</w:t>
      </w:r>
      <w:r w:rsidR="1F54576B">
        <w:t xml:space="preserve"> debt treatment</w:t>
      </w:r>
      <w:bookmarkEnd w:id="27"/>
      <w:r w:rsidR="1F54576B">
        <w:t xml:space="preserve"> </w:t>
      </w:r>
    </w:p>
    <w:p w14:paraId="0A435AC0" w14:textId="4B15206E" w:rsidR="00C51DA5" w:rsidRPr="00C51DA5" w:rsidRDefault="004175BB" w:rsidP="00C51DA5">
      <w:r>
        <w:t>Language:</w:t>
      </w:r>
    </w:p>
    <w:p w14:paraId="101B2312" w14:textId="1BB7FB4C" w:rsidR="091FB662" w:rsidRDefault="00C51DA5" w:rsidP="00E1555C">
      <w:pPr>
        <w:rPr>
          <w:rFonts w:eastAsiaTheme="minorEastAsia"/>
          <w:i/>
          <w:iCs/>
        </w:rPr>
      </w:pPr>
      <w:r>
        <w:rPr>
          <w:i/>
          <w:iCs/>
        </w:rPr>
        <w:t xml:space="preserve">We </w:t>
      </w:r>
      <w:r w:rsidR="005E78A5">
        <w:rPr>
          <w:i/>
          <w:iCs/>
        </w:rPr>
        <w:t>reiterate our call</w:t>
      </w:r>
      <w:r>
        <w:rPr>
          <w:i/>
          <w:iCs/>
        </w:rPr>
        <w:t xml:space="preserve"> to improve the G20 Common Framework for Debt Treatment</w:t>
      </w:r>
      <w:r w:rsidR="00E1555C">
        <w:rPr>
          <w:i/>
          <w:iCs/>
        </w:rPr>
        <w:t xml:space="preserve">, enabling </w:t>
      </w:r>
      <w:r w:rsidR="42D6BC05" w:rsidRPr="00377BE8">
        <w:rPr>
          <w:i/>
          <w:iCs/>
        </w:rPr>
        <w:t xml:space="preserve">countries </w:t>
      </w:r>
      <w:r w:rsidR="00E1555C">
        <w:rPr>
          <w:i/>
          <w:iCs/>
        </w:rPr>
        <w:t xml:space="preserve">to </w:t>
      </w:r>
      <w:r w:rsidR="42D6BC05" w:rsidRPr="00377BE8">
        <w:rPr>
          <w:i/>
          <w:iCs/>
        </w:rPr>
        <w:t>obtain access to</w:t>
      </w:r>
      <w:r w:rsidR="52671D0E" w:rsidRPr="00377BE8">
        <w:rPr>
          <w:i/>
          <w:iCs/>
        </w:rPr>
        <w:t xml:space="preserve"> an</w:t>
      </w:r>
      <w:r w:rsidR="42D6BC05" w:rsidRPr="00377BE8">
        <w:rPr>
          <w:i/>
          <w:iCs/>
        </w:rPr>
        <w:t xml:space="preserve"> effective, predictable, coordinated, timely and orderly restructuring process </w:t>
      </w:r>
      <w:r w:rsidR="6BF9A278" w:rsidRPr="00377BE8">
        <w:rPr>
          <w:i/>
          <w:iCs/>
        </w:rPr>
        <w:t>while ensuring comparability of treatment between sovereign and private creditors.</w:t>
      </w:r>
      <w:r w:rsidR="007333E3" w:rsidRPr="1659101B">
        <w:rPr>
          <w:rStyle w:val="EndnoteReference"/>
          <w:i/>
          <w:iCs/>
        </w:rPr>
        <w:endnoteReference w:id="10"/>
      </w:r>
      <w:r w:rsidR="007333E3" w:rsidRPr="00377BE8">
        <w:rPr>
          <w:rStyle w:val="EndnoteReference"/>
          <w:i/>
          <w:iCs/>
        </w:rPr>
        <w:t xml:space="preserve"> </w:t>
      </w:r>
      <w:r w:rsidR="34737438" w:rsidRPr="00377BE8">
        <w:rPr>
          <w:rStyle w:val="FootnoteReference"/>
          <w:i/>
          <w:iCs/>
        </w:rPr>
        <w:t xml:space="preserve"> </w:t>
      </w:r>
      <w:r w:rsidR="34737438" w:rsidRPr="00377BE8">
        <w:rPr>
          <w:rFonts w:eastAsiaTheme="minorEastAsia"/>
          <w:i/>
          <w:iCs/>
        </w:rPr>
        <w:t xml:space="preserve">We welcome the invitation </w:t>
      </w:r>
      <w:r w:rsidR="294524AD" w:rsidRPr="00377BE8">
        <w:rPr>
          <w:rFonts w:eastAsiaTheme="minorEastAsia"/>
          <w:i/>
          <w:iCs/>
        </w:rPr>
        <w:t xml:space="preserve">extended to </w:t>
      </w:r>
      <w:r w:rsidR="34737438" w:rsidRPr="00377BE8">
        <w:rPr>
          <w:rFonts w:eastAsiaTheme="minorEastAsia"/>
          <w:i/>
          <w:iCs/>
        </w:rPr>
        <w:t xml:space="preserve">the IMF to </w:t>
      </w:r>
      <w:r w:rsidR="34737438" w:rsidRPr="00377BE8">
        <w:rPr>
          <w:rFonts w:eastAsiaTheme="minorEastAsia"/>
          <w:i/>
          <w:iCs/>
        </w:rPr>
        <w:lastRenderedPageBreak/>
        <w:t xml:space="preserve">review ways to strengthen </w:t>
      </w:r>
      <w:r w:rsidR="76248665" w:rsidRPr="00377BE8">
        <w:rPr>
          <w:rFonts w:eastAsiaTheme="minorEastAsia"/>
          <w:i/>
          <w:iCs/>
        </w:rPr>
        <w:t xml:space="preserve">and improve the sovereign debt architecture in collaboration with the UN Secretary </w:t>
      </w:r>
      <w:r w:rsidR="007333E3">
        <w:rPr>
          <w:rFonts w:eastAsiaTheme="minorEastAsia"/>
          <w:i/>
          <w:iCs/>
        </w:rPr>
        <w:t>G</w:t>
      </w:r>
      <w:r w:rsidR="76248665" w:rsidRPr="00377BE8">
        <w:rPr>
          <w:rFonts w:eastAsiaTheme="minorEastAsia"/>
          <w:i/>
          <w:iCs/>
        </w:rPr>
        <w:t>eneral, the world bank, the G20 and major bi</w:t>
      </w:r>
      <w:r w:rsidR="1131FEE9" w:rsidRPr="00377BE8">
        <w:rPr>
          <w:rFonts w:eastAsiaTheme="minorEastAsia"/>
          <w:i/>
          <w:iCs/>
        </w:rPr>
        <w:t xml:space="preserve">lateral </w:t>
      </w:r>
      <w:r w:rsidR="76248665" w:rsidRPr="00377BE8">
        <w:rPr>
          <w:rFonts w:eastAsiaTheme="minorEastAsia"/>
          <w:i/>
          <w:iCs/>
        </w:rPr>
        <w:t>creditors and debtors</w:t>
      </w:r>
      <w:r w:rsidR="1F6C3C65" w:rsidRPr="00377BE8">
        <w:rPr>
          <w:rFonts w:eastAsiaTheme="minorEastAsia"/>
          <w:i/>
          <w:iCs/>
        </w:rPr>
        <w:t>.</w:t>
      </w:r>
      <w:r w:rsidR="007333E3" w:rsidRPr="1659101B">
        <w:rPr>
          <w:rStyle w:val="EndnoteReference"/>
          <w:rFonts w:eastAsiaTheme="minorEastAsia"/>
          <w:i/>
          <w:iCs/>
        </w:rPr>
        <w:endnoteReference w:id="11"/>
      </w:r>
      <w:r w:rsidR="007333E3" w:rsidRPr="00377BE8">
        <w:rPr>
          <w:rFonts w:eastAsiaTheme="minorEastAsia"/>
          <w:i/>
          <w:iCs/>
        </w:rPr>
        <w:t xml:space="preserve"> </w:t>
      </w:r>
      <w:r w:rsidR="481B19D0" w:rsidRPr="1659101B">
        <w:rPr>
          <w:rFonts w:eastAsiaTheme="minorEastAsia"/>
          <w:i/>
          <w:iCs/>
        </w:rPr>
        <w:t xml:space="preserve"> </w:t>
      </w:r>
      <w:r w:rsidR="14FC3B96" w:rsidRPr="1659101B">
        <w:rPr>
          <w:rFonts w:eastAsiaTheme="minorEastAsia"/>
          <w:i/>
          <w:iCs/>
        </w:rPr>
        <w:t>We recognize that appropriate institutional structures must be in place</w:t>
      </w:r>
      <w:r w:rsidR="002A4DC0">
        <w:rPr>
          <w:rFonts w:eastAsiaTheme="minorEastAsia"/>
          <w:i/>
          <w:iCs/>
        </w:rPr>
        <w:t xml:space="preserve">, </w:t>
      </w:r>
      <w:r w:rsidR="14FC3B96" w:rsidRPr="1659101B">
        <w:rPr>
          <w:rFonts w:eastAsiaTheme="minorEastAsia"/>
          <w:i/>
          <w:iCs/>
        </w:rPr>
        <w:t>international</w:t>
      </w:r>
      <w:r w:rsidR="002A4DC0">
        <w:rPr>
          <w:rFonts w:eastAsiaTheme="minorEastAsia"/>
          <w:i/>
          <w:iCs/>
        </w:rPr>
        <w:t>ly</w:t>
      </w:r>
      <w:r w:rsidR="14FC3B96" w:rsidRPr="1659101B">
        <w:rPr>
          <w:rFonts w:eastAsiaTheme="minorEastAsia"/>
          <w:i/>
          <w:iCs/>
        </w:rPr>
        <w:t xml:space="preserve"> and national</w:t>
      </w:r>
      <w:r w:rsidR="002A4DC0">
        <w:rPr>
          <w:rFonts w:eastAsiaTheme="minorEastAsia"/>
          <w:i/>
          <w:iCs/>
        </w:rPr>
        <w:t>ly,</w:t>
      </w:r>
      <w:r w:rsidR="14FC3B96" w:rsidRPr="1659101B">
        <w:rPr>
          <w:rFonts w:eastAsiaTheme="minorEastAsia"/>
          <w:i/>
          <w:iCs/>
        </w:rPr>
        <w:t xml:space="preserve"> </w:t>
      </w:r>
      <w:r w:rsidR="00BE7182">
        <w:rPr>
          <w:rFonts w:eastAsiaTheme="minorEastAsia"/>
          <w:i/>
          <w:iCs/>
        </w:rPr>
        <w:t xml:space="preserve">to </w:t>
      </w:r>
      <w:r w:rsidR="14FC3B96" w:rsidRPr="1659101B">
        <w:rPr>
          <w:rFonts w:eastAsiaTheme="minorEastAsia"/>
          <w:i/>
          <w:iCs/>
        </w:rPr>
        <w:t xml:space="preserve">ensure borrowing and lending </w:t>
      </w:r>
      <w:r w:rsidR="00BE7182">
        <w:rPr>
          <w:rFonts w:eastAsiaTheme="minorEastAsia"/>
          <w:i/>
          <w:iCs/>
        </w:rPr>
        <w:t xml:space="preserve">is </w:t>
      </w:r>
      <w:r w:rsidR="14FC3B96" w:rsidRPr="1659101B">
        <w:rPr>
          <w:rFonts w:eastAsiaTheme="minorEastAsia"/>
          <w:i/>
          <w:iCs/>
        </w:rPr>
        <w:t>effective, accountable and inclusive</w:t>
      </w:r>
      <w:r w:rsidR="4DB088D6" w:rsidRPr="1659101B">
        <w:rPr>
          <w:rFonts w:eastAsiaTheme="minorEastAsia"/>
          <w:i/>
          <w:iCs/>
        </w:rPr>
        <w:t>. We welcome proposals</w:t>
      </w:r>
      <w:r w:rsidR="422406A6" w:rsidRPr="1659101B">
        <w:rPr>
          <w:rFonts w:eastAsiaTheme="minorEastAsia"/>
          <w:i/>
          <w:iCs/>
        </w:rPr>
        <w:t xml:space="preserve"> </w:t>
      </w:r>
      <w:r w:rsidR="0F7DE7C4" w:rsidRPr="1659101B">
        <w:rPr>
          <w:rFonts w:eastAsiaTheme="minorEastAsia"/>
          <w:i/>
          <w:iCs/>
        </w:rPr>
        <w:t>such as a sovereign debt workout mechanism, global norms for sovereign lending and borrowing</w:t>
      </w:r>
      <w:r w:rsidR="43334CD6" w:rsidRPr="1659101B">
        <w:rPr>
          <w:rFonts w:eastAsiaTheme="minorEastAsia"/>
          <w:i/>
          <w:iCs/>
        </w:rPr>
        <w:t xml:space="preserve">, </w:t>
      </w:r>
      <w:r w:rsidR="15476738" w:rsidRPr="1659101B">
        <w:rPr>
          <w:rFonts w:eastAsiaTheme="minorEastAsia"/>
          <w:i/>
          <w:iCs/>
        </w:rPr>
        <w:t xml:space="preserve">a publicly accessible registry of debt data, </w:t>
      </w:r>
      <w:r w:rsidR="5380E5F2" w:rsidRPr="1659101B">
        <w:rPr>
          <w:rFonts w:eastAsiaTheme="minorEastAsia"/>
          <w:i/>
          <w:iCs/>
        </w:rPr>
        <w:t xml:space="preserve">and </w:t>
      </w:r>
      <w:r w:rsidR="15476738" w:rsidRPr="1659101B">
        <w:rPr>
          <w:rFonts w:eastAsiaTheme="minorEastAsia"/>
          <w:i/>
          <w:iCs/>
        </w:rPr>
        <w:t>increased transparency in Credit Ratings Agencies (CRAs)</w:t>
      </w:r>
      <w:r w:rsidR="26799CFD" w:rsidRPr="1659101B">
        <w:rPr>
          <w:rFonts w:eastAsiaTheme="minorEastAsia"/>
          <w:i/>
          <w:iCs/>
        </w:rPr>
        <w:t>.</w:t>
      </w:r>
    </w:p>
    <w:p w14:paraId="3C9669BC" w14:textId="6505D441" w:rsidR="4EDEFA89" w:rsidRDefault="4EDEFA89" w:rsidP="0E127262">
      <w:pPr>
        <w:rPr>
          <w:rFonts w:eastAsiaTheme="majorEastAsia" w:cstheme="majorBidi" w:hint="eastAsia"/>
          <w:b/>
          <w:bCs/>
          <w:color w:val="0F4761" w:themeColor="accent1" w:themeShade="BF"/>
          <w:sz w:val="26"/>
          <w:szCs w:val="26"/>
        </w:rPr>
      </w:pPr>
      <w:r w:rsidRPr="00671052">
        <w:rPr>
          <w:rFonts w:eastAsiaTheme="majorEastAsia" w:cstheme="majorBidi"/>
          <w:b/>
          <w:bCs/>
          <w:color w:val="0F4761" w:themeColor="accent1" w:themeShade="BF"/>
          <w:sz w:val="26"/>
          <w:szCs w:val="26"/>
        </w:rPr>
        <w:t xml:space="preserve">Element: </w:t>
      </w:r>
      <w:r w:rsidR="00C36D5A">
        <w:rPr>
          <w:rFonts w:eastAsiaTheme="majorEastAsia" w:cstheme="majorBidi"/>
          <w:b/>
          <w:bCs/>
          <w:color w:val="0F4761" w:themeColor="accent1" w:themeShade="BF"/>
          <w:sz w:val="26"/>
          <w:szCs w:val="26"/>
        </w:rPr>
        <w:t>L</w:t>
      </w:r>
      <w:r w:rsidR="346CCA5B" w:rsidRPr="0E127262">
        <w:rPr>
          <w:rFonts w:eastAsiaTheme="majorEastAsia" w:cstheme="majorBidi"/>
          <w:b/>
          <w:bCs/>
          <w:color w:val="0F4761" w:themeColor="accent1" w:themeShade="BF"/>
          <w:sz w:val="26"/>
          <w:szCs w:val="26"/>
        </w:rPr>
        <w:t xml:space="preserve">iquidity support and </w:t>
      </w:r>
      <w:r w:rsidRPr="00671052">
        <w:rPr>
          <w:rFonts w:eastAsiaTheme="majorEastAsia" w:cstheme="majorBidi"/>
          <w:b/>
          <w:bCs/>
          <w:color w:val="0F4761" w:themeColor="accent1" w:themeShade="BF"/>
          <w:sz w:val="26"/>
          <w:szCs w:val="26"/>
        </w:rPr>
        <w:t>long-term affordable development financing</w:t>
      </w:r>
    </w:p>
    <w:p w14:paraId="7291BBA2" w14:textId="1DEA8098" w:rsidR="00671052" w:rsidRPr="00671052" w:rsidRDefault="004175BB" w:rsidP="00671052">
      <w:r>
        <w:t>Language:</w:t>
      </w:r>
    </w:p>
    <w:p w14:paraId="3F9ADD47" w14:textId="2BACB06F" w:rsidR="5ABB6474" w:rsidRPr="00A83471" w:rsidRDefault="00470D0C" w:rsidP="005D1AC3">
      <w:pPr>
        <w:rPr>
          <w:i/>
          <w:iCs/>
        </w:rPr>
      </w:pPr>
      <w:r>
        <w:rPr>
          <w:i/>
          <w:iCs/>
        </w:rPr>
        <w:t>H</w:t>
      </w:r>
      <w:r w:rsidR="006640E4">
        <w:rPr>
          <w:i/>
          <w:iCs/>
        </w:rPr>
        <w:t xml:space="preserve">igh debt levels, borrowing costs and refinancing needs </w:t>
      </w:r>
      <w:r w:rsidR="0062439C">
        <w:rPr>
          <w:i/>
          <w:iCs/>
        </w:rPr>
        <w:t xml:space="preserve">constrain </w:t>
      </w:r>
      <w:r w:rsidR="00530308">
        <w:rPr>
          <w:i/>
          <w:iCs/>
        </w:rPr>
        <w:t xml:space="preserve">SDG </w:t>
      </w:r>
      <w:r w:rsidR="0062439C">
        <w:rPr>
          <w:i/>
          <w:iCs/>
        </w:rPr>
        <w:t>investment. Without liquidity support</w:t>
      </w:r>
      <w:r w:rsidR="007F1E30">
        <w:rPr>
          <w:i/>
          <w:iCs/>
        </w:rPr>
        <w:t xml:space="preserve">, development trade-offs </w:t>
      </w:r>
      <w:r w:rsidR="00530308">
        <w:rPr>
          <w:i/>
          <w:iCs/>
        </w:rPr>
        <w:t xml:space="preserve">and solvency problems </w:t>
      </w:r>
      <w:r w:rsidR="007F1E30">
        <w:rPr>
          <w:i/>
          <w:iCs/>
        </w:rPr>
        <w:t>will intensify.</w:t>
      </w:r>
      <w:r w:rsidR="005D1AC3">
        <w:rPr>
          <w:i/>
          <w:iCs/>
        </w:rPr>
        <w:t xml:space="preserve"> We call for strengthened MDB reform, in line with the </w:t>
      </w:r>
      <w:r w:rsidR="259CD8D1" w:rsidRPr="0E127262">
        <w:rPr>
          <w:i/>
          <w:iCs/>
        </w:rPr>
        <w:t>UN Secretary Gener</w:t>
      </w:r>
      <w:r w:rsidR="322D11AF" w:rsidRPr="0E127262">
        <w:rPr>
          <w:i/>
          <w:iCs/>
        </w:rPr>
        <w:t>al’s SDG Stimulus Plan</w:t>
      </w:r>
      <w:r w:rsidR="004D58AF">
        <w:rPr>
          <w:i/>
          <w:iCs/>
        </w:rPr>
        <w:t xml:space="preserve"> and </w:t>
      </w:r>
      <w:r w:rsidR="3D1C9E3A" w:rsidRPr="0E127262">
        <w:rPr>
          <w:i/>
          <w:iCs/>
        </w:rPr>
        <w:t xml:space="preserve">support </w:t>
      </w:r>
      <w:r w:rsidR="450426F2" w:rsidRPr="0E127262">
        <w:rPr>
          <w:i/>
          <w:iCs/>
        </w:rPr>
        <w:t xml:space="preserve">the </w:t>
      </w:r>
      <w:r w:rsidR="3D1C9E3A" w:rsidRPr="0E127262">
        <w:rPr>
          <w:i/>
          <w:iCs/>
        </w:rPr>
        <w:t xml:space="preserve">setting </w:t>
      </w:r>
      <w:r w:rsidR="095941FF" w:rsidRPr="0E127262">
        <w:rPr>
          <w:i/>
          <w:iCs/>
        </w:rPr>
        <w:t xml:space="preserve">of a more </w:t>
      </w:r>
      <w:r w:rsidR="3D1C9E3A" w:rsidRPr="0E127262">
        <w:rPr>
          <w:i/>
          <w:iCs/>
        </w:rPr>
        <w:t xml:space="preserve">ambitious climate finance </w:t>
      </w:r>
      <w:r w:rsidR="32D78CA8" w:rsidRPr="0E127262">
        <w:rPr>
          <w:i/>
          <w:iCs/>
        </w:rPr>
        <w:t xml:space="preserve">target </w:t>
      </w:r>
      <w:r w:rsidR="3D1C9E3A" w:rsidRPr="0E127262">
        <w:rPr>
          <w:i/>
          <w:iCs/>
        </w:rPr>
        <w:t xml:space="preserve">which reflects the </w:t>
      </w:r>
      <w:r w:rsidR="106AEA97" w:rsidRPr="0E127262">
        <w:rPr>
          <w:i/>
          <w:iCs/>
        </w:rPr>
        <w:t xml:space="preserve">inherent </w:t>
      </w:r>
      <w:r w:rsidR="3D1C9E3A" w:rsidRPr="0E127262">
        <w:rPr>
          <w:i/>
          <w:iCs/>
        </w:rPr>
        <w:t>inequalit</w:t>
      </w:r>
      <w:r w:rsidR="18A1AF78" w:rsidRPr="0E127262">
        <w:rPr>
          <w:i/>
          <w:iCs/>
        </w:rPr>
        <w:t>y</w:t>
      </w:r>
      <w:r w:rsidR="3D1C9E3A" w:rsidRPr="0E127262">
        <w:rPr>
          <w:i/>
          <w:iCs/>
        </w:rPr>
        <w:t xml:space="preserve"> </w:t>
      </w:r>
      <w:r w:rsidR="004D58AF">
        <w:rPr>
          <w:i/>
          <w:iCs/>
        </w:rPr>
        <w:t xml:space="preserve">between </w:t>
      </w:r>
      <w:r w:rsidR="152C1AE4" w:rsidRPr="0E127262">
        <w:rPr>
          <w:i/>
          <w:iCs/>
        </w:rPr>
        <w:t xml:space="preserve">emissions </w:t>
      </w:r>
      <w:r w:rsidR="004D58AF">
        <w:rPr>
          <w:i/>
          <w:iCs/>
        </w:rPr>
        <w:t xml:space="preserve">and </w:t>
      </w:r>
      <w:r w:rsidR="152C1AE4" w:rsidRPr="0E127262">
        <w:rPr>
          <w:i/>
          <w:iCs/>
        </w:rPr>
        <w:t xml:space="preserve">the impacts of climate change, </w:t>
      </w:r>
      <w:r w:rsidR="2ACCFBC6" w:rsidRPr="0E127262">
        <w:rPr>
          <w:i/>
          <w:iCs/>
        </w:rPr>
        <w:t xml:space="preserve">needs and the </w:t>
      </w:r>
      <w:r w:rsidR="152C1AE4" w:rsidRPr="0E127262">
        <w:rPr>
          <w:i/>
          <w:iCs/>
        </w:rPr>
        <w:t xml:space="preserve">rapidly closing window </w:t>
      </w:r>
      <w:r w:rsidR="5EE9A01B" w:rsidRPr="0E127262">
        <w:rPr>
          <w:i/>
          <w:iCs/>
        </w:rPr>
        <w:t xml:space="preserve">to </w:t>
      </w:r>
      <w:r w:rsidR="152C1AE4" w:rsidRPr="0E127262">
        <w:rPr>
          <w:i/>
          <w:iCs/>
        </w:rPr>
        <w:t>avoid catastrophic levels of warming.</w:t>
      </w:r>
      <w:r w:rsidR="004D58AF">
        <w:rPr>
          <w:i/>
          <w:iCs/>
        </w:rPr>
        <w:t xml:space="preserve"> W</w:t>
      </w:r>
      <w:r w:rsidR="152C1AE4" w:rsidRPr="0E127262">
        <w:rPr>
          <w:i/>
          <w:iCs/>
        </w:rPr>
        <w:t xml:space="preserve">e support </w:t>
      </w:r>
      <w:r w:rsidR="596DC331" w:rsidRPr="0E127262">
        <w:rPr>
          <w:i/>
          <w:iCs/>
        </w:rPr>
        <w:t xml:space="preserve">exploring </w:t>
      </w:r>
      <w:r w:rsidR="3D1C9E3A" w:rsidRPr="0E127262">
        <w:rPr>
          <w:i/>
          <w:iCs/>
        </w:rPr>
        <w:t xml:space="preserve">the </w:t>
      </w:r>
      <w:r w:rsidR="1606205F" w:rsidRPr="0E127262">
        <w:rPr>
          <w:i/>
          <w:iCs/>
        </w:rPr>
        <w:t xml:space="preserve">use of official-sector credit enhancement </w:t>
      </w:r>
      <w:r w:rsidR="004D58AF">
        <w:rPr>
          <w:i/>
          <w:iCs/>
        </w:rPr>
        <w:t xml:space="preserve">to </w:t>
      </w:r>
      <w:r w:rsidR="7CBE5FC0" w:rsidRPr="0E127262">
        <w:rPr>
          <w:i/>
          <w:iCs/>
        </w:rPr>
        <w:t>lower the</w:t>
      </w:r>
      <w:r w:rsidR="3B3ABF95" w:rsidRPr="0E127262">
        <w:rPr>
          <w:i/>
          <w:iCs/>
        </w:rPr>
        <w:t xml:space="preserve"> cost of </w:t>
      </w:r>
      <w:r w:rsidR="00DD3E31">
        <w:rPr>
          <w:i/>
          <w:iCs/>
        </w:rPr>
        <w:t xml:space="preserve">private </w:t>
      </w:r>
      <w:r w:rsidR="3B3ABF95" w:rsidRPr="0E127262">
        <w:rPr>
          <w:i/>
          <w:iCs/>
        </w:rPr>
        <w:t>finance, including liability management oper</w:t>
      </w:r>
      <w:r w:rsidR="7696ED86" w:rsidRPr="0E127262">
        <w:rPr>
          <w:i/>
          <w:iCs/>
        </w:rPr>
        <w:t>ations such as debt-for-development swaps and buybacks</w:t>
      </w:r>
      <w:r w:rsidR="65B3999C" w:rsidRPr="0E127262">
        <w:rPr>
          <w:i/>
          <w:iCs/>
        </w:rPr>
        <w:t xml:space="preserve">. </w:t>
      </w:r>
    </w:p>
    <w:p w14:paraId="55A8108A" w14:textId="56F944CF" w:rsidR="77A02697" w:rsidRDefault="77A02697" w:rsidP="5ABB6474">
      <w:pPr>
        <w:pStyle w:val="Heading2"/>
        <w:rPr>
          <w:rFonts w:hint="eastAsia"/>
          <w:u w:val="single"/>
        </w:rPr>
      </w:pPr>
      <w:bookmarkStart w:id="28" w:name="_Toc179920248"/>
      <w:r w:rsidRPr="5ABB6474">
        <w:rPr>
          <w:u w:val="single"/>
        </w:rPr>
        <w:t xml:space="preserve">F. </w:t>
      </w:r>
      <w:r w:rsidR="007F4FF4" w:rsidRPr="5ABB6474">
        <w:rPr>
          <w:u w:val="single"/>
        </w:rPr>
        <w:t xml:space="preserve"> </w:t>
      </w:r>
      <w:r w:rsidR="006C7C98" w:rsidRPr="5ABB6474">
        <w:rPr>
          <w:u w:val="single"/>
        </w:rPr>
        <w:t>Addressing systemic issues</w:t>
      </w:r>
      <w:bookmarkEnd w:id="28"/>
    </w:p>
    <w:p w14:paraId="6C89DD13" w14:textId="3B481CAF" w:rsidR="00D07315" w:rsidRDefault="00D07315" w:rsidP="00D07315">
      <w:pPr>
        <w:pStyle w:val="Heading3"/>
        <w:rPr>
          <w:rFonts w:hint="eastAsia"/>
        </w:rPr>
      </w:pPr>
      <w:bookmarkStart w:id="29" w:name="_Toc179920249"/>
      <w:r>
        <w:t xml:space="preserve">Element: </w:t>
      </w:r>
      <w:r w:rsidR="0CDCD8DB">
        <w:t>IFA-reform</w:t>
      </w:r>
      <w:bookmarkEnd w:id="29"/>
    </w:p>
    <w:p w14:paraId="2BBF2A8C" w14:textId="10516BAC" w:rsidR="00A83471" w:rsidRPr="00E156C7" w:rsidRDefault="00A83471" w:rsidP="003F408B">
      <w:pPr>
        <w:tabs>
          <w:tab w:val="left" w:pos="720"/>
        </w:tabs>
        <w:spacing w:line="257" w:lineRule="auto"/>
        <w:jc w:val="both"/>
        <w:rPr>
          <w:rFonts w:eastAsiaTheme="minorEastAsia"/>
          <w:i/>
          <w:iCs/>
        </w:rPr>
      </w:pPr>
      <w:r>
        <w:rPr>
          <w:i/>
          <w:iCs/>
        </w:rPr>
        <w:t>We welcome o</w:t>
      </w:r>
      <w:r w:rsidR="5CC432A3" w:rsidRPr="00A83471">
        <w:rPr>
          <w:i/>
          <w:iCs/>
        </w:rPr>
        <w:t>ngoing r</w:t>
      </w:r>
      <w:r w:rsidR="229B4D15" w:rsidRPr="00A83471">
        <w:rPr>
          <w:i/>
          <w:iCs/>
        </w:rPr>
        <w:t xml:space="preserve">eform to </w:t>
      </w:r>
      <w:r>
        <w:rPr>
          <w:i/>
          <w:iCs/>
        </w:rPr>
        <w:t xml:space="preserve">the </w:t>
      </w:r>
      <w:r w:rsidR="78B56AC5" w:rsidRPr="00A83471">
        <w:rPr>
          <w:i/>
          <w:iCs/>
        </w:rPr>
        <w:t>IFA</w:t>
      </w:r>
      <w:r w:rsidR="00FB4D05">
        <w:rPr>
          <w:i/>
          <w:iCs/>
        </w:rPr>
        <w:t xml:space="preserve"> while calling for an acceleration of </w:t>
      </w:r>
      <w:r w:rsidR="00C363E7">
        <w:rPr>
          <w:i/>
          <w:iCs/>
        </w:rPr>
        <w:t>progress, building on the commitment in the Pact for the Future</w:t>
      </w:r>
      <w:r w:rsidR="229B4D15" w:rsidRPr="00A83471">
        <w:rPr>
          <w:i/>
          <w:iCs/>
        </w:rPr>
        <w:t>.</w:t>
      </w:r>
      <w:r w:rsidR="00C363E7">
        <w:rPr>
          <w:rStyle w:val="EndnoteReference"/>
          <w:i/>
          <w:iCs/>
        </w:rPr>
        <w:endnoteReference w:id="12"/>
      </w:r>
      <w:r w:rsidR="229B4D15" w:rsidRPr="00A83471">
        <w:rPr>
          <w:i/>
          <w:iCs/>
        </w:rPr>
        <w:t xml:space="preserve"> Reforms must e</w:t>
      </w:r>
      <w:r w:rsidR="5E317BEA" w:rsidRPr="00A83471">
        <w:rPr>
          <w:i/>
          <w:iCs/>
        </w:rPr>
        <w:t>n</w:t>
      </w:r>
      <w:r w:rsidR="229B4D15" w:rsidRPr="00A83471">
        <w:rPr>
          <w:i/>
          <w:iCs/>
        </w:rPr>
        <w:t>sure greater voice and repre</w:t>
      </w:r>
      <w:r w:rsidR="708E2368" w:rsidRPr="00A83471">
        <w:rPr>
          <w:i/>
          <w:iCs/>
        </w:rPr>
        <w:t xml:space="preserve">sentation </w:t>
      </w:r>
      <w:r w:rsidR="00810535">
        <w:rPr>
          <w:i/>
          <w:iCs/>
        </w:rPr>
        <w:t>for</w:t>
      </w:r>
      <w:r w:rsidR="00810535" w:rsidRPr="00A83471">
        <w:rPr>
          <w:i/>
          <w:iCs/>
        </w:rPr>
        <w:t xml:space="preserve"> </w:t>
      </w:r>
      <w:r w:rsidR="708E2368" w:rsidRPr="00A83471">
        <w:rPr>
          <w:i/>
          <w:iCs/>
        </w:rPr>
        <w:t xml:space="preserve">the global south in global economic and financial governance institutions, </w:t>
      </w:r>
      <w:r w:rsidR="0D4114CA" w:rsidRPr="00A83471">
        <w:rPr>
          <w:i/>
          <w:iCs/>
        </w:rPr>
        <w:t xml:space="preserve">and an </w:t>
      </w:r>
      <w:r w:rsidR="00F00116">
        <w:rPr>
          <w:i/>
          <w:iCs/>
        </w:rPr>
        <w:t>architecture</w:t>
      </w:r>
      <w:r w:rsidR="0D4114CA" w:rsidRPr="00A83471">
        <w:rPr>
          <w:i/>
          <w:iCs/>
        </w:rPr>
        <w:t xml:space="preserve"> fit for purpose in a mor</w:t>
      </w:r>
      <w:r w:rsidR="0D4114CA" w:rsidRPr="00A83471">
        <w:rPr>
          <w:rFonts w:eastAsiaTheme="minorEastAsia"/>
          <w:i/>
          <w:iCs/>
        </w:rPr>
        <w:t>e shock</w:t>
      </w:r>
      <w:r w:rsidR="00810535">
        <w:rPr>
          <w:rFonts w:eastAsiaTheme="minorEastAsia"/>
          <w:i/>
          <w:iCs/>
        </w:rPr>
        <w:t>-</w:t>
      </w:r>
      <w:r w:rsidR="0D4114CA" w:rsidRPr="00A83471">
        <w:rPr>
          <w:rFonts w:eastAsiaTheme="minorEastAsia"/>
          <w:i/>
          <w:iCs/>
        </w:rPr>
        <w:t xml:space="preserve">prone world. </w:t>
      </w:r>
      <w:r w:rsidR="00CB10E0">
        <w:rPr>
          <w:rFonts w:eastAsiaTheme="minorEastAsia"/>
          <w:i/>
          <w:iCs/>
        </w:rPr>
        <w:t>W</w:t>
      </w:r>
      <w:r w:rsidR="005B4D05">
        <w:rPr>
          <w:rFonts w:eastAsiaTheme="minorEastAsia"/>
          <w:i/>
          <w:iCs/>
        </w:rPr>
        <w:t xml:space="preserve">e recognise the </w:t>
      </w:r>
      <w:r w:rsidR="005B4D05" w:rsidRPr="00A83471">
        <w:rPr>
          <w:rFonts w:eastAsiaTheme="minorEastAsia"/>
          <w:i/>
          <w:iCs/>
        </w:rPr>
        <w:t xml:space="preserve">reforms </w:t>
      </w:r>
      <w:r w:rsidR="005B4D05">
        <w:rPr>
          <w:rFonts w:eastAsiaTheme="minorEastAsia"/>
          <w:i/>
          <w:iCs/>
        </w:rPr>
        <w:t>to</w:t>
      </w:r>
      <w:r w:rsidR="005B4D05" w:rsidRPr="00A83471">
        <w:rPr>
          <w:rFonts w:eastAsiaTheme="minorEastAsia"/>
          <w:i/>
          <w:iCs/>
        </w:rPr>
        <w:t xml:space="preserve"> mandates, analytical tools, lending capacity, country engagement strategies and private finance</w:t>
      </w:r>
      <w:r w:rsidR="005B4D05">
        <w:rPr>
          <w:rFonts w:eastAsiaTheme="minorEastAsia"/>
          <w:i/>
          <w:iCs/>
        </w:rPr>
        <w:t xml:space="preserve"> </w:t>
      </w:r>
      <w:r w:rsidR="00CB10E0">
        <w:rPr>
          <w:rFonts w:eastAsiaTheme="minorEastAsia"/>
          <w:i/>
          <w:iCs/>
        </w:rPr>
        <w:t xml:space="preserve">mobilization </w:t>
      </w:r>
      <w:r w:rsidR="005B4D05">
        <w:rPr>
          <w:rFonts w:eastAsiaTheme="minorEastAsia"/>
          <w:i/>
          <w:iCs/>
        </w:rPr>
        <w:t xml:space="preserve">that </w:t>
      </w:r>
      <w:r w:rsidR="5C5B2E17" w:rsidRPr="00A83471">
        <w:rPr>
          <w:rFonts w:eastAsiaTheme="minorEastAsia"/>
          <w:i/>
          <w:iCs/>
        </w:rPr>
        <w:t>all major MDBs are planning or implementing</w:t>
      </w:r>
      <w:r w:rsidR="005B4D05">
        <w:rPr>
          <w:rFonts w:eastAsiaTheme="minorEastAsia"/>
          <w:i/>
          <w:iCs/>
        </w:rPr>
        <w:t xml:space="preserve">. We </w:t>
      </w:r>
      <w:r w:rsidR="003F408B">
        <w:rPr>
          <w:rFonts w:eastAsiaTheme="minorEastAsia"/>
          <w:i/>
          <w:iCs/>
        </w:rPr>
        <w:t>recognise the need for a</w:t>
      </w:r>
      <w:r w:rsidR="5C5B2E17" w:rsidRPr="00A83471">
        <w:rPr>
          <w:rFonts w:eastAsiaTheme="minorEastAsia"/>
          <w:i/>
          <w:iCs/>
        </w:rPr>
        <w:t xml:space="preserve">mbition beyond existing resources and </w:t>
      </w:r>
      <w:r w:rsidR="003F408B">
        <w:rPr>
          <w:rFonts w:eastAsiaTheme="minorEastAsia"/>
          <w:i/>
          <w:iCs/>
        </w:rPr>
        <w:t xml:space="preserve">call for </w:t>
      </w:r>
      <w:r w:rsidR="5C5B2E17" w:rsidRPr="00A83471">
        <w:rPr>
          <w:rFonts w:eastAsiaTheme="minorEastAsia"/>
          <w:i/>
          <w:iCs/>
        </w:rPr>
        <w:t xml:space="preserve">shareholders </w:t>
      </w:r>
      <w:r w:rsidR="003F408B">
        <w:rPr>
          <w:rFonts w:eastAsiaTheme="minorEastAsia"/>
          <w:i/>
          <w:iCs/>
        </w:rPr>
        <w:t xml:space="preserve">to </w:t>
      </w:r>
      <w:r w:rsidR="5C5B2E17" w:rsidRPr="00A83471">
        <w:rPr>
          <w:rFonts w:eastAsiaTheme="minorEastAsia"/>
          <w:i/>
          <w:iCs/>
        </w:rPr>
        <w:t>commit to increasing MDB lending capacity in line with the SDG Stimulus Plan</w:t>
      </w:r>
      <w:r w:rsidR="73C154C9" w:rsidRPr="1659101B">
        <w:rPr>
          <w:rFonts w:eastAsiaTheme="minorEastAsia"/>
          <w:i/>
          <w:iCs/>
        </w:rPr>
        <w:t>.</w:t>
      </w:r>
    </w:p>
    <w:p w14:paraId="68834996" w14:textId="2993EFBC" w:rsidR="006C7C98" w:rsidRPr="007F4FF4" w:rsidRDefault="006C7C98" w:rsidP="007F4FF4">
      <w:pPr>
        <w:pStyle w:val="Heading2"/>
        <w:numPr>
          <w:ilvl w:val="1"/>
          <w:numId w:val="5"/>
        </w:numPr>
        <w:rPr>
          <w:rFonts w:hint="eastAsia"/>
          <w:u w:val="single"/>
        </w:rPr>
      </w:pPr>
      <w:bookmarkStart w:id="30" w:name="_Toc179920250"/>
      <w:r w:rsidRPr="007F4FF4">
        <w:rPr>
          <w:u w:val="single"/>
        </w:rPr>
        <w:t>Science, technology, innovation and capacity building</w:t>
      </w:r>
      <w:bookmarkEnd w:id="30"/>
    </w:p>
    <w:p w14:paraId="17BBAE1F" w14:textId="3218A984" w:rsidR="00E02DB6" w:rsidRDefault="00D72806" w:rsidP="00D72806">
      <w:r>
        <w:t xml:space="preserve">The </w:t>
      </w:r>
      <w:r w:rsidR="009508FB">
        <w:t>AAAA</w:t>
      </w:r>
      <w:r>
        <w:t xml:space="preserve"> laid the groundwork for </w:t>
      </w:r>
      <w:r w:rsidR="00E02DB6">
        <w:t xml:space="preserve">science, </w:t>
      </w:r>
      <w:r>
        <w:t>technology</w:t>
      </w:r>
      <w:r w:rsidR="00E02DB6">
        <w:t xml:space="preserve">, innovation and capacity building </w:t>
      </w:r>
      <w:r>
        <w:t>in development finance</w:t>
      </w:r>
      <w:r w:rsidR="00E02DB6">
        <w:t>. S</w:t>
      </w:r>
      <w:r w:rsidR="00B429EC">
        <w:t>ubstantial advancements s</w:t>
      </w:r>
      <w:r w:rsidR="00E02DB6">
        <w:t xml:space="preserve">ince 2015 </w:t>
      </w:r>
      <w:r w:rsidR="00AA61E3">
        <w:t>amplif</w:t>
      </w:r>
      <w:r w:rsidR="00B429EC">
        <w:t>y</w:t>
      </w:r>
      <w:r w:rsidR="00AA61E3">
        <w:t xml:space="preserve"> the need to build capacity and institutional capabilities</w:t>
      </w:r>
      <w:r w:rsidR="4946F257">
        <w:t xml:space="preserve"> across the science–policy nexus</w:t>
      </w:r>
      <w:r w:rsidR="00AA61E3">
        <w:t xml:space="preserve">, ensuring countries and communities </w:t>
      </w:r>
      <w:r w:rsidR="00E7253F">
        <w:t>benefit from</w:t>
      </w:r>
      <w:r w:rsidR="00BD28D6">
        <w:t xml:space="preserve"> new technology and innovation.</w:t>
      </w:r>
    </w:p>
    <w:p w14:paraId="2E1DEA56" w14:textId="6E1356AB" w:rsidR="00DF49C8" w:rsidRDefault="00DF49C8" w:rsidP="00DF49C8">
      <w:pPr>
        <w:pStyle w:val="Heading3"/>
        <w:rPr>
          <w:rFonts w:hint="eastAsia"/>
        </w:rPr>
      </w:pPr>
      <w:bookmarkStart w:id="31" w:name="_Toc179920251"/>
      <w:r w:rsidRPr="00E660D7">
        <w:t xml:space="preserve">Element: </w:t>
      </w:r>
      <w:r w:rsidR="00E660D7" w:rsidRPr="00E660D7">
        <w:t xml:space="preserve">Digital </w:t>
      </w:r>
      <w:r w:rsidR="00F86182">
        <w:t>PFM</w:t>
      </w:r>
      <w:r w:rsidR="00E660D7" w:rsidRPr="00E660D7">
        <w:t xml:space="preserve"> systems</w:t>
      </w:r>
      <w:bookmarkEnd w:id="31"/>
    </w:p>
    <w:p w14:paraId="2D78572B" w14:textId="4034E0DD" w:rsidR="00DF49C8" w:rsidRDefault="004175BB" w:rsidP="006C7C98">
      <w:r>
        <w:t>Language:</w:t>
      </w:r>
    </w:p>
    <w:p w14:paraId="1399182C" w14:textId="45C14B90" w:rsidR="00631D6B" w:rsidRDefault="00F0329D" w:rsidP="00B04E5F">
      <w:pPr>
        <w:rPr>
          <w:rStyle w:val="Emphasis"/>
        </w:rPr>
      </w:pPr>
      <w:r w:rsidRPr="00B04E5F">
        <w:rPr>
          <w:rStyle w:val="Emphasis"/>
        </w:rPr>
        <w:lastRenderedPageBreak/>
        <w:t xml:space="preserve">AI and digital tools </w:t>
      </w:r>
      <w:r w:rsidR="00B43DF7">
        <w:rPr>
          <w:rStyle w:val="Emphasis"/>
        </w:rPr>
        <w:t xml:space="preserve">can </w:t>
      </w:r>
      <w:r w:rsidRPr="00B04E5F">
        <w:rPr>
          <w:rStyle w:val="Emphasis"/>
        </w:rPr>
        <w:t>improve government financial management</w:t>
      </w:r>
      <w:r w:rsidR="007B4640">
        <w:rPr>
          <w:rStyle w:val="Emphasis"/>
        </w:rPr>
        <w:t>,</w:t>
      </w:r>
      <w:r w:rsidRPr="00B04E5F">
        <w:rPr>
          <w:rStyle w:val="Emphasis"/>
        </w:rPr>
        <w:t xml:space="preserve"> making procurement, budgeting, and tax collection more transparent and efficient. </w:t>
      </w:r>
      <w:r w:rsidR="002A3D1C" w:rsidRPr="00B04E5F">
        <w:rPr>
          <w:rStyle w:val="Emphasis"/>
        </w:rPr>
        <w:t xml:space="preserve">We </w:t>
      </w:r>
      <w:r w:rsidR="00241953">
        <w:rPr>
          <w:rStyle w:val="Emphasis"/>
        </w:rPr>
        <w:t>utilise</w:t>
      </w:r>
      <w:r w:rsidR="00164E98" w:rsidRPr="00B04E5F">
        <w:rPr>
          <w:rStyle w:val="Emphasis"/>
        </w:rPr>
        <w:t xml:space="preserve"> technolog</w:t>
      </w:r>
      <w:r w:rsidR="00241953">
        <w:rPr>
          <w:rStyle w:val="Emphasis"/>
        </w:rPr>
        <w:t>y</w:t>
      </w:r>
      <w:r w:rsidR="00164E98" w:rsidRPr="00B04E5F">
        <w:rPr>
          <w:rStyle w:val="Emphasis"/>
        </w:rPr>
        <w:t xml:space="preserve"> to improve</w:t>
      </w:r>
      <w:r w:rsidR="00B04E5F" w:rsidRPr="00B04E5F">
        <w:rPr>
          <w:rStyle w:val="Emphasis"/>
        </w:rPr>
        <w:t xml:space="preserve"> </w:t>
      </w:r>
      <w:r w:rsidR="00241953">
        <w:rPr>
          <w:rStyle w:val="Emphasis"/>
        </w:rPr>
        <w:t xml:space="preserve">public finance </w:t>
      </w:r>
      <w:r w:rsidR="00B04E5F" w:rsidRPr="00B04E5F">
        <w:rPr>
          <w:rStyle w:val="Emphasis"/>
        </w:rPr>
        <w:t xml:space="preserve">efficiency, transparency and accountability, and build automated systems that help </w:t>
      </w:r>
      <w:r w:rsidRPr="00B04E5F">
        <w:rPr>
          <w:rStyle w:val="Emphasis"/>
        </w:rPr>
        <w:t>prevent illicit financial flows.</w:t>
      </w:r>
    </w:p>
    <w:p w14:paraId="1AA77FB3" w14:textId="626CBECB" w:rsidR="00AD5C9F" w:rsidRDefault="004175BB" w:rsidP="00AD5C9F">
      <w:pPr>
        <w:rPr>
          <w:rStyle w:val="Emphasis"/>
          <w:i w:val="0"/>
          <w:iCs w:val="0"/>
        </w:rPr>
      </w:pPr>
      <w:r>
        <w:rPr>
          <w:rStyle w:val="Emphasis"/>
          <w:i w:val="0"/>
          <w:iCs w:val="0"/>
        </w:rPr>
        <w:t>Target</w:t>
      </w:r>
      <w:r w:rsidR="00AD5C9F">
        <w:rPr>
          <w:rStyle w:val="Emphasis"/>
          <w:i w:val="0"/>
          <w:iCs w:val="0"/>
        </w:rPr>
        <w:t>:</w:t>
      </w:r>
    </w:p>
    <w:p w14:paraId="6876946E" w14:textId="77777777" w:rsidR="002F55D9" w:rsidRPr="00FF22BA" w:rsidRDefault="002F55D9" w:rsidP="002F55D9">
      <w:pPr>
        <w:pStyle w:val="ListParagraph"/>
        <w:numPr>
          <w:ilvl w:val="0"/>
          <w:numId w:val="4"/>
        </w:numPr>
      </w:pPr>
      <w:r w:rsidRPr="00FF22BA">
        <w:rPr>
          <w:b/>
          <w:bCs/>
        </w:rPr>
        <w:t>60% of low- and middle-income countries</w:t>
      </w:r>
      <w:r w:rsidRPr="00FF22BA">
        <w:t xml:space="preserve"> have </w:t>
      </w:r>
      <w:r w:rsidRPr="00FF22BA">
        <w:rPr>
          <w:b/>
          <w:bCs/>
        </w:rPr>
        <w:t>digital public financial management systems</w:t>
      </w:r>
      <w:r w:rsidRPr="00FF22BA">
        <w:t xml:space="preserve"> in place by 2030</w:t>
      </w:r>
      <w:r>
        <w:t>.</w:t>
      </w:r>
    </w:p>
    <w:p w14:paraId="0C83263A" w14:textId="102018AE" w:rsidR="00AD5C9F" w:rsidRPr="00AD5C9F" w:rsidRDefault="00AD5C9F">
      <w:pPr>
        <w:pStyle w:val="ListParagraph"/>
        <w:numPr>
          <w:ilvl w:val="0"/>
          <w:numId w:val="4"/>
        </w:numPr>
        <w:rPr>
          <w:rStyle w:val="Emphasis"/>
          <w:i w:val="0"/>
          <w:iCs w:val="0"/>
        </w:rPr>
      </w:pPr>
      <w:r w:rsidRPr="00AD5C9F">
        <w:rPr>
          <w:b/>
          <w:bCs/>
        </w:rPr>
        <w:t>75% of low- and middle-income countries</w:t>
      </w:r>
      <w:r>
        <w:t xml:space="preserve"> implement AI-powered solutions to improve tax collection by 2030.</w:t>
      </w:r>
    </w:p>
    <w:p w14:paraId="773D19DA" w14:textId="237C9E2B" w:rsidR="00E660D7" w:rsidRDefault="00E660D7" w:rsidP="00E660D7">
      <w:pPr>
        <w:pStyle w:val="Heading3"/>
        <w:rPr>
          <w:rFonts w:hint="eastAsia"/>
        </w:rPr>
      </w:pPr>
      <w:bookmarkStart w:id="32" w:name="_Toc179920252"/>
      <w:r>
        <w:t xml:space="preserve">Element: </w:t>
      </w:r>
      <w:r w:rsidR="00F86182">
        <w:t>T</w:t>
      </w:r>
      <w:r w:rsidR="00DD7E9D">
        <w:t>echnology to advance f</w:t>
      </w:r>
      <w:r>
        <w:t>inancial inclusion</w:t>
      </w:r>
      <w:bookmarkEnd w:id="32"/>
    </w:p>
    <w:p w14:paraId="3588800C" w14:textId="39757782" w:rsidR="004A5100" w:rsidRDefault="004175BB" w:rsidP="004A5100">
      <w:r>
        <w:t>Language:</w:t>
      </w:r>
    </w:p>
    <w:p w14:paraId="23B0D8BC" w14:textId="25B6197A" w:rsidR="00E660D7" w:rsidRDefault="004A5100" w:rsidP="006C7C98">
      <w:pPr>
        <w:rPr>
          <w:rStyle w:val="Emphasis"/>
        </w:rPr>
      </w:pPr>
      <w:r>
        <w:rPr>
          <w:rStyle w:val="Emphasis"/>
        </w:rPr>
        <w:t xml:space="preserve">We </w:t>
      </w:r>
      <w:r w:rsidR="00C37F37">
        <w:rPr>
          <w:rStyle w:val="Emphasis"/>
        </w:rPr>
        <w:t xml:space="preserve">will harness </w:t>
      </w:r>
      <w:r w:rsidR="003469AB">
        <w:rPr>
          <w:rStyle w:val="Emphasis"/>
        </w:rPr>
        <w:t xml:space="preserve">existing and future </w:t>
      </w:r>
      <w:r w:rsidR="008F7344">
        <w:rPr>
          <w:rStyle w:val="Emphasis"/>
        </w:rPr>
        <w:t xml:space="preserve">technological </w:t>
      </w:r>
      <w:r w:rsidR="007B3DBD">
        <w:rPr>
          <w:rStyle w:val="Emphasis"/>
        </w:rPr>
        <w:t>advancements</w:t>
      </w:r>
      <w:r w:rsidR="003469AB">
        <w:rPr>
          <w:rStyle w:val="Emphasis"/>
        </w:rPr>
        <w:t xml:space="preserve"> to improve and extend the reach of </w:t>
      </w:r>
      <w:r w:rsidR="001A2147">
        <w:rPr>
          <w:rStyle w:val="Emphasis"/>
        </w:rPr>
        <w:t xml:space="preserve">financial services to </w:t>
      </w:r>
      <w:r w:rsidR="006B22F5" w:rsidRPr="006B22F5">
        <w:rPr>
          <w:rStyle w:val="Emphasis"/>
        </w:rPr>
        <w:t>underserved populations</w:t>
      </w:r>
      <w:r w:rsidR="00581EFC">
        <w:rPr>
          <w:rStyle w:val="Emphasis"/>
        </w:rPr>
        <w:t xml:space="preserve">. We will </w:t>
      </w:r>
      <w:r w:rsidR="007B3DBD">
        <w:rPr>
          <w:rStyle w:val="Emphasis"/>
        </w:rPr>
        <w:t>lower barriers to access credit, savings and insurance</w:t>
      </w:r>
      <w:r w:rsidR="00DD7E9D">
        <w:rPr>
          <w:rStyle w:val="Emphasis"/>
        </w:rPr>
        <w:t xml:space="preserve"> </w:t>
      </w:r>
      <w:r w:rsidR="00DD7E9D" w:rsidRPr="00DD7E9D">
        <w:rPr>
          <w:rStyle w:val="Emphasis"/>
        </w:rPr>
        <w:t>for individuals, smallholder</w:t>
      </w:r>
      <w:r w:rsidR="008F7344">
        <w:rPr>
          <w:rStyle w:val="Emphasis"/>
        </w:rPr>
        <w:t>-</w:t>
      </w:r>
      <w:r w:rsidR="00DD7E9D" w:rsidRPr="00DD7E9D">
        <w:rPr>
          <w:rStyle w:val="Emphasis"/>
        </w:rPr>
        <w:t>farmers and small businesses</w:t>
      </w:r>
      <w:r w:rsidR="00DD7E9D">
        <w:rPr>
          <w:rStyle w:val="Emphasis"/>
        </w:rPr>
        <w:t xml:space="preserve">, </w:t>
      </w:r>
      <w:r w:rsidR="006B22F5" w:rsidRPr="006B22F5">
        <w:rPr>
          <w:rStyle w:val="Emphasis"/>
        </w:rPr>
        <w:t>addressing critical gaps in access</w:t>
      </w:r>
      <w:r w:rsidR="00DD7E9D">
        <w:rPr>
          <w:rStyle w:val="Emphasis"/>
        </w:rPr>
        <w:t>.</w:t>
      </w:r>
    </w:p>
    <w:p w14:paraId="2DACE194" w14:textId="6A768307" w:rsidR="00AD5C9F" w:rsidRDefault="004175BB" w:rsidP="00AD5C9F">
      <w:r>
        <w:t>Target</w:t>
      </w:r>
      <w:r w:rsidR="00AD5C9F">
        <w:t>:</w:t>
      </w:r>
    </w:p>
    <w:p w14:paraId="0CFAD8CB" w14:textId="3B4C6A3C" w:rsidR="00AD5C9F" w:rsidRPr="00AD5C9F" w:rsidRDefault="00AD5C9F">
      <w:pPr>
        <w:pStyle w:val="ListParagraph"/>
        <w:numPr>
          <w:ilvl w:val="0"/>
          <w:numId w:val="4"/>
        </w:numPr>
      </w:pPr>
      <w:r w:rsidRPr="00AD5C9F">
        <w:rPr>
          <w:b/>
          <w:bCs/>
        </w:rPr>
        <w:t>Extend digital financial services</w:t>
      </w:r>
      <w:r>
        <w:t xml:space="preserve"> to an additional </w:t>
      </w:r>
      <w:r w:rsidRPr="00AD5C9F">
        <w:rPr>
          <w:b/>
          <w:bCs/>
        </w:rPr>
        <w:t>1 billion people</w:t>
      </w:r>
      <w:r>
        <w:t xml:space="preserve"> worldwide by 2030, with a focus on women and marginalised groups.</w:t>
      </w:r>
      <w:r w:rsidR="00A42C96">
        <w:rPr>
          <w:rStyle w:val="EndnoteReference"/>
        </w:rPr>
        <w:endnoteReference w:id="13"/>
      </w:r>
    </w:p>
    <w:p w14:paraId="44D30A57" w14:textId="3F4519EC" w:rsidR="00AC37FA" w:rsidRDefault="00AC37FA" w:rsidP="00AC37FA">
      <w:pPr>
        <w:pStyle w:val="Heading3"/>
        <w:rPr>
          <w:rFonts w:hint="eastAsia"/>
        </w:rPr>
      </w:pPr>
      <w:bookmarkStart w:id="33" w:name="_Toc179920253"/>
      <w:r>
        <w:t xml:space="preserve">Element: Digital and AI solutions </w:t>
      </w:r>
      <w:r w:rsidR="00546C64">
        <w:t xml:space="preserve">to </w:t>
      </w:r>
      <w:r w:rsidR="0094400E">
        <w:t>drive private investment</w:t>
      </w:r>
      <w:bookmarkEnd w:id="33"/>
    </w:p>
    <w:p w14:paraId="169A5721" w14:textId="109A72F0" w:rsidR="00AC37FA" w:rsidRDefault="004175BB" w:rsidP="006C7C98">
      <w:r>
        <w:t>Language:</w:t>
      </w:r>
    </w:p>
    <w:p w14:paraId="6596CEF4" w14:textId="424E1195" w:rsidR="00E660D7" w:rsidRDefault="00D12EEE" w:rsidP="006C7C98">
      <w:pPr>
        <w:rPr>
          <w:rStyle w:val="Emphasis"/>
        </w:rPr>
      </w:pPr>
      <w:r>
        <w:rPr>
          <w:rStyle w:val="Emphasis"/>
        </w:rPr>
        <w:t>D</w:t>
      </w:r>
      <w:r w:rsidR="00822744" w:rsidRPr="005D5188">
        <w:rPr>
          <w:rStyle w:val="Emphasis"/>
        </w:rPr>
        <w:t xml:space="preserve">igital technologies and AI </w:t>
      </w:r>
      <w:r>
        <w:rPr>
          <w:rStyle w:val="Emphasis"/>
        </w:rPr>
        <w:t xml:space="preserve">are </w:t>
      </w:r>
      <w:r w:rsidR="008F6916">
        <w:rPr>
          <w:rStyle w:val="Emphasis"/>
        </w:rPr>
        <w:t>reshaping</w:t>
      </w:r>
      <w:r w:rsidR="00EB1058" w:rsidRPr="005D5188">
        <w:rPr>
          <w:rStyle w:val="Emphasis"/>
        </w:rPr>
        <w:t xml:space="preserve"> financial and capital markets, improving risk pricing, credit allocation, impact analysis and driving greater accounting of the SDGs.</w:t>
      </w:r>
      <w:r w:rsidR="00994DBB" w:rsidRPr="005D5188">
        <w:rPr>
          <w:rStyle w:val="Emphasis"/>
        </w:rPr>
        <w:t xml:space="preserve"> </w:t>
      </w:r>
      <w:r w:rsidR="009D1390">
        <w:rPr>
          <w:rStyle w:val="Emphasis"/>
        </w:rPr>
        <w:t>We will harness the potential of d</w:t>
      </w:r>
      <w:r w:rsidR="00994DBB" w:rsidRPr="005D5188">
        <w:rPr>
          <w:rStyle w:val="Emphasis"/>
        </w:rPr>
        <w:t>igital technologies</w:t>
      </w:r>
      <w:r w:rsidR="00A53834">
        <w:rPr>
          <w:rStyle w:val="Emphasis"/>
        </w:rPr>
        <w:t xml:space="preserve"> including blockchain and smart contracts</w:t>
      </w:r>
      <w:r w:rsidR="00994DBB" w:rsidRPr="005D5188">
        <w:rPr>
          <w:rStyle w:val="Emphasis"/>
        </w:rPr>
        <w:t xml:space="preserve"> </w:t>
      </w:r>
      <w:r w:rsidR="009D1390">
        <w:rPr>
          <w:rStyle w:val="Emphasis"/>
        </w:rPr>
        <w:t xml:space="preserve">to </w:t>
      </w:r>
      <w:r w:rsidR="00994DBB" w:rsidRPr="005D5188">
        <w:rPr>
          <w:rStyle w:val="Emphasis"/>
        </w:rPr>
        <w:t>attract private capital for sustainable projects while reducing risk</w:t>
      </w:r>
      <w:r w:rsidR="00A53834">
        <w:rPr>
          <w:rStyle w:val="Emphasis"/>
        </w:rPr>
        <w:t>,</w:t>
      </w:r>
      <w:r w:rsidR="00994DBB" w:rsidRPr="005D5188">
        <w:rPr>
          <w:rStyle w:val="Emphasis"/>
        </w:rPr>
        <w:t xml:space="preserve"> enhanc</w:t>
      </w:r>
      <w:r w:rsidR="00A53834">
        <w:rPr>
          <w:rStyle w:val="Emphasis"/>
        </w:rPr>
        <w:t>ing</w:t>
      </w:r>
      <w:r w:rsidR="00994DBB" w:rsidRPr="005D5188">
        <w:rPr>
          <w:rStyle w:val="Emphasis"/>
        </w:rPr>
        <w:t xml:space="preserve"> transparency and trust </w:t>
      </w:r>
      <w:r w:rsidR="00202C62">
        <w:rPr>
          <w:rStyle w:val="Emphasis"/>
        </w:rPr>
        <w:t xml:space="preserve">and facilitating </w:t>
      </w:r>
      <w:r w:rsidR="005D5188" w:rsidRPr="005D5188">
        <w:rPr>
          <w:rStyle w:val="Emphasis"/>
        </w:rPr>
        <w:t>innovations such as</w:t>
      </w:r>
      <w:r w:rsidR="00822744" w:rsidRPr="005D5188">
        <w:rPr>
          <w:rStyle w:val="Emphasis"/>
        </w:rPr>
        <w:t xml:space="preserve"> </w:t>
      </w:r>
      <w:r w:rsidR="00556DE1">
        <w:rPr>
          <w:rStyle w:val="Emphasis"/>
        </w:rPr>
        <w:t xml:space="preserve">green bonds </w:t>
      </w:r>
      <w:r w:rsidR="00822744" w:rsidRPr="005D5188">
        <w:rPr>
          <w:rStyle w:val="Emphasis"/>
        </w:rPr>
        <w:t>future biodiversity credit markets.</w:t>
      </w:r>
      <w:r w:rsidR="004C1714">
        <w:rPr>
          <w:rStyle w:val="Emphasis"/>
        </w:rPr>
        <w:t xml:space="preserve"> </w:t>
      </w:r>
    </w:p>
    <w:p w14:paraId="29F2D172" w14:textId="371B7079" w:rsidR="006C7C98" w:rsidRDefault="007F4FF4" w:rsidP="007F4FF4">
      <w:pPr>
        <w:pStyle w:val="Heading1"/>
        <w:rPr>
          <w:rFonts w:hint="eastAsia"/>
        </w:rPr>
      </w:pPr>
      <w:bookmarkStart w:id="34" w:name="_Toc179920254"/>
      <w:r>
        <w:t xml:space="preserve">III. </w:t>
      </w:r>
      <w:r w:rsidR="006C7C98">
        <w:t>Data, monitoring and follow-up</w:t>
      </w:r>
      <w:bookmarkEnd w:id="34"/>
    </w:p>
    <w:p w14:paraId="659F6626" w14:textId="02CAEBFB" w:rsidR="00DB20CD" w:rsidRDefault="00DB20CD" w:rsidP="00DB20CD">
      <w:pPr>
        <w:pStyle w:val="Heading3"/>
        <w:tabs>
          <w:tab w:val="left" w:pos="5526"/>
        </w:tabs>
        <w:rPr>
          <w:rFonts w:hint="eastAsia"/>
        </w:rPr>
      </w:pPr>
      <w:bookmarkStart w:id="35" w:name="_Toc179920255"/>
      <w:r>
        <w:t>Element: Beyond GDP</w:t>
      </w:r>
      <w:bookmarkEnd w:id="35"/>
    </w:p>
    <w:p w14:paraId="44921CEF" w14:textId="6EC439B8" w:rsidR="00DB20CD" w:rsidRDefault="004175BB" w:rsidP="00DB20CD">
      <w:r>
        <w:t>Language:</w:t>
      </w:r>
    </w:p>
    <w:p w14:paraId="41DAE842" w14:textId="7CA50A6B" w:rsidR="063D71EE" w:rsidRDefault="000F33B8">
      <w:r w:rsidRPr="51FEA289">
        <w:rPr>
          <w:rStyle w:val="Emphasis"/>
        </w:rPr>
        <w:t xml:space="preserve">We </w:t>
      </w:r>
      <w:r w:rsidR="00DB20CD" w:rsidRPr="51FEA289">
        <w:rPr>
          <w:rStyle w:val="Emphasis"/>
        </w:rPr>
        <w:t xml:space="preserve">reaffirm the need to urgently develop measures of progress on sustainable development that complement or go beyond gross domestic product. These measures should </w:t>
      </w:r>
      <w:r w:rsidR="3F7F8E7D" w:rsidRPr="51FEA289">
        <w:rPr>
          <w:rStyle w:val="Emphasis"/>
        </w:rPr>
        <w:t xml:space="preserve">inform understanding </w:t>
      </w:r>
      <w:r w:rsidR="00DB20CD" w:rsidRPr="51FEA289">
        <w:rPr>
          <w:rStyle w:val="Emphasis"/>
        </w:rPr>
        <w:t>o</w:t>
      </w:r>
      <w:r w:rsidR="255A92A8" w:rsidRPr="51FEA289">
        <w:rPr>
          <w:rStyle w:val="Emphasis"/>
        </w:rPr>
        <w:t xml:space="preserve">f progress </w:t>
      </w:r>
      <w:r w:rsidR="009859D1" w:rsidRPr="51FEA289">
        <w:rPr>
          <w:rStyle w:val="Emphasis"/>
        </w:rPr>
        <w:t xml:space="preserve">and interactions </w:t>
      </w:r>
      <w:r w:rsidR="255A92A8" w:rsidRPr="51FEA289">
        <w:rPr>
          <w:rStyle w:val="Emphasis"/>
        </w:rPr>
        <w:t>i</w:t>
      </w:r>
      <w:r w:rsidR="00DB20CD" w:rsidRPr="51FEA289">
        <w:rPr>
          <w:rStyle w:val="Emphasis"/>
        </w:rPr>
        <w:t>n the economic, social and environmental dimensions of sustainable development</w:t>
      </w:r>
      <w:r w:rsidR="009859D1" w:rsidRPr="51FEA289">
        <w:rPr>
          <w:rStyle w:val="Emphasis"/>
        </w:rPr>
        <w:t>,</w:t>
      </w:r>
      <w:r w:rsidR="00A701D5" w:rsidRPr="51FEA289">
        <w:rPr>
          <w:rStyle w:val="Emphasis"/>
        </w:rPr>
        <w:t xml:space="preserve"> including unpaid care work,</w:t>
      </w:r>
      <w:r w:rsidR="009859D1" w:rsidRPr="51FEA289">
        <w:rPr>
          <w:rStyle w:val="Emphasis"/>
        </w:rPr>
        <w:t xml:space="preserve"> </w:t>
      </w:r>
      <w:r w:rsidR="00DB20CD" w:rsidRPr="51FEA289">
        <w:rPr>
          <w:rStyle w:val="Emphasis"/>
        </w:rPr>
        <w:lastRenderedPageBreak/>
        <w:t>inform</w:t>
      </w:r>
      <w:r w:rsidR="009859D1" w:rsidRPr="51FEA289">
        <w:rPr>
          <w:rStyle w:val="Emphasis"/>
        </w:rPr>
        <w:t>ing</w:t>
      </w:r>
      <w:r w:rsidR="00DB20CD" w:rsidRPr="51FEA289">
        <w:rPr>
          <w:rStyle w:val="Emphasis"/>
        </w:rPr>
        <w:t xml:space="preserve"> access to finance and technical cooperation. </w:t>
      </w:r>
      <w:r w:rsidR="063D71EE" w:rsidRPr="4C9FE7E3">
        <w:rPr>
          <w:rFonts w:ascii="Aptos" w:eastAsia="Aptos" w:hAnsi="Aptos" w:cs="Aptos"/>
        </w:rPr>
        <w:t>We look forward to the establishment by the UN Secretary-General of an independent high- level expert group to develop a value dashboard for a limited number of key indicators that go beyond GDP and to present the outcome of its work during the 80th session of the General Assembly with a view to inform the UN intergovernmental process on Beyond GDP;</w:t>
      </w:r>
      <w:r w:rsidR="063D71EE">
        <w:br/>
      </w:r>
      <w:r w:rsidR="063D71EE" w:rsidRPr="4C9FE7E3">
        <w:rPr>
          <w:rFonts w:ascii="Aptos" w:eastAsia="Aptos" w:hAnsi="Aptos" w:cs="Aptos"/>
        </w:rPr>
        <w:t xml:space="preserve">We call for the timely Initiation of a UN intergovernmental process by the President of the General Assembly, in consultation with relevant stakeholders, including international financial institutions, multilateral development banks, regional economic commissions </w:t>
      </w:r>
      <w:r w:rsidR="063D71EE" w:rsidRPr="00746B99">
        <w:rPr>
          <w:rFonts w:ascii="Aptos" w:eastAsia="Aptos" w:hAnsi="Aptos" w:cs="Aptos"/>
          <w:i/>
          <w:iCs/>
        </w:rPr>
        <w:t>and UN entities</w:t>
      </w:r>
      <w:r w:rsidR="063D71EE" w:rsidRPr="4C9FE7E3">
        <w:rPr>
          <w:rFonts w:ascii="Aptos" w:eastAsia="Aptos" w:hAnsi="Aptos" w:cs="Aptos"/>
        </w:rPr>
        <w:t>, on measures of progress on sustainable development that complement or go beyond gross domestic product, in the 80th session of the General Assembly.</w:t>
      </w:r>
    </w:p>
    <w:p w14:paraId="749A8266" w14:textId="3F04FC5A" w:rsidR="00C90B1F" w:rsidRDefault="00FF7ECC" w:rsidP="00FF7ECC">
      <w:pPr>
        <w:pStyle w:val="Heading3"/>
        <w:rPr>
          <w:rFonts w:hint="eastAsia"/>
        </w:rPr>
      </w:pPr>
      <w:bookmarkStart w:id="36" w:name="_Toc179920256"/>
      <w:r>
        <w:t>Element: Transparency and open data</w:t>
      </w:r>
      <w:bookmarkEnd w:id="36"/>
    </w:p>
    <w:p w14:paraId="613B49B7" w14:textId="1DFFFCE1" w:rsidR="3B12E84C" w:rsidRDefault="004175BB" w:rsidP="274AC55F">
      <w:r>
        <w:t>Language:</w:t>
      </w:r>
      <w:r w:rsidR="3B12E84C">
        <w:t xml:space="preserve"> </w:t>
      </w:r>
    </w:p>
    <w:p w14:paraId="02B9365B" w14:textId="719AE195" w:rsidR="5DBDB9F1" w:rsidRPr="00FF7ECC" w:rsidRDefault="004E68DF" w:rsidP="2BF25A63">
      <w:pPr>
        <w:rPr>
          <w:rStyle w:val="Emphasis"/>
        </w:rPr>
      </w:pPr>
      <w:r>
        <w:rPr>
          <w:rStyle w:val="Emphasis"/>
        </w:rPr>
        <w:t>W</w:t>
      </w:r>
      <w:r w:rsidR="068851C2" w:rsidRPr="00FF7ECC">
        <w:rPr>
          <w:rStyle w:val="Emphasis"/>
        </w:rPr>
        <w:t xml:space="preserve">e note the growing commitment to transparency initiatives and open data standards, including </w:t>
      </w:r>
      <w:r w:rsidR="00746124">
        <w:rPr>
          <w:rStyle w:val="Emphasis"/>
        </w:rPr>
        <w:t>IATI</w:t>
      </w:r>
      <w:r w:rsidR="009D49DC">
        <w:rPr>
          <w:rStyle w:val="Emphasis"/>
        </w:rPr>
        <w:t xml:space="preserve"> and </w:t>
      </w:r>
      <w:r w:rsidR="068851C2" w:rsidRPr="00FF7ECC">
        <w:rPr>
          <w:rStyle w:val="Emphasis"/>
        </w:rPr>
        <w:t xml:space="preserve">note </w:t>
      </w:r>
      <w:r w:rsidR="009D49DC">
        <w:rPr>
          <w:rStyle w:val="Emphasis"/>
        </w:rPr>
        <w:t xml:space="preserve">its </w:t>
      </w:r>
      <w:r w:rsidR="068851C2" w:rsidRPr="00FF7ECC">
        <w:rPr>
          <w:rStyle w:val="Emphasis"/>
        </w:rPr>
        <w:t>interoperab</w:t>
      </w:r>
      <w:r w:rsidR="009D49DC">
        <w:rPr>
          <w:rStyle w:val="Emphasis"/>
        </w:rPr>
        <w:t>ility</w:t>
      </w:r>
      <w:r w:rsidR="068851C2" w:rsidRPr="00FF7ECC">
        <w:rPr>
          <w:rStyle w:val="Emphasis"/>
        </w:rPr>
        <w:t xml:space="preserve"> with other reporting standards.  </w:t>
      </w:r>
      <w:r w:rsidR="009D49DC">
        <w:rPr>
          <w:rStyle w:val="Emphasis"/>
        </w:rPr>
        <w:t>We will strengthen efforts</w:t>
      </w:r>
      <w:r w:rsidR="009D49DC" w:rsidRPr="00FF7ECC">
        <w:rPr>
          <w:rStyle w:val="Emphasis"/>
        </w:rPr>
        <w:t xml:space="preserve"> </w:t>
      </w:r>
      <w:r w:rsidR="068851C2" w:rsidRPr="00FF7ECC">
        <w:rPr>
          <w:rStyle w:val="Emphasis"/>
        </w:rPr>
        <w:t xml:space="preserve">to promote access to reliable data </w:t>
      </w:r>
      <w:r w:rsidR="002B2725">
        <w:rPr>
          <w:rStyle w:val="Emphasis"/>
        </w:rPr>
        <w:t xml:space="preserve">to inform decision making and </w:t>
      </w:r>
      <w:r w:rsidR="068851C2" w:rsidRPr="00FF7ECC">
        <w:rPr>
          <w:rStyle w:val="Emphasis"/>
        </w:rPr>
        <w:t xml:space="preserve">mutual accountability. </w:t>
      </w:r>
    </w:p>
    <w:p w14:paraId="559CDA9C" w14:textId="504696CF" w:rsidR="00752FD0" w:rsidRDefault="00752FD0" w:rsidP="00796CDC">
      <w:pPr>
        <w:pStyle w:val="Heading3"/>
        <w:tabs>
          <w:tab w:val="left" w:pos="5526"/>
        </w:tabs>
        <w:rPr>
          <w:rFonts w:hint="eastAsia"/>
        </w:rPr>
      </w:pPr>
      <w:bookmarkStart w:id="37" w:name="_Toc179920257"/>
      <w:r w:rsidRPr="001A4491">
        <w:t xml:space="preserve">Element: </w:t>
      </w:r>
      <w:r w:rsidR="009A7E9C">
        <w:t>FfD5 t</w:t>
      </w:r>
      <w:r w:rsidRPr="001A4491">
        <w:t>imetable</w:t>
      </w:r>
      <w:bookmarkEnd w:id="37"/>
      <w:r w:rsidR="00796CDC">
        <w:tab/>
      </w:r>
    </w:p>
    <w:p w14:paraId="6CAC041D" w14:textId="0DAEFE60" w:rsidR="00925D09" w:rsidRDefault="004175BB" w:rsidP="001A4491">
      <w:pPr>
        <w:tabs>
          <w:tab w:val="left" w:pos="2364"/>
        </w:tabs>
      </w:pPr>
      <w:r>
        <w:t>Language:</w:t>
      </w:r>
      <w:r w:rsidR="001A4491">
        <w:tab/>
      </w:r>
    </w:p>
    <w:p w14:paraId="6B67F6B1" w14:textId="7088DDC9" w:rsidR="006C7C98" w:rsidRDefault="00534275" w:rsidP="006C7C98">
      <w:r>
        <w:rPr>
          <w:i/>
          <w:iCs/>
        </w:rPr>
        <w:t>We commit to convening the FfD5 conference in 2030</w:t>
      </w:r>
      <w:r w:rsidR="001A4491">
        <w:rPr>
          <w:i/>
          <w:iCs/>
        </w:rPr>
        <w:t xml:space="preserve"> as part of the process for determining the post-2030 Sustainable Development Agenda.</w:t>
      </w:r>
    </w:p>
    <w:sectPr w:rsidR="006C7C9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3668" w14:textId="77777777" w:rsidR="00F71BDF" w:rsidRDefault="00F71BDF" w:rsidP="001F64DE">
      <w:pPr>
        <w:spacing w:after="0" w:line="240" w:lineRule="auto"/>
      </w:pPr>
      <w:r>
        <w:separator/>
      </w:r>
    </w:p>
  </w:endnote>
  <w:endnote w:type="continuationSeparator" w:id="0">
    <w:p w14:paraId="45D50D9F" w14:textId="77777777" w:rsidR="00F71BDF" w:rsidRDefault="00F71BDF" w:rsidP="001F64DE">
      <w:pPr>
        <w:spacing w:after="0" w:line="240" w:lineRule="auto"/>
      </w:pPr>
      <w:r>
        <w:continuationSeparator/>
      </w:r>
    </w:p>
  </w:endnote>
  <w:endnote w:type="continuationNotice" w:id="1">
    <w:p w14:paraId="3B277211" w14:textId="77777777" w:rsidR="00F71BDF" w:rsidRDefault="00F71BDF">
      <w:pPr>
        <w:spacing w:after="0" w:line="240" w:lineRule="auto"/>
      </w:pPr>
    </w:p>
  </w:endnote>
  <w:endnote w:id="2">
    <w:p w14:paraId="53AC726F" w14:textId="19D658E1" w:rsidR="00F56ACA" w:rsidRDefault="00F56ACA">
      <w:pPr>
        <w:pStyle w:val="EndnoteText"/>
      </w:pPr>
      <w:r>
        <w:rPr>
          <w:rStyle w:val="EndnoteReference"/>
        </w:rPr>
        <w:endnoteRef/>
      </w:r>
      <w:r>
        <w:t xml:space="preserve"> </w:t>
      </w:r>
      <w:r w:rsidR="0005681F">
        <w:t>Background</w:t>
      </w:r>
      <w:r>
        <w:t xml:space="preserve">: </w:t>
      </w:r>
      <w:r w:rsidR="007A1D5E">
        <w:t xml:space="preserve">86 countries are using the INFF approach. </w:t>
      </w:r>
    </w:p>
  </w:endnote>
  <w:endnote w:id="3">
    <w:p w14:paraId="05644FEA" w14:textId="6D092CC8" w:rsidR="0088521A" w:rsidRDefault="0088521A">
      <w:pPr>
        <w:pStyle w:val="EndnoteText"/>
      </w:pPr>
      <w:r>
        <w:rPr>
          <w:rStyle w:val="EndnoteReference"/>
        </w:rPr>
        <w:endnoteRef/>
      </w:r>
      <w:r>
        <w:t xml:space="preserve"> Taken from </w:t>
      </w:r>
      <w:hyperlink r:id="rId1" w:history="1">
        <w:r w:rsidRPr="00EF2618">
          <w:rPr>
            <w:rStyle w:val="Hyperlink"/>
          </w:rPr>
          <w:t>SDG Stimulus</w:t>
        </w:r>
      </w:hyperlink>
      <w:r>
        <w:t>.</w:t>
      </w:r>
    </w:p>
  </w:endnote>
  <w:endnote w:id="4">
    <w:p w14:paraId="06020102" w14:textId="12A07DEB" w:rsidR="00D93650" w:rsidRDefault="00D93650">
      <w:pPr>
        <w:pStyle w:val="EndnoteText"/>
      </w:pPr>
      <w:r>
        <w:rPr>
          <w:rStyle w:val="EndnoteReference"/>
        </w:rPr>
        <w:endnoteRef/>
      </w:r>
      <w:r>
        <w:t xml:space="preserve"> Pact for the Future </w:t>
      </w:r>
      <w:r w:rsidR="006C1BF1">
        <w:t>(</w:t>
      </w:r>
      <w:proofErr w:type="spellStart"/>
      <w:r w:rsidR="006C1BF1">
        <w:t>PftF</w:t>
      </w:r>
      <w:proofErr w:type="spellEnd"/>
      <w:r w:rsidR="006C1BF1">
        <w:t xml:space="preserve">) </w:t>
      </w:r>
      <w:r>
        <w:t xml:space="preserve">paragraph </w:t>
      </w:r>
      <w:r w:rsidR="003C1C37">
        <w:t>4(j).</w:t>
      </w:r>
    </w:p>
  </w:endnote>
  <w:endnote w:id="5">
    <w:p w14:paraId="59285EF0" w14:textId="33C9711E" w:rsidR="00D20C54" w:rsidRPr="00237DF1" w:rsidRDefault="00D20C54">
      <w:pPr>
        <w:pStyle w:val="EndnoteText"/>
        <w:rPr>
          <w:lang w:val="en-US"/>
        </w:rPr>
      </w:pPr>
      <w:r>
        <w:rPr>
          <w:rStyle w:val="EndnoteReference"/>
        </w:rPr>
        <w:endnoteRef/>
      </w:r>
      <w:r>
        <w:t xml:space="preserve"> </w:t>
      </w:r>
      <w:r w:rsidR="0005681F">
        <w:t>Background</w:t>
      </w:r>
      <w:r>
        <w:t>: Gabriel Zucman</w:t>
      </w:r>
      <w:r w:rsidR="00BD703C">
        <w:t xml:space="preserve">’s </w:t>
      </w:r>
      <w:r w:rsidR="00BD703C">
        <w:fldChar w:fldCharType="begin"/>
      </w:r>
      <w:r w:rsidR="00BD703C">
        <w:instrText>HYPERLINK "https://gabriel-zucman.eu/files/report-g20.pdf"</w:instrText>
      </w:r>
      <w:r w:rsidR="00BD703C">
        <w:fldChar w:fldCharType="separate"/>
      </w:r>
      <w:r w:rsidR="00BD703C" w:rsidRPr="00BD703C">
        <w:rPr>
          <w:rStyle w:val="Hyperlink"/>
        </w:rPr>
        <w:t xml:space="preserve">report </w:t>
      </w:r>
      <w:r w:rsidR="00BD703C">
        <w:fldChar w:fldCharType="end"/>
      </w:r>
      <w:r>
        <w:t>estimates that a</w:t>
      </w:r>
      <w:r w:rsidR="006C1BF1">
        <w:t xml:space="preserve"> 2%</w:t>
      </w:r>
      <w:r w:rsidRPr="00370BA4">
        <w:t xml:space="preserve"> minimum </w:t>
      </w:r>
      <w:r w:rsidR="006C1BF1">
        <w:t xml:space="preserve">wealth </w:t>
      </w:r>
      <w:r w:rsidRPr="00370BA4">
        <w:t>tax on billionaires would raise $200-$250 billion per year globally from about 3,000 taxpayers</w:t>
      </w:r>
      <w:r>
        <w:t xml:space="preserve">. </w:t>
      </w:r>
    </w:p>
  </w:endnote>
  <w:endnote w:id="6">
    <w:p w14:paraId="4738748B" w14:textId="013A0932" w:rsidR="0046461D" w:rsidRDefault="0046461D" w:rsidP="00EF1E43">
      <w:pPr>
        <w:pStyle w:val="EndnoteText"/>
      </w:pPr>
      <w:r>
        <w:rPr>
          <w:rStyle w:val="EndnoteReference"/>
        </w:rPr>
        <w:endnoteRef/>
      </w:r>
      <w:r>
        <w:t xml:space="preserve"> </w:t>
      </w:r>
      <w:r w:rsidR="0005681F">
        <w:t>Background</w:t>
      </w:r>
      <w:r w:rsidRPr="0046461D">
        <w:t xml:space="preserve">: the Task Force on Fiscal Policy for Health </w:t>
      </w:r>
      <w:r w:rsidR="004E4DC5">
        <w:fldChar w:fldCharType="begin"/>
      </w:r>
      <w:r w:rsidR="004E4DC5">
        <w:instrText>HYPERLINK "https://www.bloomberg.org/press/task-force-on-fiscal-policy-for-health-releases-new-report-increasing-health-taxes-could-raise-us3-7-trillion-over-the-next-five-years/"</w:instrText>
      </w:r>
      <w:r w:rsidR="004E4DC5">
        <w:fldChar w:fldCharType="separate"/>
      </w:r>
      <w:r w:rsidRPr="004E4DC5">
        <w:rPr>
          <w:rStyle w:val="Hyperlink"/>
        </w:rPr>
        <w:t>estimates</w:t>
      </w:r>
      <w:r w:rsidR="004E4DC5">
        <w:fldChar w:fldCharType="end"/>
      </w:r>
      <w:r w:rsidRPr="0046461D">
        <w:t xml:space="preserve"> that </w:t>
      </w:r>
      <w:r w:rsidR="00476441">
        <w:t xml:space="preserve">a 50% </w:t>
      </w:r>
      <w:r w:rsidR="00EF1E43">
        <w:t xml:space="preserve">price </w:t>
      </w:r>
      <w:r w:rsidR="00476441">
        <w:t xml:space="preserve">increase in tobacco, alcohol and sugary beverages </w:t>
      </w:r>
      <w:r w:rsidR="00EF1E43">
        <w:t xml:space="preserve">through increased excise taxes could </w:t>
      </w:r>
      <w:r w:rsidRPr="0046461D">
        <w:t>generate US$3.7 trillion in additional revenue over five years</w:t>
      </w:r>
      <w:r w:rsidR="006D20AC">
        <w:t xml:space="preserve"> (</w:t>
      </w:r>
      <w:r w:rsidRPr="0046461D">
        <w:t>US$2.1 trillion in low- and middle-income countries</w:t>
      </w:r>
      <w:r w:rsidR="006D20AC">
        <w:t>)</w:t>
      </w:r>
      <w:r w:rsidRPr="0046461D">
        <w:t xml:space="preserve">. </w:t>
      </w:r>
    </w:p>
  </w:endnote>
  <w:endnote w:id="7">
    <w:p w14:paraId="04E1C44B" w14:textId="2A7F6B1A" w:rsidR="00E03EE3" w:rsidRDefault="00E03EE3">
      <w:pPr>
        <w:pStyle w:val="EndnoteText"/>
      </w:pPr>
      <w:r>
        <w:rPr>
          <w:rStyle w:val="EndnoteReference"/>
        </w:rPr>
        <w:endnoteRef/>
      </w:r>
      <w:r>
        <w:t xml:space="preserve"> </w:t>
      </w:r>
      <w:r w:rsidR="001B3BB4">
        <w:t xml:space="preserve">Building on </w:t>
      </w:r>
      <w:r w:rsidR="00DB1603">
        <w:t>Convention on Biological Diversity, Target 18.</w:t>
      </w:r>
    </w:p>
  </w:endnote>
  <w:endnote w:id="8">
    <w:p w14:paraId="3A4812E8" w14:textId="49A66B1A" w:rsidR="00377AF2" w:rsidRDefault="00377AF2">
      <w:pPr>
        <w:pStyle w:val="EndnoteText"/>
      </w:pPr>
      <w:r>
        <w:rPr>
          <w:rStyle w:val="EndnoteReference"/>
        </w:rPr>
        <w:endnoteRef/>
      </w:r>
      <w:r>
        <w:t xml:space="preserve"> Pact for the Future paragraph 4(k).</w:t>
      </w:r>
    </w:p>
  </w:endnote>
  <w:endnote w:id="9">
    <w:p w14:paraId="199C4224" w14:textId="69C6E1EB" w:rsidR="00BF42A4" w:rsidRDefault="00BF42A4">
      <w:pPr>
        <w:pStyle w:val="EndnoteText"/>
      </w:pPr>
      <w:r>
        <w:rPr>
          <w:rStyle w:val="EndnoteReference"/>
        </w:rPr>
        <w:endnoteRef/>
      </w:r>
      <w:r>
        <w:t xml:space="preserve"> </w:t>
      </w:r>
      <w:r w:rsidR="0005681F">
        <w:t>Background</w:t>
      </w:r>
      <w:r w:rsidR="00834233">
        <w:t xml:space="preserve">: </w:t>
      </w:r>
      <w:r w:rsidR="006D20AC">
        <w:t>M</w:t>
      </w:r>
      <w:r w:rsidR="008C6AA2">
        <w:t xml:space="preserve">arket capitalisation of stock exchanges worldwide is </w:t>
      </w:r>
      <w:r w:rsidR="00A73222">
        <w:t>$118 trillion. Source:</w:t>
      </w:r>
      <w:r w:rsidR="00A60D59">
        <w:t xml:space="preserve"> </w:t>
      </w:r>
      <w:r w:rsidR="00B75F86">
        <w:fldChar w:fldCharType="begin"/>
      </w:r>
      <w:r w:rsidR="00B75F86">
        <w:instrText>HYPERLINK "https://focus.world-exchanges.org/issue/october-2024/dashboard"</w:instrText>
      </w:r>
      <w:r w:rsidR="00B75F86">
        <w:fldChar w:fldCharType="separate"/>
      </w:r>
      <w:r w:rsidR="00A60D59" w:rsidRPr="00B75F86">
        <w:rPr>
          <w:rStyle w:val="Hyperlink"/>
        </w:rPr>
        <w:t>World Federation of Exchanges</w:t>
      </w:r>
      <w:r w:rsidR="00B75F86">
        <w:fldChar w:fldCharType="end"/>
      </w:r>
      <w:r w:rsidR="00B75F86">
        <w:t>.</w:t>
      </w:r>
      <w:r w:rsidR="00A60D59">
        <w:t xml:space="preserve"> </w:t>
      </w:r>
    </w:p>
  </w:endnote>
  <w:endnote w:id="10">
    <w:p w14:paraId="7DD4F86E" w14:textId="1D24F179" w:rsidR="007333E3" w:rsidRDefault="007333E3" w:rsidP="00EA55BC">
      <w:pPr>
        <w:pStyle w:val="EndnoteText"/>
      </w:pPr>
      <w:r w:rsidRPr="0E127262">
        <w:rPr>
          <w:rStyle w:val="EndnoteReference"/>
        </w:rPr>
        <w:endnoteRef/>
      </w:r>
      <w:r>
        <w:t xml:space="preserve"> </w:t>
      </w:r>
      <w:r w:rsidR="00C363E7">
        <w:t>P</w:t>
      </w:r>
      <w:r w:rsidR="006C1BF1">
        <w:t>ftF</w:t>
      </w:r>
      <w:r>
        <w:t xml:space="preserve"> 50(d)</w:t>
      </w:r>
    </w:p>
  </w:endnote>
  <w:endnote w:id="11">
    <w:p w14:paraId="787F2F1D" w14:textId="7FDFEDDD" w:rsidR="007333E3" w:rsidRDefault="007333E3" w:rsidP="00EA55BC">
      <w:pPr>
        <w:pStyle w:val="EndnoteText"/>
      </w:pPr>
      <w:r w:rsidRPr="0E127262">
        <w:rPr>
          <w:rStyle w:val="EndnoteReference"/>
        </w:rPr>
        <w:endnoteRef/>
      </w:r>
      <w:r>
        <w:t xml:space="preserve"> </w:t>
      </w:r>
      <w:proofErr w:type="spellStart"/>
      <w:r w:rsidR="00C363E7">
        <w:t>P</w:t>
      </w:r>
      <w:r w:rsidR="006C1BF1">
        <w:t>ftF</w:t>
      </w:r>
      <w:proofErr w:type="spellEnd"/>
      <w:r>
        <w:t xml:space="preserve"> 50(b)</w:t>
      </w:r>
    </w:p>
  </w:endnote>
  <w:endnote w:id="12">
    <w:p w14:paraId="714B0F96" w14:textId="4CB532EB" w:rsidR="00C363E7" w:rsidRDefault="00C363E7">
      <w:pPr>
        <w:pStyle w:val="EndnoteText"/>
      </w:pPr>
      <w:r>
        <w:rPr>
          <w:rStyle w:val="EndnoteReference"/>
        </w:rPr>
        <w:endnoteRef/>
      </w:r>
      <w:r>
        <w:t xml:space="preserve"> </w:t>
      </w:r>
      <w:proofErr w:type="spellStart"/>
      <w:r>
        <w:t>P</w:t>
      </w:r>
      <w:r w:rsidR="006C1BF1">
        <w:t>ftF</w:t>
      </w:r>
      <w:proofErr w:type="spellEnd"/>
      <w:r>
        <w:t xml:space="preserve"> 49.</w:t>
      </w:r>
    </w:p>
  </w:endnote>
  <w:endnote w:id="13">
    <w:p w14:paraId="666B9C02" w14:textId="6A95EB6D" w:rsidR="00D20C54" w:rsidRDefault="00A42C96">
      <w:pPr>
        <w:pStyle w:val="EndnoteText"/>
      </w:pPr>
      <w:r>
        <w:rPr>
          <w:rStyle w:val="EndnoteReference"/>
        </w:rPr>
        <w:endnoteRef/>
      </w:r>
      <w:r>
        <w:t xml:space="preserve"> </w:t>
      </w:r>
      <w:r w:rsidR="0005681F">
        <w:t>Background</w:t>
      </w:r>
      <w:r>
        <w:t xml:space="preserve">: 1.4 billion people </w:t>
      </w:r>
      <w:r w:rsidR="000927DF">
        <w:t xml:space="preserve">(24% of adults) worldwide </w:t>
      </w:r>
      <w:r w:rsidR="00D03A53">
        <w:t>are unbanked</w:t>
      </w:r>
      <w:r w:rsidR="000927DF">
        <w:t>.</w:t>
      </w:r>
      <w:r w:rsidR="00C25DF7">
        <w:t xml:space="preserve"> </w:t>
      </w:r>
      <w:hyperlink r:id="rId2" w:history="1">
        <w:r w:rsidR="00D20C54" w:rsidRPr="001E1A7B">
          <w:rPr>
            <w:rStyle w:val="Hyperlink"/>
          </w:rPr>
          <w:t>https://blogs.worldbank.org/en/allaboutfinance/expanding-benefits-financial-services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D469" w14:textId="77777777" w:rsidR="00621E68" w:rsidRDefault="00621E68">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CDE7B89" w14:textId="77777777" w:rsidR="00621E68" w:rsidRDefault="00621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56FF" w14:textId="77777777" w:rsidR="00F71BDF" w:rsidRDefault="00F71BDF" w:rsidP="001F64DE">
      <w:pPr>
        <w:spacing w:after="0" w:line="240" w:lineRule="auto"/>
      </w:pPr>
      <w:r>
        <w:separator/>
      </w:r>
    </w:p>
  </w:footnote>
  <w:footnote w:type="continuationSeparator" w:id="0">
    <w:p w14:paraId="37169BA2" w14:textId="77777777" w:rsidR="00F71BDF" w:rsidRDefault="00F71BDF" w:rsidP="001F64DE">
      <w:pPr>
        <w:spacing w:after="0" w:line="240" w:lineRule="auto"/>
      </w:pPr>
      <w:r>
        <w:continuationSeparator/>
      </w:r>
    </w:p>
  </w:footnote>
  <w:footnote w:type="continuationNotice" w:id="1">
    <w:p w14:paraId="11B4FDEA" w14:textId="77777777" w:rsidR="00F71BDF" w:rsidRDefault="00F71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4EE2" w14:textId="366122D4" w:rsidR="001F64DE" w:rsidRPr="006A4625" w:rsidRDefault="00242654" w:rsidP="006A4625">
    <w:pPr>
      <w:pStyle w:val="Header"/>
    </w:pPr>
    <w:sdt>
      <w:sdtPr>
        <w:id w:val="-1895581107"/>
        <w:docPartObj>
          <w:docPartGallery w:val="Watermarks"/>
          <w:docPartUnique/>
        </w:docPartObj>
      </w:sdtPr>
      <w:sdtContent>
        <w:r w:rsidR="00940F18">
          <w:rPr>
            <w:noProof/>
          </w:rPr>
          <mc:AlternateContent>
            <mc:Choice Requires="wps">
              <w:drawing>
                <wp:anchor distT="0" distB="0" distL="114300" distR="114300" simplePos="0" relativeHeight="251658241" behindDoc="1" locked="0" layoutInCell="0" allowOverlap="1" wp14:anchorId="06538564" wp14:editId="6D3CFDCD">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2BF19D" w14:textId="77777777" w:rsidR="00940F18" w:rsidRDefault="00940F18" w:rsidP="00940F18">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xmlns:arto="http://schemas.microsoft.com/office/word/2006/arto">
              <w:pict>
                <v:shapetype id="_x0000_t202" coordsize="21600,21600" o:spt="202" path="m,l,21600r21600,l21600,xe" w14:anchorId="06538564">
                  <v:stroke joinstyle="miter"/>
                  <v:path gradientshapeok="t" o:connecttype="rect"/>
                </v:shapetype>
                <v:shape id="PowerPlusWaterMarkObject357831064"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v:stroke joinstyle="round"/>
                  <o:lock v:ext="edit" grouping="t" rotation="t" verticies="t" adjusthandles="t" aspectratio="t" shapetype="t"/>
                  <v:textbox>
                    <w:txbxContent>
                      <w:p w:rsidR="00940F18" w:rsidP="00940F18" w:rsidRDefault="00940F18" w14:paraId="092BF19D" w14:textId="77777777">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6A4625" w:rsidRPr="006A4625">
      <w:rPr>
        <w:noProof/>
      </w:rPr>
      <w:drawing>
        <wp:anchor distT="0" distB="0" distL="114300" distR="114300" simplePos="0" relativeHeight="251658240" behindDoc="1" locked="0" layoutInCell="1" allowOverlap="1" wp14:anchorId="1EC91BF0" wp14:editId="5DAE4014">
          <wp:simplePos x="0" y="0"/>
          <wp:positionH relativeFrom="column">
            <wp:posOffset>5345130</wp:posOffset>
          </wp:positionH>
          <wp:positionV relativeFrom="paragraph">
            <wp:posOffset>-243723</wp:posOffset>
          </wp:positionV>
          <wp:extent cx="299587" cy="607326"/>
          <wp:effectExtent l="0" t="0" r="5715" b="2540"/>
          <wp:wrapNone/>
          <wp:docPr id="7" name="Picture 6" descr="A picture containing logo&#10;&#10;Description automatically generated">
            <a:extLst xmlns:a="http://schemas.openxmlformats.org/drawingml/2006/main">
              <a:ext uri="{FF2B5EF4-FFF2-40B4-BE49-F238E27FC236}">
                <a16:creationId xmlns:a16="http://schemas.microsoft.com/office/drawing/2014/main" id="{C8F2F806-0E30-41CD-8ABA-8BB2346D0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C8F2F806-0E30-41CD-8ABA-8BB2346D0D0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9587" cy="6073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8A7"/>
    <w:multiLevelType w:val="hybridMultilevel"/>
    <w:tmpl w:val="2228CC6A"/>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84CBF"/>
    <w:multiLevelType w:val="hybridMultilevel"/>
    <w:tmpl w:val="1C1CB288"/>
    <w:lvl w:ilvl="0" w:tplc="BB289E18">
      <w:start w:val="1"/>
      <w:numFmt w:val="decimal"/>
      <w:lvlText w:val="%1."/>
      <w:lvlJc w:val="left"/>
      <w:pPr>
        <w:tabs>
          <w:tab w:val="num" w:pos="360"/>
        </w:tabs>
        <w:ind w:left="360" w:hanging="360"/>
      </w:pPr>
    </w:lvl>
    <w:lvl w:ilvl="1" w:tplc="A8A680A6" w:tentative="1">
      <w:start w:val="1"/>
      <w:numFmt w:val="decimal"/>
      <w:lvlText w:val="%2."/>
      <w:lvlJc w:val="left"/>
      <w:pPr>
        <w:tabs>
          <w:tab w:val="num" w:pos="1080"/>
        </w:tabs>
        <w:ind w:left="1080" w:hanging="360"/>
      </w:pPr>
    </w:lvl>
    <w:lvl w:ilvl="2" w:tplc="C9E6043C" w:tentative="1">
      <w:start w:val="1"/>
      <w:numFmt w:val="decimal"/>
      <w:lvlText w:val="%3."/>
      <w:lvlJc w:val="left"/>
      <w:pPr>
        <w:tabs>
          <w:tab w:val="num" w:pos="1800"/>
        </w:tabs>
        <w:ind w:left="1800" w:hanging="360"/>
      </w:pPr>
    </w:lvl>
    <w:lvl w:ilvl="3" w:tplc="C41846C0" w:tentative="1">
      <w:start w:val="1"/>
      <w:numFmt w:val="decimal"/>
      <w:lvlText w:val="%4."/>
      <w:lvlJc w:val="left"/>
      <w:pPr>
        <w:tabs>
          <w:tab w:val="num" w:pos="2520"/>
        </w:tabs>
        <w:ind w:left="2520" w:hanging="360"/>
      </w:pPr>
    </w:lvl>
    <w:lvl w:ilvl="4" w:tplc="84229578" w:tentative="1">
      <w:start w:val="1"/>
      <w:numFmt w:val="decimal"/>
      <w:lvlText w:val="%5."/>
      <w:lvlJc w:val="left"/>
      <w:pPr>
        <w:tabs>
          <w:tab w:val="num" w:pos="3240"/>
        </w:tabs>
        <w:ind w:left="3240" w:hanging="360"/>
      </w:pPr>
    </w:lvl>
    <w:lvl w:ilvl="5" w:tplc="B25C15A8" w:tentative="1">
      <w:start w:val="1"/>
      <w:numFmt w:val="decimal"/>
      <w:lvlText w:val="%6."/>
      <w:lvlJc w:val="left"/>
      <w:pPr>
        <w:tabs>
          <w:tab w:val="num" w:pos="3960"/>
        </w:tabs>
        <w:ind w:left="3960" w:hanging="360"/>
      </w:pPr>
    </w:lvl>
    <w:lvl w:ilvl="6" w:tplc="46B2897A" w:tentative="1">
      <w:start w:val="1"/>
      <w:numFmt w:val="decimal"/>
      <w:lvlText w:val="%7."/>
      <w:lvlJc w:val="left"/>
      <w:pPr>
        <w:tabs>
          <w:tab w:val="num" w:pos="4680"/>
        </w:tabs>
        <w:ind w:left="4680" w:hanging="360"/>
      </w:pPr>
    </w:lvl>
    <w:lvl w:ilvl="7" w:tplc="9856CA5E" w:tentative="1">
      <w:start w:val="1"/>
      <w:numFmt w:val="decimal"/>
      <w:lvlText w:val="%8."/>
      <w:lvlJc w:val="left"/>
      <w:pPr>
        <w:tabs>
          <w:tab w:val="num" w:pos="5400"/>
        </w:tabs>
        <w:ind w:left="5400" w:hanging="360"/>
      </w:pPr>
    </w:lvl>
    <w:lvl w:ilvl="8" w:tplc="FE964628" w:tentative="1">
      <w:start w:val="1"/>
      <w:numFmt w:val="decimal"/>
      <w:lvlText w:val="%9."/>
      <w:lvlJc w:val="left"/>
      <w:pPr>
        <w:tabs>
          <w:tab w:val="num" w:pos="6120"/>
        </w:tabs>
        <w:ind w:left="6120" w:hanging="360"/>
      </w:pPr>
    </w:lvl>
  </w:abstractNum>
  <w:abstractNum w:abstractNumId="2" w15:restartNumberingAfterBreak="0">
    <w:nsid w:val="1ABA7ADC"/>
    <w:multiLevelType w:val="hybridMultilevel"/>
    <w:tmpl w:val="887A3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A27BE"/>
    <w:multiLevelType w:val="hybridMultilevel"/>
    <w:tmpl w:val="F7D0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75E6"/>
    <w:multiLevelType w:val="hybridMultilevel"/>
    <w:tmpl w:val="80ACDC78"/>
    <w:lvl w:ilvl="0" w:tplc="83024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954B8"/>
    <w:multiLevelType w:val="hybridMultilevel"/>
    <w:tmpl w:val="FFFFFFFF"/>
    <w:lvl w:ilvl="0" w:tplc="F34678A4">
      <w:start w:val="1"/>
      <w:numFmt w:val="bullet"/>
      <w:lvlText w:val=""/>
      <w:lvlJc w:val="left"/>
      <w:pPr>
        <w:ind w:left="720" w:hanging="360"/>
      </w:pPr>
      <w:rPr>
        <w:rFonts w:ascii="Wingdings" w:hAnsi="Wingdings" w:hint="default"/>
      </w:rPr>
    </w:lvl>
    <w:lvl w:ilvl="1" w:tplc="A54A73C4">
      <w:start w:val="1"/>
      <w:numFmt w:val="bullet"/>
      <w:lvlText w:val="o"/>
      <w:lvlJc w:val="left"/>
      <w:pPr>
        <w:ind w:left="1440" w:hanging="360"/>
      </w:pPr>
      <w:rPr>
        <w:rFonts w:ascii="Courier New" w:hAnsi="Courier New" w:hint="default"/>
      </w:rPr>
    </w:lvl>
    <w:lvl w:ilvl="2" w:tplc="B3B81E2A">
      <w:start w:val="1"/>
      <w:numFmt w:val="bullet"/>
      <w:lvlText w:val=""/>
      <w:lvlJc w:val="left"/>
      <w:pPr>
        <w:ind w:left="2160" w:hanging="360"/>
      </w:pPr>
      <w:rPr>
        <w:rFonts w:ascii="Wingdings" w:hAnsi="Wingdings" w:hint="default"/>
      </w:rPr>
    </w:lvl>
    <w:lvl w:ilvl="3" w:tplc="AF98EC34">
      <w:start w:val="1"/>
      <w:numFmt w:val="bullet"/>
      <w:lvlText w:val=""/>
      <w:lvlJc w:val="left"/>
      <w:pPr>
        <w:ind w:left="2880" w:hanging="360"/>
      </w:pPr>
      <w:rPr>
        <w:rFonts w:ascii="Symbol" w:hAnsi="Symbol" w:hint="default"/>
      </w:rPr>
    </w:lvl>
    <w:lvl w:ilvl="4" w:tplc="0930B3A8">
      <w:start w:val="1"/>
      <w:numFmt w:val="bullet"/>
      <w:lvlText w:val="o"/>
      <w:lvlJc w:val="left"/>
      <w:pPr>
        <w:ind w:left="3600" w:hanging="360"/>
      </w:pPr>
      <w:rPr>
        <w:rFonts w:ascii="Courier New" w:hAnsi="Courier New" w:hint="default"/>
      </w:rPr>
    </w:lvl>
    <w:lvl w:ilvl="5" w:tplc="E29E8556">
      <w:start w:val="1"/>
      <w:numFmt w:val="bullet"/>
      <w:lvlText w:val=""/>
      <w:lvlJc w:val="left"/>
      <w:pPr>
        <w:ind w:left="4320" w:hanging="360"/>
      </w:pPr>
      <w:rPr>
        <w:rFonts w:ascii="Wingdings" w:hAnsi="Wingdings" w:hint="default"/>
      </w:rPr>
    </w:lvl>
    <w:lvl w:ilvl="6" w:tplc="C136A66E">
      <w:start w:val="1"/>
      <w:numFmt w:val="bullet"/>
      <w:lvlText w:val=""/>
      <w:lvlJc w:val="left"/>
      <w:pPr>
        <w:ind w:left="5040" w:hanging="360"/>
      </w:pPr>
      <w:rPr>
        <w:rFonts w:ascii="Symbol" w:hAnsi="Symbol" w:hint="default"/>
      </w:rPr>
    </w:lvl>
    <w:lvl w:ilvl="7" w:tplc="6D966F52">
      <w:start w:val="1"/>
      <w:numFmt w:val="bullet"/>
      <w:lvlText w:val="o"/>
      <w:lvlJc w:val="left"/>
      <w:pPr>
        <w:ind w:left="5760" w:hanging="360"/>
      </w:pPr>
      <w:rPr>
        <w:rFonts w:ascii="Courier New" w:hAnsi="Courier New" w:hint="default"/>
      </w:rPr>
    </w:lvl>
    <w:lvl w:ilvl="8" w:tplc="3588FA10">
      <w:start w:val="1"/>
      <w:numFmt w:val="bullet"/>
      <w:lvlText w:val=""/>
      <w:lvlJc w:val="left"/>
      <w:pPr>
        <w:ind w:left="6480" w:hanging="360"/>
      </w:pPr>
      <w:rPr>
        <w:rFonts w:ascii="Wingdings" w:hAnsi="Wingdings" w:hint="default"/>
      </w:rPr>
    </w:lvl>
  </w:abstractNum>
  <w:abstractNum w:abstractNumId="6" w15:restartNumberingAfterBreak="0">
    <w:nsid w:val="26A3073A"/>
    <w:multiLevelType w:val="hybridMultilevel"/>
    <w:tmpl w:val="6F188068"/>
    <w:lvl w:ilvl="0" w:tplc="8A0C778A">
      <w:start w:val="8"/>
      <w:numFmt w:val="bullet"/>
      <w:lvlText w:val=""/>
      <w:lvlJc w:val="left"/>
      <w:pPr>
        <w:ind w:left="36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87AAF"/>
    <w:multiLevelType w:val="hybridMultilevel"/>
    <w:tmpl w:val="A3185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E4558"/>
    <w:multiLevelType w:val="hybridMultilevel"/>
    <w:tmpl w:val="7BB68F7E"/>
    <w:lvl w:ilvl="0" w:tplc="BEE02FF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74C4D"/>
    <w:multiLevelType w:val="multilevel"/>
    <w:tmpl w:val="C3E8244C"/>
    <w:lvl w:ilvl="0">
      <w:start w:val="1"/>
      <w:numFmt w:val="bullet"/>
      <w:lvlText w:val=""/>
      <w:lvlJc w:val="left"/>
      <w:pPr>
        <w:tabs>
          <w:tab w:val="num" w:pos="360"/>
        </w:tabs>
        <w:ind w:left="360" w:hanging="360"/>
      </w:pPr>
      <w:rPr>
        <w:rFonts w:ascii="Wingdings" w:hAnsi="Wingdings" w:hint="default"/>
        <w:sz w:val="20"/>
      </w:rPr>
    </w:lvl>
    <w:lvl w:ilvl="1">
      <w:start w:val="5"/>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4F1709A"/>
    <w:multiLevelType w:val="hybridMultilevel"/>
    <w:tmpl w:val="10C83C30"/>
    <w:lvl w:ilvl="0" w:tplc="7F08F86E">
      <w:start w:val="1"/>
      <w:numFmt w:val="bullet"/>
      <w:lvlText w:val=""/>
      <w:lvlJc w:val="left"/>
      <w:pPr>
        <w:ind w:left="1440" w:hanging="360"/>
      </w:pPr>
      <w:rPr>
        <w:rFonts w:ascii="Symbol" w:hAnsi="Symbol"/>
      </w:rPr>
    </w:lvl>
    <w:lvl w:ilvl="1" w:tplc="3D9A91C8">
      <w:start w:val="1"/>
      <w:numFmt w:val="bullet"/>
      <w:lvlText w:val=""/>
      <w:lvlJc w:val="left"/>
      <w:pPr>
        <w:ind w:left="1440" w:hanging="360"/>
      </w:pPr>
      <w:rPr>
        <w:rFonts w:ascii="Symbol" w:hAnsi="Symbol"/>
      </w:rPr>
    </w:lvl>
    <w:lvl w:ilvl="2" w:tplc="52CCAE8C">
      <w:start w:val="1"/>
      <w:numFmt w:val="bullet"/>
      <w:lvlText w:val=""/>
      <w:lvlJc w:val="left"/>
      <w:pPr>
        <w:ind w:left="1440" w:hanging="360"/>
      </w:pPr>
      <w:rPr>
        <w:rFonts w:ascii="Symbol" w:hAnsi="Symbol"/>
      </w:rPr>
    </w:lvl>
    <w:lvl w:ilvl="3" w:tplc="BC185554">
      <w:start w:val="1"/>
      <w:numFmt w:val="bullet"/>
      <w:lvlText w:val=""/>
      <w:lvlJc w:val="left"/>
      <w:pPr>
        <w:ind w:left="1440" w:hanging="360"/>
      </w:pPr>
      <w:rPr>
        <w:rFonts w:ascii="Symbol" w:hAnsi="Symbol"/>
      </w:rPr>
    </w:lvl>
    <w:lvl w:ilvl="4" w:tplc="FA60FD48">
      <w:start w:val="1"/>
      <w:numFmt w:val="bullet"/>
      <w:lvlText w:val=""/>
      <w:lvlJc w:val="left"/>
      <w:pPr>
        <w:ind w:left="1440" w:hanging="360"/>
      </w:pPr>
      <w:rPr>
        <w:rFonts w:ascii="Symbol" w:hAnsi="Symbol"/>
      </w:rPr>
    </w:lvl>
    <w:lvl w:ilvl="5" w:tplc="393E76CC">
      <w:start w:val="1"/>
      <w:numFmt w:val="bullet"/>
      <w:lvlText w:val=""/>
      <w:lvlJc w:val="left"/>
      <w:pPr>
        <w:ind w:left="1440" w:hanging="360"/>
      </w:pPr>
      <w:rPr>
        <w:rFonts w:ascii="Symbol" w:hAnsi="Symbol"/>
      </w:rPr>
    </w:lvl>
    <w:lvl w:ilvl="6" w:tplc="D89C59A8">
      <w:start w:val="1"/>
      <w:numFmt w:val="bullet"/>
      <w:lvlText w:val=""/>
      <w:lvlJc w:val="left"/>
      <w:pPr>
        <w:ind w:left="1440" w:hanging="360"/>
      </w:pPr>
      <w:rPr>
        <w:rFonts w:ascii="Symbol" w:hAnsi="Symbol"/>
      </w:rPr>
    </w:lvl>
    <w:lvl w:ilvl="7" w:tplc="FDBE2882">
      <w:start w:val="1"/>
      <w:numFmt w:val="bullet"/>
      <w:lvlText w:val=""/>
      <w:lvlJc w:val="left"/>
      <w:pPr>
        <w:ind w:left="1440" w:hanging="360"/>
      </w:pPr>
      <w:rPr>
        <w:rFonts w:ascii="Symbol" w:hAnsi="Symbol"/>
      </w:rPr>
    </w:lvl>
    <w:lvl w:ilvl="8" w:tplc="729AF3C2">
      <w:start w:val="1"/>
      <w:numFmt w:val="bullet"/>
      <w:lvlText w:val=""/>
      <w:lvlJc w:val="left"/>
      <w:pPr>
        <w:ind w:left="1440" w:hanging="360"/>
      </w:pPr>
      <w:rPr>
        <w:rFonts w:ascii="Symbol" w:hAnsi="Symbol"/>
      </w:rPr>
    </w:lvl>
  </w:abstractNum>
  <w:abstractNum w:abstractNumId="11" w15:restartNumberingAfterBreak="0">
    <w:nsid w:val="578F5D62"/>
    <w:multiLevelType w:val="hybridMultilevel"/>
    <w:tmpl w:val="F4A05A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8342C"/>
    <w:multiLevelType w:val="hybridMultilevel"/>
    <w:tmpl w:val="72EAEEAA"/>
    <w:lvl w:ilvl="0" w:tplc="63F4F2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FCB29"/>
    <w:multiLevelType w:val="hybridMultilevel"/>
    <w:tmpl w:val="FFFFFFFF"/>
    <w:lvl w:ilvl="0" w:tplc="13364AC6">
      <w:start w:val="1"/>
      <w:numFmt w:val="decimal"/>
      <w:lvlText w:val="%1."/>
      <w:lvlJc w:val="left"/>
      <w:pPr>
        <w:ind w:left="720" w:hanging="360"/>
      </w:pPr>
    </w:lvl>
    <w:lvl w:ilvl="1" w:tplc="0DE8EA52">
      <w:start w:val="1"/>
      <w:numFmt w:val="lowerLetter"/>
      <w:lvlText w:val="%2."/>
      <w:lvlJc w:val="left"/>
      <w:pPr>
        <w:ind w:left="1440" w:hanging="360"/>
      </w:pPr>
    </w:lvl>
    <w:lvl w:ilvl="2" w:tplc="E10887B4">
      <w:start w:val="1"/>
      <w:numFmt w:val="lowerRoman"/>
      <w:lvlText w:val="%3."/>
      <w:lvlJc w:val="right"/>
      <w:pPr>
        <w:ind w:left="2160" w:hanging="180"/>
      </w:pPr>
    </w:lvl>
    <w:lvl w:ilvl="3" w:tplc="7D360690">
      <w:start w:val="1"/>
      <w:numFmt w:val="decimal"/>
      <w:lvlText w:val="%4."/>
      <w:lvlJc w:val="left"/>
      <w:pPr>
        <w:ind w:left="2880" w:hanging="360"/>
      </w:pPr>
    </w:lvl>
    <w:lvl w:ilvl="4" w:tplc="3710EF9E">
      <w:start w:val="1"/>
      <w:numFmt w:val="lowerLetter"/>
      <w:lvlText w:val="%5."/>
      <w:lvlJc w:val="left"/>
      <w:pPr>
        <w:ind w:left="3600" w:hanging="360"/>
      </w:pPr>
    </w:lvl>
    <w:lvl w:ilvl="5" w:tplc="3216C6B0">
      <w:start w:val="1"/>
      <w:numFmt w:val="lowerRoman"/>
      <w:lvlText w:val="%6."/>
      <w:lvlJc w:val="right"/>
      <w:pPr>
        <w:ind w:left="4320" w:hanging="180"/>
      </w:pPr>
    </w:lvl>
    <w:lvl w:ilvl="6" w:tplc="005641E6">
      <w:start w:val="1"/>
      <w:numFmt w:val="decimal"/>
      <w:lvlText w:val="%7."/>
      <w:lvlJc w:val="left"/>
      <w:pPr>
        <w:ind w:left="5040" w:hanging="360"/>
      </w:pPr>
    </w:lvl>
    <w:lvl w:ilvl="7" w:tplc="836C6B20">
      <w:start w:val="1"/>
      <w:numFmt w:val="lowerLetter"/>
      <w:lvlText w:val="%8."/>
      <w:lvlJc w:val="left"/>
      <w:pPr>
        <w:ind w:left="5760" w:hanging="360"/>
      </w:pPr>
    </w:lvl>
    <w:lvl w:ilvl="8" w:tplc="04C45324">
      <w:start w:val="1"/>
      <w:numFmt w:val="lowerRoman"/>
      <w:lvlText w:val="%9."/>
      <w:lvlJc w:val="right"/>
      <w:pPr>
        <w:ind w:left="6480" w:hanging="180"/>
      </w:pPr>
    </w:lvl>
  </w:abstractNum>
  <w:abstractNum w:abstractNumId="14" w15:restartNumberingAfterBreak="0">
    <w:nsid w:val="6B1E2EC8"/>
    <w:multiLevelType w:val="hybridMultilevel"/>
    <w:tmpl w:val="F6D85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9074">
    <w:abstractNumId w:val="6"/>
  </w:num>
  <w:num w:numId="2" w16cid:durableId="2112775657">
    <w:abstractNumId w:val="1"/>
  </w:num>
  <w:num w:numId="3" w16cid:durableId="2110394140">
    <w:abstractNumId w:val="10"/>
  </w:num>
  <w:num w:numId="4" w16cid:durableId="450171490">
    <w:abstractNumId w:val="0"/>
  </w:num>
  <w:num w:numId="5" w16cid:durableId="479004418">
    <w:abstractNumId w:val="9"/>
  </w:num>
  <w:num w:numId="6" w16cid:durableId="636952668">
    <w:abstractNumId w:val="12"/>
  </w:num>
  <w:num w:numId="7" w16cid:durableId="24870563">
    <w:abstractNumId w:val="3"/>
  </w:num>
  <w:num w:numId="8" w16cid:durableId="1294795994">
    <w:abstractNumId w:val="4"/>
  </w:num>
  <w:num w:numId="9" w16cid:durableId="1702978478">
    <w:abstractNumId w:val="8"/>
  </w:num>
  <w:num w:numId="10" w16cid:durableId="1739090629">
    <w:abstractNumId w:val="13"/>
  </w:num>
  <w:num w:numId="11" w16cid:durableId="923681141">
    <w:abstractNumId w:val="5"/>
  </w:num>
  <w:num w:numId="12" w16cid:durableId="1767798807">
    <w:abstractNumId w:val="11"/>
  </w:num>
  <w:num w:numId="13" w16cid:durableId="734203991">
    <w:abstractNumId w:val="2"/>
  </w:num>
  <w:num w:numId="14" w16cid:durableId="1216434962">
    <w:abstractNumId w:val="7"/>
  </w:num>
  <w:num w:numId="15" w16cid:durableId="1195925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98"/>
    <w:rsid w:val="00000AEA"/>
    <w:rsid w:val="00000C91"/>
    <w:rsid w:val="00002AA1"/>
    <w:rsid w:val="00005382"/>
    <w:rsid w:val="00006459"/>
    <w:rsid w:val="00007916"/>
    <w:rsid w:val="00007AAF"/>
    <w:rsid w:val="000104EB"/>
    <w:rsid w:val="000105A9"/>
    <w:rsid w:val="00011E28"/>
    <w:rsid w:val="00013C53"/>
    <w:rsid w:val="000141CC"/>
    <w:rsid w:val="00014C48"/>
    <w:rsid w:val="00017210"/>
    <w:rsid w:val="00021FBD"/>
    <w:rsid w:val="00022A0F"/>
    <w:rsid w:val="00023053"/>
    <w:rsid w:val="000250DD"/>
    <w:rsid w:val="000254EC"/>
    <w:rsid w:val="0002589F"/>
    <w:rsid w:val="000269ED"/>
    <w:rsid w:val="00026FE9"/>
    <w:rsid w:val="00030992"/>
    <w:rsid w:val="000317BA"/>
    <w:rsid w:val="00031EF9"/>
    <w:rsid w:val="0003224F"/>
    <w:rsid w:val="000334D9"/>
    <w:rsid w:val="00033BFF"/>
    <w:rsid w:val="00037C8D"/>
    <w:rsid w:val="00041665"/>
    <w:rsid w:val="00043784"/>
    <w:rsid w:val="00043AAE"/>
    <w:rsid w:val="0004400E"/>
    <w:rsid w:val="00044859"/>
    <w:rsid w:val="00044DD3"/>
    <w:rsid w:val="0004579E"/>
    <w:rsid w:val="00045C47"/>
    <w:rsid w:val="0005079A"/>
    <w:rsid w:val="00051405"/>
    <w:rsid w:val="0005431B"/>
    <w:rsid w:val="00054E87"/>
    <w:rsid w:val="0005681F"/>
    <w:rsid w:val="00057706"/>
    <w:rsid w:val="00061269"/>
    <w:rsid w:val="000658CD"/>
    <w:rsid w:val="00067C59"/>
    <w:rsid w:val="00070257"/>
    <w:rsid w:val="0007077A"/>
    <w:rsid w:val="00071F78"/>
    <w:rsid w:val="00072052"/>
    <w:rsid w:val="000736B9"/>
    <w:rsid w:val="000823CE"/>
    <w:rsid w:val="00082FB3"/>
    <w:rsid w:val="000838EA"/>
    <w:rsid w:val="00083964"/>
    <w:rsid w:val="00085071"/>
    <w:rsid w:val="00086C19"/>
    <w:rsid w:val="00090418"/>
    <w:rsid w:val="00090AB8"/>
    <w:rsid w:val="00091AD8"/>
    <w:rsid w:val="000927DF"/>
    <w:rsid w:val="0009295C"/>
    <w:rsid w:val="0009710C"/>
    <w:rsid w:val="000A1EEC"/>
    <w:rsid w:val="000A482D"/>
    <w:rsid w:val="000A4E4C"/>
    <w:rsid w:val="000A5D31"/>
    <w:rsid w:val="000A6B3F"/>
    <w:rsid w:val="000A6D67"/>
    <w:rsid w:val="000A7F3D"/>
    <w:rsid w:val="000B0403"/>
    <w:rsid w:val="000B2B9E"/>
    <w:rsid w:val="000B2EDA"/>
    <w:rsid w:val="000B320B"/>
    <w:rsid w:val="000B6DB4"/>
    <w:rsid w:val="000B7267"/>
    <w:rsid w:val="000B79B7"/>
    <w:rsid w:val="000B7B4C"/>
    <w:rsid w:val="000B7BCE"/>
    <w:rsid w:val="000C0989"/>
    <w:rsid w:val="000C2682"/>
    <w:rsid w:val="000C4015"/>
    <w:rsid w:val="000C407E"/>
    <w:rsid w:val="000C4BDF"/>
    <w:rsid w:val="000C52AF"/>
    <w:rsid w:val="000C6CF2"/>
    <w:rsid w:val="000D107B"/>
    <w:rsid w:val="000D1591"/>
    <w:rsid w:val="000D2D50"/>
    <w:rsid w:val="000D2FAB"/>
    <w:rsid w:val="000D42B4"/>
    <w:rsid w:val="000E089E"/>
    <w:rsid w:val="000E1D44"/>
    <w:rsid w:val="000E1E46"/>
    <w:rsid w:val="000E21FD"/>
    <w:rsid w:val="000E572B"/>
    <w:rsid w:val="000E677E"/>
    <w:rsid w:val="000E6D92"/>
    <w:rsid w:val="000E6F0A"/>
    <w:rsid w:val="000F0D60"/>
    <w:rsid w:val="000F11D5"/>
    <w:rsid w:val="000F18FA"/>
    <w:rsid w:val="000F25D6"/>
    <w:rsid w:val="000F295F"/>
    <w:rsid w:val="000F2E64"/>
    <w:rsid w:val="000F33B8"/>
    <w:rsid w:val="000F36B9"/>
    <w:rsid w:val="000F38EE"/>
    <w:rsid w:val="000F4933"/>
    <w:rsid w:val="00100908"/>
    <w:rsid w:val="001027BB"/>
    <w:rsid w:val="00104B4F"/>
    <w:rsid w:val="00105F7F"/>
    <w:rsid w:val="00106379"/>
    <w:rsid w:val="0010726C"/>
    <w:rsid w:val="00107C7E"/>
    <w:rsid w:val="00110723"/>
    <w:rsid w:val="00110CC0"/>
    <w:rsid w:val="00110FF6"/>
    <w:rsid w:val="00112681"/>
    <w:rsid w:val="00112EB0"/>
    <w:rsid w:val="001130C9"/>
    <w:rsid w:val="0011338E"/>
    <w:rsid w:val="00114749"/>
    <w:rsid w:val="0011554C"/>
    <w:rsid w:val="001156E0"/>
    <w:rsid w:val="001158EF"/>
    <w:rsid w:val="00115B9F"/>
    <w:rsid w:val="001203FE"/>
    <w:rsid w:val="00124132"/>
    <w:rsid w:val="00124F54"/>
    <w:rsid w:val="00125A4C"/>
    <w:rsid w:val="00126D55"/>
    <w:rsid w:val="00133865"/>
    <w:rsid w:val="001340D0"/>
    <w:rsid w:val="00134CA9"/>
    <w:rsid w:val="001411A5"/>
    <w:rsid w:val="00141578"/>
    <w:rsid w:val="00141BA3"/>
    <w:rsid w:val="00142458"/>
    <w:rsid w:val="001447BE"/>
    <w:rsid w:val="00144F6F"/>
    <w:rsid w:val="00145154"/>
    <w:rsid w:val="001452A7"/>
    <w:rsid w:val="00146298"/>
    <w:rsid w:val="001463CC"/>
    <w:rsid w:val="00146D76"/>
    <w:rsid w:val="001546AB"/>
    <w:rsid w:val="00155CFE"/>
    <w:rsid w:val="00156EB6"/>
    <w:rsid w:val="00161688"/>
    <w:rsid w:val="001629FD"/>
    <w:rsid w:val="00162BBA"/>
    <w:rsid w:val="001633DC"/>
    <w:rsid w:val="00163EA2"/>
    <w:rsid w:val="0016440D"/>
    <w:rsid w:val="00164E98"/>
    <w:rsid w:val="00164F2D"/>
    <w:rsid w:val="00165B26"/>
    <w:rsid w:val="00165ED8"/>
    <w:rsid w:val="0017232F"/>
    <w:rsid w:val="001726B4"/>
    <w:rsid w:val="00172B3D"/>
    <w:rsid w:val="00172BA8"/>
    <w:rsid w:val="00172F0A"/>
    <w:rsid w:val="0017732E"/>
    <w:rsid w:val="0018006A"/>
    <w:rsid w:val="00180A1C"/>
    <w:rsid w:val="001850F7"/>
    <w:rsid w:val="00185211"/>
    <w:rsid w:val="00186D98"/>
    <w:rsid w:val="00190792"/>
    <w:rsid w:val="001918A5"/>
    <w:rsid w:val="0019201D"/>
    <w:rsid w:val="001924E8"/>
    <w:rsid w:val="00193BAF"/>
    <w:rsid w:val="001A0DEB"/>
    <w:rsid w:val="001A2147"/>
    <w:rsid w:val="001A36C4"/>
    <w:rsid w:val="001A4491"/>
    <w:rsid w:val="001A4A15"/>
    <w:rsid w:val="001A6A10"/>
    <w:rsid w:val="001B15B9"/>
    <w:rsid w:val="001B2AFA"/>
    <w:rsid w:val="001B3063"/>
    <w:rsid w:val="001B35EB"/>
    <w:rsid w:val="001B3ABD"/>
    <w:rsid w:val="001B3BB4"/>
    <w:rsid w:val="001B3DFB"/>
    <w:rsid w:val="001B6D8E"/>
    <w:rsid w:val="001B7206"/>
    <w:rsid w:val="001C1F9A"/>
    <w:rsid w:val="001C2765"/>
    <w:rsid w:val="001C338C"/>
    <w:rsid w:val="001C4230"/>
    <w:rsid w:val="001C490C"/>
    <w:rsid w:val="001C5158"/>
    <w:rsid w:val="001C5255"/>
    <w:rsid w:val="001C54BA"/>
    <w:rsid w:val="001C7AA7"/>
    <w:rsid w:val="001D0667"/>
    <w:rsid w:val="001D2B9B"/>
    <w:rsid w:val="001D3672"/>
    <w:rsid w:val="001D7B3A"/>
    <w:rsid w:val="001D7FFE"/>
    <w:rsid w:val="001E0870"/>
    <w:rsid w:val="001E1BEA"/>
    <w:rsid w:val="001E1C75"/>
    <w:rsid w:val="001E2B58"/>
    <w:rsid w:val="001E40AF"/>
    <w:rsid w:val="001F1226"/>
    <w:rsid w:val="001F17C1"/>
    <w:rsid w:val="001F2E25"/>
    <w:rsid w:val="001F558C"/>
    <w:rsid w:val="001F64DE"/>
    <w:rsid w:val="001F7B14"/>
    <w:rsid w:val="00201272"/>
    <w:rsid w:val="002017DE"/>
    <w:rsid w:val="00201A2E"/>
    <w:rsid w:val="00202C62"/>
    <w:rsid w:val="00205046"/>
    <w:rsid w:val="00205CA2"/>
    <w:rsid w:val="00205DEA"/>
    <w:rsid w:val="00206757"/>
    <w:rsid w:val="00207782"/>
    <w:rsid w:val="00212E83"/>
    <w:rsid w:val="002133EB"/>
    <w:rsid w:val="00216059"/>
    <w:rsid w:val="002161BB"/>
    <w:rsid w:val="00216204"/>
    <w:rsid w:val="002205F3"/>
    <w:rsid w:val="00221934"/>
    <w:rsid w:val="0022209D"/>
    <w:rsid w:val="00222D72"/>
    <w:rsid w:val="00223F10"/>
    <w:rsid w:val="002251FA"/>
    <w:rsid w:val="002259EB"/>
    <w:rsid w:val="00225F04"/>
    <w:rsid w:val="00226420"/>
    <w:rsid w:val="00226643"/>
    <w:rsid w:val="00227064"/>
    <w:rsid w:val="002277BE"/>
    <w:rsid w:val="0023251C"/>
    <w:rsid w:val="00233C96"/>
    <w:rsid w:val="0023415B"/>
    <w:rsid w:val="002356D0"/>
    <w:rsid w:val="00236A19"/>
    <w:rsid w:val="00236A6D"/>
    <w:rsid w:val="00237410"/>
    <w:rsid w:val="00237DF1"/>
    <w:rsid w:val="00237F70"/>
    <w:rsid w:val="00240098"/>
    <w:rsid w:val="00240118"/>
    <w:rsid w:val="002409D3"/>
    <w:rsid w:val="002413E2"/>
    <w:rsid w:val="00241953"/>
    <w:rsid w:val="00242654"/>
    <w:rsid w:val="00243AE8"/>
    <w:rsid w:val="00243D4B"/>
    <w:rsid w:val="002470D9"/>
    <w:rsid w:val="00247E8C"/>
    <w:rsid w:val="002512E7"/>
    <w:rsid w:val="002530B4"/>
    <w:rsid w:val="00253F2E"/>
    <w:rsid w:val="00256D52"/>
    <w:rsid w:val="00260560"/>
    <w:rsid w:val="002614B8"/>
    <w:rsid w:val="00262110"/>
    <w:rsid w:val="0026277E"/>
    <w:rsid w:val="0026560B"/>
    <w:rsid w:val="00265B0F"/>
    <w:rsid w:val="00266A86"/>
    <w:rsid w:val="00270362"/>
    <w:rsid w:val="00270676"/>
    <w:rsid w:val="0027321D"/>
    <w:rsid w:val="00273667"/>
    <w:rsid w:val="00273BC9"/>
    <w:rsid w:val="0027449B"/>
    <w:rsid w:val="00274505"/>
    <w:rsid w:val="002751C0"/>
    <w:rsid w:val="0027619F"/>
    <w:rsid w:val="002771CB"/>
    <w:rsid w:val="002804A3"/>
    <w:rsid w:val="002810F6"/>
    <w:rsid w:val="00281795"/>
    <w:rsid w:val="00284045"/>
    <w:rsid w:val="0028532E"/>
    <w:rsid w:val="0028575F"/>
    <w:rsid w:val="00286313"/>
    <w:rsid w:val="00287BE9"/>
    <w:rsid w:val="00292AE8"/>
    <w:rsid w:val="00292B54"/>
    <w:rsid w:val="00293EF0"/>
    <w:rsid w:val="00294408"/>
    <w:rsid w:val="00294FA3"/>
    <w:rsid w:val="00295368"/>
    <w:rsid w:val="00296C7A"/>
    <w:rsid w:val="0029755D"/>
    <w:rsid w:val="00297E57"/>
    <w:rsid w:val="002A2373"/>
    <w:rsid w:val="002A3D1C"/>
    <w:rsid w:val="002A4DC0"/>
    <w:rsid w:val="002A5DC9"/>
    <w:rsid w:val="002A63D2"/>
    <w:rsid w:val="002A6B81"/>
    <w:rsid w:val="002A6C8F"/>
    <w:rsid w:val="002A70FA"/>
    <w:rsid w:val="002A79CF"/>
    <w:rsid w:val="002A7A10"/>
    <w:rsid w:val="002A7A2B"/>
    <w:rsid w:val="002A7C39"/>
    <w:rsid w:val="002A7D4C"/>
    <w:rsid w:val="002B1BA3"/>
    <w:rsid w:val="002B2725"/>
    <w:rsid w:val="002B2CDE"/>
    <w:rsid w:val="002B32C4"/>
    <w:rsid w:val="002B3372"/>
    <w:rsid w:val="002B446B"/>
    <w:rsid w:val="002B5912"/>
    <w:rsid w:val="002B7B6F"/>
    <w:rsid w:val="002C0B0B"/>
    <w:rsid w:val="002C2172"/>
    <w:rsid w:val="002C2A1E"/>
    <w:rsid w:val="002C4505"/>
    <w:rsid w:val="002C4E5D"/>
    <w:rsid w:val="002C4EC4"/>
    <w:rsid w:val="002C6E16"/>
    <w:rsid w:val="002D035B"/>
    <w:rsid w:val="002D3A5F"/>
    <w:rsid w:val="002D455C"/>
    <w:rsid w:val="002D61E0"/>
    <w:rsid w:val="002E6B48"/>
    <w:rsid w:val="002E6FD4"/>
    <w:rsid w:val="002E7BE9"/>
    <w:rsid w:val="002F082C"/>
    <w:rsid w:val="002F1A90"/>
    <w:rsid w:val="002F2432"/>
    <w:rsid w:val="002F546A"/>
    <w:rsid w:val="002F55BA"/>
    <w:rsid w:val="002F55D9"/>
    <w:rsid w:val="002F6E06"/>
    <w:rsid w:val="002F6EB9"/>
    <w:rsid w:val="00304CE6"/>
    <w:rsid w:val="003112DB"/>
    <w:rsid w:val="00311FAC"/>
    <w:rsid w:val="00314049"/>
    <w:rsid w:val="0031537E"/>
    <w:rsid w:val="003174AC"/>
    <w:rsid w:val="00317756"/>
    <w:rsid w:val="00322F22"/>
    <w:rsid w:val="00323863"/>
    <w:rsid w:val="003240C8"/>
    <w:rsid w:val="00324147"/>
    <w:rsid w:val="00326776"/>
    <w:rsid w:val="003317C2"/>
    <w:rsid w:val="00331957"/>
    <w:rsid w:val="00334119"/>
    <w:rsid w:val="003348F8"/>
    <w:rsid w:val="003364EE"/>
    <w:rsid w:val="00336AF9"/>
    <w:rsid w:val="00341536"/>
    <w:rsid w:val="003419AA"/>
    <w:rsid w:val="003435E9"/>
    <w:rsid w:val="00343C88"/>
    <w:rsid w:val="003448DC"/>
    <w:rsid w:val="003469AB"/>
    <w:rsid w:val="0034759B"/>
    <w:rsid w:val="00356558"/>
    <w:rsid w:val="00356E55"/>
    <w:rsid w:val="00361C5D"/>
    <w:rsid w:val="003637B9"/>
    <w:rsid w:val="00370BA4"/>
    <w:rsid w:val="00371AD4"/>
    <w:rsid w:val="00371B2E"/>
    <w:rsid w:val="00371C45"/>
    <w:rsid w:val="003725EA"/>
    <w:rsid w:val="00373559"/>
    <w:rsid w:val="00373720"/>
    <w:rsid w:val="0037451A"/>
    <w:rsid w:val="00374FDC"/>
    <w:rsid w:val="00377AF2"/>
    <w:rsid w:val="00377BE8"/>
    <w:rsid w:val="00377C3C"/>
    <w:rsid w:val="00380547"/>
    <w:rsid w:val="0038087C"/>
    <w:rsid w:val="003809F0"/>
    <w:rsid w:val="00380E4B"/>
    <w:rsid w:val="00381E62"/>
    <w:rsid w:val="00385020"/>
    <w:rsid w:val="003925DC"/>
    <w:rsid w:val="00393B8E"/>
    <w:rsid w:val="00395860"/>
    <w:rsid w:val="0039626C"/>
    <w:rsid w:val="003969D8"/>
    <w:rsid w:val="00396B4E"/>
    <w:rsid w:val="00397AA1"/>
    <w:rsid w:val="003A22E6"/>
    <w:rsid w:val="003A4632"/>
    <w:rsid w:val="003A5480"/>
    <w:rsid w:val="003A60C1"/>
    <w:rsid w:val="003B282F"/>
    <w:rsid w:val="003B302C"/>
    <w:rsid w:val="003B6433"/>
    <w:rsid w:val="003B6A5D"/>
    <w:rsid w:val="003B6CB3"/>
    <w:rsid w:val="003C0199"/>
    <w:rsid w:val="003C049D"/>
    <w:rsid w:val="003C063E"/>
    <w:rsid w:val="003C0C48"/>
    <w:rsid w:val="003C1143"/>
    <w:rsid w:val="003C1C37"/>
    <w:rsid w:val="003C1DA0"/>
    <w:rsid w:val="003C3648"/>
    <w:rsid w:val="003C3B9E"/>
    <w:rsid w:val="003C4028"/>
    <w:rsid w:val="003C437D"/>
    <w:rsid w:val="003C43F2"/>
    <w:rsid w:val="003C4804"/>
    <w:rsid w:val="003C4AF7"/>
    <w:rsid w:val="003C561C"/>
    <w:rsid w:val="003C5E56"/>
    <w:rsid w:val="003C6203"/>
    <w:rsid w:val="003C6224"/>
    <w:rsid w:val="003C71C0"/>
    <w:rsid w:val="003C720E"/>
    <w:rsid w:val="003D1D6C"/>
    <w:rsid w:val="003D4413"/>
    <w:rsid w:val="003D664C"/>
    <w:rsid w:val="003D745D"/>
    <w:rsid w:val="003D75D4"/>
    <w:rsid w:val="003E2699"/>
    <w:rsid w:val="003E30C3"/>
    <w:rsid w:val="003E4399"/>
    <w:rsid w:val="003E44F4"/>
    <w:rsid w:val="003E458A"/>
    <w:rsid w:val="003F0972"/>
    <w:rsid w:val="003F35D5"/>
    <w:rsid w:val="003F408B"/>
    <w:rsid w:val="003F4238"/>
    <w:rsid w:val="003F6B88"/>
    <w:rsid w:val="003F71C1"/>
    <w:rsid w:val="003F7FC8"/>
    <w:rsid w:val="004024C8"/>
    <w:rsid w:val="004026B2"/>
    <w:rsid w:val="00404DE9"/>
    <w:rsid w:val="0040686E"/>
    <w:rsid w:val="00406C14"/>
    <w:rsid w:val="00406FBC"/>
    <w:rsid w:val="004071E0"/>
    <w:rsid w:val="004105D4"/>
    <w:rsid w:val="00412F22"/>
    <w:rsid w:val="0041314C"/>
    <w:rsid w:val="004171DC"/>
    <w:rsid w:val="004175BB"/>
    <w:rsid w:val="00420052"/>
    <w:rsid w:val="00421076"/>
    <w:rsid w:val="00421387"/>
    <w:rsid w:val="004216FC"/>
    <w:rsid w:val="00421EAE"/>
    <w:rsid w:val="00421FDC"/>
    <w:rsid w:val="00422450"/>
    <w:rsid w:val="00422FDE"/>
    <w:rsid w:val="00423D90"/>
    <w:rsid w:val="0043055D"/>
    <w:rsid w:val="00430DF3"/>
    <w:rsid w:val="004316EE"/>
    <w:rsid w:val="00436049"/>
    <w:rsid w:val="004369E2"/>
    <w:rsid w:val="00437421"/>
    <w:rsid w:val="00437EB0"/>
    <w:rsid w:val="00440975"/>
    <w:rsid w:val="00442A7A"/>
    <w:rsid w:val="004463CF"/>
    <w:rsid w:val="0044791A"/>
    <w:rsid w:val="0045019E"/>
    <w:rsid w:val="00451479"/>
    <w:rsid w:val="00451A4B"/>
    <w:rsid w:val="00452A9D"/>
    <w:rsid w:val="00452CAC"/>
    <w:rsid w:val="004533C2"/>
    <w:rsid w:val="004534A5"/>
    <w:rsid w:val="00454C89"/>
    <w:rsid w:val="004568FA"/>
    <w:rsid w:val="00460216"/>
    <w:rsid w:val="004604C0"/>
    <w:rsid w:val="004625E2"/>
    <w:rsid w:val="00463256"/>
    <w:rsid w:val="0046461D"/>
    <w:rsid w:val="00465168"/>
    <w:rsid w:val="00465C20"/>
    <w:rsid w:val="0046748F"/>
    <w:rsid w:val="00470D0C"/>
    <w:rsid w:val="00474330"/>
    <w:rsid w:val="00474499"/>
    <w:rsid w:val="004753CC"/>
    <w:rsid w:val="00476441"/>
    <w:rsid w:val="00477295"/>
    <w:rsid w:val="004807BA"/>
    <w:rsid w:val="004810A6"/>
    <w:rsid w:val="00481B48"/>
    <w:rsid w:val="004821FF"/>
    <w:rsid w:val="004847DF"/>
    <w:rsid w:val="0048642B"/>
    <w:rsid w:val="00486B0C"/>
    <w:rsid w:val="0049332A"/>
    <w:rsid w:val="00494848"/>
    <w:rsid w:val="004950DC"/>
    <w:rsid w:val="0049616D"/>
    <w:rsid w:val="00497C78"/>
    <w:rsid w:val="004A00F1"/>
    <w:rsid w:val="004A0178"/>
    <w:rsid w:val="004A064C"/>
    <w:rsid w:val="004A1165"/>
    <w:rsid w:val="004A1787"/>
    <w:rsid w:val="004A2B1F"/>
    <w:rsid w:val="004A2FAF"/>
    <w:rsid w:val="004A3046"/>
    <w:rsid w:val="004A37AB"/>
    <w:rsid w:val="004A4B09"/>
    <w:rsid w:val="004A5100"/>
    <w:rsid w:val="004A5822"/>
    <w:rsid w:val="004A68FC"/>
    <w:rsid w:val="004A745A"/>
    <w:rsid w:val="004B0F92"/>
    <w:rsid w:val="004B136D"/>
    <w:rsid w:val="004B2D77"/>
    <w:rsid w:val="004B4960"/>
    <w:rsid w:val="004B5EAC"/>
    <w:rsid w:val="004B7D32"/>
    <w:rsid w:val="004C1714"/>
    <w:rsid w:val="004C1745"/>
    <w:rsid w:val="004C242B"/>
    <w:rsid w:val="004C2780"/>
    <w:rsid w:val="004C357F"/>
    <w:rsid w:val="004C380F"/>
    <w:rsid w:val="004C5584"/>
    <w:rsid w:val="004C7C9E"/>
    <w:rsid w:val="004D11F4"/>
    <w:rsid w:val="004D1639"/>
    <w:rsid w:val="004D3B46"/>
    <w:rsid w:val="004D58AF"/>
    <w:rsid w:val="004D63E8"/>
    <w:rsid w:val="004D674C"/>
    <w:rsid w:val="004D7C7E"/>
    <w:rsid w:val="004E0289"/>
    <w:rsid w:val="004E3D25"/>
    <w:rsid w:val="004E3DFE"/>
    <w:rsid w:val="004E4DC5"/>
    <w:rsid w:val="004E68DF"/>
    <w:rsid w:val="004E74A0"/>
    <w:rsid w:val="004F07D0"/>
    <w:rsid w:val="004F1E90"/>
    <w:rsid w:val="004F2F06"/>
    <w:rsid w:val="004F3249"/>
    <w:rsid w:val="004F4A7C"/>
    <w:rsid w:val="004F530D"/>
    <w:rsid w:val="004F73D2"/>
    <w:rsid w:val="00503077"/>
    <w:rsid w:val="00503C2C"/>
    <w:rsid w:val="00505645"/>
    <w:rsid w:val="00507244"/>
    <w:rsid w:val="00512AF1"/>
    <w:rsid w:val="00515195"/>
    <w:rsid w:val="00515F6B"/>
    <w:rsid w:val="0051630B"/>
    <w:rsid w:val="00517CB0"/>
    <w:rsid w:val="00517D72"/>
    <w:rsid w:val="0052118C"/>
    <w:rsid w:val="00521269"/>
    <w:rsid w:val="00521A12"/>
    <w:rsid w:val="00525568"/>
    <w:rsid w:val="00527430"/>
    <w:rsid w:val="00530308"/>
    <w:rsid w:val="00530440"/>
    <w:rsid w:val="00530488"/>
    <w:rsid w:val="00532D59"/>
    <w:rsid w:val="00534275"/>
    <w:rsid w:val="005352E4"/>
    <w:rsid w:val="00535E88"/>
    <w:rsid w:val="00536BC5"/>
    <w:rsid w:val="005373E4"/>
    <w:rsid w:val="00542748"/>
    <w:rsid w:val="00542BC4"/>
    <w:rsid w:val="00542F31"/>
    <w:rsid w:val="00544509"/>
    <w:rsid w:val="00544ADC"/>
    <w:rsid w:val="00545871"/>
    <w:rsid w:val="00546425"/>
    <w:rsid w:val="00546C64"/>
    <w:rsid w:val="00547CFD"/>
    <w:rsid w:val="00551A75"/>
    <w:rsid w:val="00552F48"/>
    <w:rsid w:val="00553CDA"/>
    <w:rsid w:val="005544AF"/>
    <w:rsid w:val="00554C3F"/>
    <w:rsid w:val="00555EC9"/>
    <w:rsid w:val="00556DE1"/>
    <w:rsid w:val="00557F8F"/>
    <w:rsid w:val="00560CAD"/>
    <w:rsid w:val="00561182"/>
    <w:rsid w:val="005617EA"/>
    <w:rsid w:val="005623D6"/>
    <w:rsid w:val="005633F4"/>
    <w:rsid w:val="00563611"/>
    <w:rsid w:val="0056380D"/>
    <w:rsid w:val="00564D33"/>
    <w:rsid w:val="00564DE1"/>
    <w:rsid w:val="005655F6"/>
    <w:rsid w:val="00566215"/>
    <w:rsid w:val="00567959"/>
    <w:rsid w:val="00567F90"/>
    <w:rsid w:val="0057115F"/>
    <w:rsid w:val="00572123"/>
    <w:rsid w:val="00575F15"/>
    <w:rsid w:val="0058050C"/>
    <w:rsid w:val="00581EFC"/>
    <w:rsid w:val="00584B49"/>
    <w:rsid w:val="00585ABE"/>
    <w:rsid w:val="005927A8"/>
    <w:rsid w:val="0059341C"/>
    <w:rsid w:val="005954B3"/>
    <w:rsid w:val="00595A09"/>
    <w:rsid w:val="0059612A"/>
    <w:rsid w:val="00596FF8"/>
    <w:rsid w:val="005974AE"/>
    <w:rsid w:val="00597D4B"/>
    <w:rsid w:val="005A04F7"/>
    <w:rsid w:val="005A0C20"/>
    <w:rsid w:val="005A2FEA"/>
    <w:rsid w:val="005A459D"/>
    <w:rsid w:val="005A6EDC"/>
    <w:rsid w:val="005A7B09"/>
    <w:rsid w:val="005A7EC1"/>
    <w:rsid w:val="005B3CCC"/>
    <w:rsid w:val="005B4406"/>
    <w:rsid w:val="005B49A7"/>
    <w:rsid w:val="005B4A8D"/>
    <w:rsid w:val="005B4D05"/>
    <w:rsid w:val="005B4E9D"/>
    <w:rsid w:val="005B565E"/>
    <w:rsid w:val="005C00AA"/>
    <w:rsid w:val="005C1615"/>
    <w:rsid w:val="005C1FE4"/>
    <w:rsid w:val="005C2741"/>
    <w:rsid w:val="005C4352"/>
    <w:rsid w:val="005C472A"/>
    <w:rsid w:val="005C4FFD"/>
    <w:rsid w:val="005C5901"/>
    <w:rsid w:val="005C5BA9"/>
    <w:rsid w:val="005C613E"/>
    <w:rsid w:val="005C64D3"/>
    <w:rsid w:val="005C77A7"/>
    <w:rsid w:val="005D1AC3"/>
    <w:rsid w:val="005D2356"/>
    <w:rsid w:val="005D244F"/>
    <w:rsid w:val="005D2F8D"/>
    <w:rsid w:val="005D3191"/>
    <w:rsid w:val="005D4278"/>
    <w:rsid w:val="005D5188"/>
    <w:rsid w:val="005D694E"/>
    <w:rsid w:val="005D748D"/>
    <w:rsid w:val="005D7F82"/>
    <w:rsid w:val="005E5283"/>
    <w:rsid w:val="005E6AC4"/>
    <w:rsid w:val="005E78A5"/>
    <w:rsid w:val="005F1056"/>
    <w:rsid w:val="005F1FBA"/>
    <w:rsid w:val="005F3114"/>
    <w:rsid w:val="005F75A7"/>
    <w:rsid w:val="005F7C4E"/>
    <w:rsid w:val="005FA101"/>
    <w:rsid w:val="00600C35"/>
    <w:rsid w:val="00601247"/>
    <w:rsid w:val="006013E9"/>
    <w:rsid w:val="00602125"/>
    <w:rsid w:val="006029E2"/>
    <w:rsid w:val="00603504"/>
    <w:rsid w:val="00604518"/>
    <w:rsid w:val="00607303"/>
    <w:rsid w:val="006077D0"/>
    <w:rsid w:val="00608AEB"/>
    <w:rsid w:val="00610F83"/>
    <w:rsid w:val="00620236"/>
    <w:rsid w:val="00620412"/>
    <w:rsid w:val="00620C06"/>
    <w:rsid w:val="006219DC"/>
    <w:rsid w:val="00621E68"/>
    <w:rsid w:val="00623242"/>
    <w:rsid w:val="0062439C"/>
    <w:rsid w:val="006248BF"/>
    <w:rsid w:val="0062771F"/>
    <w:rsid w:val="00631D6B"/>
    <w:rsid w:val="00633433"/>
    <w:rsid w:val="00633BFE"/>
    <w:rsid w:val="00634942"/>
    <w:rsid w:val="00636AE8"/>
    <w:rsid w:val="0063757C"/>
    <w:rsid w:val="00643840"/>
    <w:rsid w:val="00643E1C"/>
    <w:rsid w:val="0064767E"/>
    <w:rsid w:val="00650B40"/>
    <w:rsid w:val="0065128F"/>
    <w:rsid w:val="0065544D"/>
    <w:rsid w:val="006564C5"/>
    <w:rsid w:val="00656591"/>
    <w:rsid w:val="006568CB"/>
    <w:rsid w:val="00656ED7"/>
    <w:rsid w:val="00657FB2"/>
    <w:rsid w:val="006605B2"/>
    <w:rsid w:val="00662408"/>
    <w:rsid w:val="006637F7"/>
    <w:rsid w:val="006640E4"/>
    <w:rsid w:val="00666A5B"/>
    <w:rsid w:val="00671052"/>
    <w:rsid w:val="00674FC2"/>
    <w:rsid w:val="00677A51"/>
    <w:rsid w:val="00680892"/>
    <w:rsid w:val="00682E32"/>
    <w:rsid w:val="00683773"/>
    <w:rsid w:val="0068582C"/>
    <w:rsid w:val="00685F7E"/>
    <w:rsid w:val="00686EB6"/>
    <w:rsid w:val="006903D9"/>
    <w:rsid w:val="00690650"/>
    <w:rsid w:val="00691675"/>
    <w:rsid w:val="00691AA9"/>
    <w:rsid w:val="006935EF"/>
    <w:rsid w:val="00696B75"/>
    <w:rsid w:val="006974F1"/>
    <w:rsid w:val="006A0534"/>
    <w:rsid w:val="006A15C0"/>
    <w:rsid w:val="006A2963"/>
    <w:rsid w:val="006A309F"/>
    <w:rsid w:val="006A3CC6"/>
    <w:rsid w:val="006A4625"/>
    <w:rsid w:val="006A484C"/>
    <w:rsid w:val="006B04D1"/>
    <w:rsid w:val="006B22F5"/>
    <w:rsid w:val="006B4CE2"/>
    <w:rsid w:val="006B5335"/>
    <w:rsid w:val="006B5B6D"/>
    <w:rsid w:val="006C1A22"/>
    <w:rsid w:val="006C1BF1"/>
    <w:rsid w:val="006C2493"/>
    <w:rsid w:val="006C3672"/>
    <w:rsid w:val="006C3F19"/>
    <w:rsid w:val="006C5641"/>
    <w:rsid w:val="006C6057"/>
    <w:rsid w:val="006C61C7"/>
    <w:rsid w:val="006C659E"/>
    <w:rsid w:val="006C6ACF"/>
    <w:rsid w:val="006C76FA"/>
    <w:rsid w:val="006C7C98"/>
    <w:rsid w:val="006C7FE6"/>
    <w:rsid w:val="006D18D2"/>
    <w:rsid w:val="006D20AC"/>
    <w:rsid w:val="006D24F0"/>
    <w:rsid w:val="006D5DDE"/>
    <w:rsid w:val="006D677D"/>
    <w:rsid w:val="006D7607"/>
    <w:rsid w:val="006D77A2"/>
    <w:rsid w:val="006D7AA8"/>
    <w:rsid w:val="006E20E0"/>
    <w:rsid w:val="006E321E"/>
    <w:rsid w:val="006E44A3"/>
    <w:rsid w:val="006E52A7"/>
    <w:rsid w:val="006E5FF6"/>
    <w:rsid w:val="006E6118"/>
    <w:rsid w:val="006E62C0"/>
    <w:rsid w:val="006E683B"/>
    <w:rsid w:val="006E7676"/>
    <w:rsid w:val="006F0901"/>
    <w:rsid w:val="006F205E"/>
    <w:rsid w:val="006F39F2"/>
    <w:rsid w:val="006F50C1"/>
    <w:rsid w:val="006F5EE6"/>
    <w:rsid w:val="006F6C9E"/>
    <w:rsid w:val="007005CB"/>
    <w:rsid w:val="00701B4F"/>
    <w:rsid w:val="0070212E"/>
    <w:rsid w:val="00702D1C"/>
    <w:rsid w:val="007032A0"/>
    <w:rsid w:val="00705410"/>
    <w:rsid w:val="00705960"/>
    <w:rsid w:val="00706BE5"/>
    <w:rsid w:val="0071097E"/>
    <w:rsid w:val="00711434"/>
    <w:rsid w:val="00712D9B"/>
    <w:rsid w:val="00712DEB"/>
    <w:rsid w:val="0071338B"/>
    <w:rsid w:val="00713A43"/>
    <w:rsid w:val="00714E07"/>
    <w:rsid w:val="007179C9"/>
    <w:rsid w:val="00717C7A"/>
    <w:rsid w:val="00720676"/>
    <w:rsid w:val="00720F4C"/>
    <w:rsid w:val="00727790"/>
    <w:rsid w:val="007333E3"/>
    <w:rsid w:val="0073704C"/>
    <w:rsid w:val="00742BD6"/>
    <w:rsid w:val="007434F8"/>
    <w:rsid w:val="00743C5A"/>
    <w:rsid w:val="0074416D"/>
    <w:rsid w:val="00745D05"/>
    <w:rsid w:val="00746124"/>
    <w:rsid w:val="007466A4"/>
    <w:rsid w:val="00746B99"/>
    <w:rsid w:val="007504B0"/>
    <w:rsid w:val="007519C9"/>
    <w:rsid w:val="00751E54"/>
    <w:rsid w:val="007520A3"/>
    <w:rsid w:val="00752FD0"/>
    <w:rsid w:val="0075576C"/>
    <w:rsid w:val="007613D3"/>
    <w:rsid w:val="00762DA9"/>
    <w:rsid w:val="00765003"/>
    <w:rsid w:val="007650EA"/>
    <w:rsid w:val="007651C6"/>
    <w:rsid w:val="00765345"/>
    <w:rsid w:val="00766718"/>
    <w:rsid w:val="00766BD9"/>
    <w:rsid w:val="0077094D"/>
    <w:rsid w:val="007712A4"/>
    <w:rsid w:val="007720B1"/>
    <w:rsid w:val="00773B81"/>
    <w:rsid w:val="007741FD"/>
    <w:rsid w:val="007742B6"/>
    <w:rsid w:val="007742B7"/>
    <w:rsid w:val="00775274"/>
    <w:rsid w:val="007815CE"/>
    <w:rsid w:val="00781D33"/>
    <w:rsid w:val="00785336"/>
    <w:rsid w:val="007866AE"/>
    <w:rsid w:val="00787817"/>
    <w:rsid w:val="0079234B"/>
    <w:rsid w:val="00792409"/>
    <w:rsid w:val="0079383D"/>
    <w:rsid w:val="007958CD"/>
    <w:rsid w:val="00796CDC"/>
    <w:rsid w:val="007A1D5E"/>
    <w:rsid w:val="007A41F9"/>
    <w:rsid w:val="007A4421"/>
    <w:rsid w:val="007A616A"/>
    <w:rsid w:val="007A7BF7"/>
    <w:rsid w:val="007B08E4"/>
    <w:rsid w:val="007B3DBD"/>
    <w:rsid w:val="007B4126"/>
    <w:rsid w:val="007B4640"/>
    <w:rsid w:val="007B4754"/>
    <w:rsid w:val="007B49C1"/>
    <w:rsid w:val="007B535A"/>
    <w:rsid w:val="007B5796"/>
    <w:rsid w:val="007B6314"/>
    <w:rsid w:val="007B6B7D"/>
    <w:rsid w:val="007C156B"/>
    <w:rsid w:val="007C28B4"/>
    <w:rsid w:val="007C2908"/>
    <w:rsid w:val="007C2D22"/>
    <w:rsid w:val="007C35CB"/>
    <w:rsid w:val="007C455E"/>
    <w:rsid w:val="007D2C4D"/>
    <w:rsid w:val="007D308C"/>
    <w:rsid w:val="007D41F9"/>
    <w:rsid w:val="007D7020"/>
    <w:rsid w:val="007E17A0"/>
    <w:rsid w:val="007E2849"/>
    <w:rsid w:val="007E359B"/>
    <w:rsid w:val="007E63D2"/>
    <w:rsid w:val="007E68DD"/>
    <w:rsid w:val="007F000F"/>
    <w:rsid w:val="007F002C"/>
    <w:rsid w:val="007F1E30"/>
    <w:rsid w:val="007F3151"/>
    <w:rsid w:val="007F424C"/>
    <w:rsid w:val="007F4FF4"/>
    <w:rsid w:val="007F62B6"/>
    <w:rsid w:val="007F68DE"/>
    <w:rsid w:val="007F6D7B"/>
    <w:rsid w:val="008004D3"/>
    <w:rsid w:val="00801EA8"/>
    <w:rsid w:val="00802C88"/>
    <w:rsid w:val="00803F5E"/>
    <w:rsid w:val="00805419"/>
    <w:rsid w:val="00805528"/>
    <w:rsid w:val="00805CF0"/>
    <w:rsid w:val="00807214"/>
    <w:rsid w:val="00810535"/>
    <w:rsid w:val="00811204"/>
    <w:rsid w:val="00811593"/>
    <w:rsid w:val="00812318"/>
    <w:rsid w:val="00813FEE"/>
    <w:rsid w:val="00815E1B"/>
    <w:rsid w:val="00816A1F"/>
    <w:rsid w:val="00821B67"/>
    <w:rsid w:val="00822744"/>
    <w:rsid w:val="008227D0"/>
    <w:rsid w:val="00823CF2"/>
    <w:rsid w:val="008254F9"/>
    <w:rsid w:val="00825D73"/>
    <w:rsid w:val="0082646C"/>
    <w:rsid w:val="0082658B"/>
    <w:rsid w:val="00826DBE"/>
    <w:rsid w:val="00830F99"/>
    <w:rsid w:val="00834233"/>
    <w:rsid w:val="00835AD1"/>
    <w:rsid w:val="00836159"/>
    <w:rsid w:val="00837A7D"/>
    <w:rsid w:val="00837B76"/>
    <w:rsid w:val="00837D61"/>
    <w:rsid w:val="008413B1"/>
    <w:rsid w:val="0084261D"/>
    <w:rsid w:val="00844115"/>
    <w:rsid w:val="00844900"/>
    <w:rsid w:val="008479FA"/>
    <w:rsid w:val="00851707"/>
    <w:rsid w:val="00852198"/>
    <w:rsid w:val="00852CB6"/>
    <w:rsid w:val="00852DDA"/>
    <w:rsid w:val="00853AA4"/>
    <w:rsid w:val="00853DAA"/>
    <w:rsid w:val="00853F8C"/>
    <w:rsid w:val="00856438"/>
    <w:rsid w:val="00862628"/>
    <w:rsid w:val="00872519"/>
    <w:rsid w:val="00872908"/>
    <w:rsid w:val="008736CB"/>
    <w:rsid w:val="00873784"/>
    <w:rsid w:val="00874E07"/>
    <w:rsid w:val="00875554"/>
    <w:rsid w:val="00876D01"/>
    <w:rsid w:val="0088155E"/>
    <w:rsid w:val="0088521A"/>
    <w:rsid w:val="0088549F"/>
    <w:rsid w:val="008870A7"/>
    <w:rsid w:val="00887987"/>
    <w:rsid w:val="00890B9F"/>
    <w:rsid w:val="00890BB6"/>
    <w:rsid w:val="00891FF5"/>
    <w:rsid w:val="00892A83"/>
    <w:rsid w:val="00892FF6"/>
    <w:rsid w:val="008963D9"/>
    <w:rsid w:val="00897740"/>
    <w:rsid w:val="008A03CE"/>
    <w:rsid w:val="008A107D"/>
    <w:rsid w:val="008A353C"/>
    <w:rsid w:val="008A3BF1"/>
    <w:rsid w:val="008A4CE0"/>
    <w:rsid w:val="008A6639"/>
    <w:rsid w:val="008A7037"/>
    <w:rsid w:val="008B0BCA"/>
    <w:rsid w:val="008B14ED"/>
    <w:rsid w:val="008B1A4D"/>
    <w:rsid w:val="008B2B80"/>
    <w:rsid w:val="008B3D1A"/>
    <w:rsid w:val="008B6AD9"/>
    <w:rsid w:val="008B7493"/>
    <w:rsid w:val="008C0880"/>
    <w:rsid w:val="008C1CCF"/>
    <w:rsid w:val="008C1E0F"/>
    <w:rsid w:val="008C280D"/>
    <w:rsid w:val="008C6AA2"/>
    <w:rsid w:val="008C6EFA"/>
    <w:rsid w:val="008C7664"/>
    <w:rsid w:val="008D3595"/>
    <w:rsid w:val="008D58E6"/>
    <w:rsid w:val="008D5AD2"/>
    <w:rsid w:val="008D6E05"/>
    <w:rsid w:val="008E036E"/>
    <w:rsid w:val="008E03A4"/>
    <w:rsid w:val="008E1814"/>
    <w:rsid w:val="008E1CBF"/>
    <w:rsid w:val="008E3688"/>
    <w:rsid w:val="008E44FC"/>
    <w:rsid w:val="008E7110"/>
    <w:rsid w:val="008F0F05"/>
    <w:rsid w:val="008F0F67"/>
    <w:rsid w:val="008F1559"/>
    <w:rsid w:val="008F22AE"/>
    <w:rsid w:val="008F327F"/>
    <w:rsid w:val="008F37F8"/>
    <w:rsid w:val="008F561B"/>
    <w:rsid w:val="008F6916"/>
    <w:rsid w:val="008F7344"/>
    <w:rsid w:val="009003F5"/>
    <w:rsid w:val="00901641"/>
    <w:rsid w:val="00902384"/>
    <w:rsid w:val="0090348A"/>
    <w:rsid w:val="00910AE7"/>
    <w:rsid w:val="00911A68"/>
    <w:rsid w:val="0091326B"/>
    <w:rsid w:val="009147A0"/>
    <w:rsid w:val="00914F97"/>
    <w:rsid w:val="0091681D"/>
    <w:rsid w:val="00920DCB"/>
    <w:rsid w:val="00922DBF"/>
    <w:rsid w:val="00922F9D"/>
    <w:rsid w:val="009237E0"/>
    <w:rsid w:val="00925D09"/>
    <w:rsid w:val="00925E02"/>
    <w:rsid w:val="00927DBF"/>
    <w:rsid w:val="00931E43"/>
    <w:rsid w:val="00932883"/>
    <w:rsid w:val="009333A4"/>
    <w:rsid w:val="0093420D"/>
    <w:rsid w:val="009363A3"/>
    <w:rsid w:val="00940364"/>
    <w:rsid w:val="00940F18"/>
    <w:rsid w:val="00942A5E"/>
    <w:rsid w:val="00942B40"/>
    <w:rsid w:val="0094400E"/>
    <w:rsid w:val="00945934"/>
    <w:rsid w:val="00946603"/>
    <w:rsid w:val="00946D16"/>
    <w:rsid w:val="0094732A"/>
    <w:rsid w:val="00947A05"/>
    <w:rsid w:val="009508FB"/>
    <w:rsid w:val="00950D84"/>
    <w:rsid w:val="00950DBE"/>
    <w:rsid w:val="00951DC0"/>
    <w:rsid w:val="00953CCD"/>
    <w:rsid w:val="00955331"/>
    <w:rsid w:val="00956601"/>
    <w:rsid w:val="00960EEE"/>
    <w:rsid w:val="009614EA"/>
    <w:rsid w:val="00961D26"/>
    <w:rsid w:val="00962820"/>
    <w:rsid w:val="009634C3"/>
    <w:rsid w:val="00963EEB"/>
    <w:rsid w:val="009649D1"/>
    <w:rsid w:val="00964C62"/>
    <w:rsid w:val="009703D5"/>
    <w:rsid w:val="00971436"/>
    <w:rsid w:val="00972082"/>
    <w:rsid w:val="00972A63"/>
    <w:rsid w:val="00972EA9"/>
    <w:rsid w:val="00972F65"/>
    <w:rsid w:val="009735CC"/>
    <w:rsid w:val="00973E1E"/>
    <w:rsid w:val="00974911"/>
    <w:rsid w:val="00974F22"/>
    <w:rsid w:val="009752A8"/>
    <w:rsid w:val="00975AFC"/>
    <w:rsid w:val="00975FC6"/>
    <w:rsid w:val="00976719"/>
    <w:rsid w:val="009813A9"/>
    <w:rsid w:val="00981E92"/>
    <w:rsid w:val="00982001"/>
    <w:rsid w:val="0098422C"/>
    <w:rsid w:val="00984431"/>
    <w:rsid w:val="009859D1"/>
    <w:rsid w:val="00992BB5"/>
    <w:rsid w:val="00994DBB"/>
    <w:rsid w:val="00995E26"/>
    <w:rsid w:val="00996C72"/>
    <w:rsid w:val="00996DFD"/>
    <w:rsid w:val="0099702C"/>
    <w:rsid w:val="009A07AA"/>
    <w:rsid w:val="009A1D82"/>
    <w:rsid w:val="009A4F6E"/>
    <w:rsid w:val="009A6C96"/>
    <w:rsid w:val="009A7E9C"/>
    <w:rsid w:val="009B2524"/>
    <w:rsid w:val="009B46A4"/>
    <w:rsid w:val="009B5C11"/>
    <w:rsid w:val="009B6A80"/>
    <w:rsid w:val="009B739A"/>
    <w:rsid w:val="009C0BE9"/>
    <w:rsid w:val="009C0F93"/>
    <w:rsid w:val="009C13A1"/>
    <w:rsid w:val="009C4080"/>
    <w:rsid w:val="009C6A48"/>
    <w:rsid w:val="009C74B3"/>
    <w:rsid w:val="009D1390"/>
    <w:rsid w:val="009D2458"/>
    <w:rsid w:val="009D49DC"/>
    <w:rsid w:val="009D541A"/>
    <w:rsid w:val="009D696A"/>
    <w:rsid w:val="009D76F5"/>
    <w:rsid w:val="009E1F36"/>
    <w:rsid w:val="009E35F5"/>
    <w:rsid w:val="009E5886"/>
    <w:rsid w:val="009E5D78"/>
    <w:rsid w:val="009E62C6"/>
    <w:rsid w:val="009E6425"/>
    <w:rsid w:val="009E74C3"/>
    <w:rsid w:val="009E787F"/>
    <w:rsid w:val="009E7D6C"/>
    <w:rsid w:val="009F0907"/>
    <w:rsid w:val="009F1F54"/>
    <w:rsid w:val="009F39F6"/>
    <w:rsid w:val="00A004D6"/>
    <w:rsid w:val="00A010D6"/>
    <w:rsid w:val="00A0727D"/>
    <w:rsid w:val="00A074D2"/>
    <w:rsid w:val="00A12672"/>
    <w:rsid w:val="00A145CE"/>
    <w:rsid w:val="00A14B8D"/>
    <w:rsid w:val="00A169E7"/>
    <w:rsid w:val="00A16C0B"/>
    <w:rsid w:val="00A16F45"/>
    <w:rsid w:val="00A17D10"/>
    <w:rsid w:val="00A218F2"/>
    <w:rsid w:val="00A23748"/>
    <w:rsid w:val="00A2410A"/>
    <w:rsid w:val="00A241C4"/>
    <w:rsid w:val="00A24FD3"/>
    <w:rsid w:val="00A2525B"/>
    <w:rsid w:val="00A25A1C"/>
    <w:rsid w:val="00A2667E"/>
    <w:rsid w:val="00A3207D"/>
    <w:rsid w:val="00A35B0D"/>
    <w:rsid w:val="00A42942"/>
    <w:rsid w:val="00A42C96"/>
    <w:rsid w:val="00A448E4"/>
    <w:rsid w:val="00A45397"/>
    <w:rsid w:val="00A45CB1"/>
    <w:rsid w:val="00A463A0"/>
    <w:rsid w:val="00A477D1"/>
    <w:rsid w:val="00A50AAA"/>
    <w:rsid w:val="00A512D9"/>
    <w:rsid w:val="00A5224D"/>
    <w:rsid w:val="00A526F8"/>
    <w:rsid w:val="00A53834"/>
    <w:rsid w:val="00A56EA6"/>
    <w:rsid w:val="00A60798"/>
    <w:rsid w:val="00A60D59"/>
    <w:rsid w:val="00A62EDF"/>
    <w:rsid w:val="00A6356C"/>
    <w:rsid w:val="00A640A3"/>
    <w:rsid w:val="00A6631F"/>
    <w:rsid w:val="00A66510"/>
    <w:rsid w:val="00A6788B"/>
    <w:rsid w:val="00A67B61"/>
    <w:rsid w:val="00A701D5"/>
    <w:rsid w:val="00A70374"/>
    <w:rsid w:val="00A70CA2"/>
    <w:rsid w:val="00A71902"/>
    <w:rsid w:val="00A73222"/>
    <w:rsid w:val="00A75E87"/>
    <w:rsid w:val="00A803CA"/>
    <w:rsid w:val="00A83471"/>
    <w:rsid w:val="00A862DB"/>
    <w:rsid w:val="00A8658E"/>
    <w:rsid w:val="00A86852"/>
    <w:rsid w:val="00A86E98"/>
    <w:rsid w:val="00A91094"/>
    <w:rsid w:val="00A928AA"/>
    <w:rsid w:val="00A9412E"/>
    <w:rsid w:val="00A955DE"/>
    <w:rsid w:val="00A95EA8"/>
    <w:rsid w:val="00A9761A"/>
    <w:rsid w:val="00AA3E47"/>
    <w:rsid w:val="00AA4D93"/>
    <w:rsid w:val="00AA61E3"/>
    <w:rsid w:val="00AA77B5"/>
    <w:rsid w:val="00AA7DA6"/>
    <w:rsid w:val="00AB0723"/>
    <w:rsid w:val="00AB2515"/>
    <w:rsid w:val="00AB3A92"/>
    <w:rsid w:val="00AB406E"/>
    <w:rsid w:val="00AB414A"/>
    <w:rsid w:val="00AB4A32"/>
    <w:rsid w:val="00AB5E12"/>
    <w:rsid w:val="00AB7217"/>
    <w:rsid w:val="00AC0018"/>
    <w:rsid w:val="00AC009A"/>
    <w:rsid w:val="00AC1F9B"/>
    <w:rsid w:val="00AC2C7C"/>
    <w:rsid w:val="00AC37FA"/>
    <w:rsid w:val="00AC465C"/>
    <w:rsid w:val="00AC59F3"/>
    <w:rsid w:val="00AC6FC4"/>
    <w:rsid w:val="00AC78B8"/>
    <w:rsid w:val="00AC7D32"/>
    <w:rsid w:val="00AD36A5"/>
    <w:rsid w:val="00AD3827"/>
    <w:rsid w:val="00AD5C9F"/>
    <w:rsid w:val="00AD70F2"/>
    <w:rsid w:val="00ADAC25"/>
    <w:rsid w:val="00AE1649"/>
    <w:rsid w:val="00AE1DA3"/>
    <w:rsid w:val="00AE21C5"/>
    <w:rsid w:val="00AE329C"/>
    <w:rsid w:val="00AE336F"/>
    <w:rsid w:val="00AE3469"/>
    <w:rsid w:val="00AE5BC7"/>
    <w:rsid w:val="00AE7719"/>
    <w:rsid w:val="00AF1654"/>
    <w:rsid w:val="00AF28A8"/>
    <w:rsid w:val="00AF3082"/>
    <w:rsid w:val="00AF4B5A"/>
    <w:rsid w:val="00AF4CA8"/>
    <w:rsid w:val="00AF640D"/>
    <w:rsid w:val="00AF6D9D"/>
    <w:rsid w:val="00AF75DC"/>
    <w:rsid w:val="00AF7EC3"/>
    <w:rsid w:val="00B02F9B"/>
    <w:rsid w:val="00B03124"/>
    <w:rsid w:val="00B049C0"/>
    <w:rsid w:val="00B04A42"/>
    <w:rsid w:val="00B04E5F"/>
    <w:rsid w:val="00B078A7"/>
    <w:rsid w:val="00B109DE"/>
    <w:rsid w:val="00B11E47"/>
    <w:rsid w:val="00B130A2"/>
    <w:rsid w:val="00B13163"/>
    <w:rsid w:val="00B1450F"/>
    <w:rsid w:val="00B14A76"/>
    <w:rsid w:val="00B159DD"/>
    <w:rsid w:val="00B15D21"/>
    <w:rsid w:val="00B165EE"/>
    <w:rsid w:val="00B16AAB"/>
    <w:rsid w:val="00B20E9B"/>
    <w:rsid w:val="00B211F9"/>
    <w:rsid w:val="00B21B93"/>
    <w:rsid w:val="00B23060"/>
    <w:rsid w:val="00B23F1D"/>
    <w:rsid w:val="00B2546F"/>
    <w:rsid w:val="00B26216"/>
    <w:rsid w:val="00B27404"/>
    <w:rsid w:val="00B30525"/>
    <w:rsid w:val="00B317F2"/>
    <w:rsid w:val="00B33A80"/>
    <w:rsid w:val="00B341BC"/>
    <w:rsid w:val="00B3508E"/>
    <w:rsid w:val="00B35761"/>
    <w:rsid w:val="00B3647E"/>
    <w:rsid w:val="00B40006"/>
    <w:rsid w:val="00B4020A"/>
    <w:rsid w:val="00B4231D"/>
    <w:rsid w:val="00B429EC"/>
    <w:rsid w:val="00B42C0A"/>
    <w:rsid w:val="00B436C0"/>
    <w:rsid w:val="00B438EE"/>
    <w:rsid w:val="00B43DF7"/>
    <w:rsid w:val="00B4428C"/>
    <w:rsid w:val="00B45F0A"/>
    <w:rsid w:val="00B46B28"/>
    <w:rsid w:val="00B5067C"/>
    <w:rsid w:val="00B52BA2"/>
    <w:rsid w:val="00B54DD4"/>
    <w:rsid w:val="00B557F0"/>
    <w:rsid w:val="00B5697E"/>
    <w:rsid w:val="00B605AF"/>
    <w:rsid w:val="00B61A9B"/>
    <w:rsid w:val="00B62AA3"/>
    <w:rsid w:val="00B6398F"/>
    <w:rsid w:val="00B63B7A"/>
    <w:rsid w:val="00B63D49"/>
    <w:rsid w:val="00B652EA"/>
    <w:rsid w:val="00B65361"/>
    <w:rsid w:val="00B679F6"/>
    <w:rsid w:val="00B70A04"/>
    <w:rsid w:val="00B742FF"/>
    <w:rsid w:val="00B75020"/>
    <w:rsid w:val="00B757C9"/>
    <w:rsid w:val="00B75F86"/>
    <w:rsid w:val="00B8250C"/>
    <w:rsid w:val="00B8342A"/>
    <w:rsid w:val="00B90FCF"/>
    <w:rsid w:val="00B91638"/>
    <w:rsid w:val="00B94F15"/>
    <w:rsid w:val="00B960DF"/>
    <w:rsid w:val="00B96636"/>
    <w:rsid w:val="00B9737C"/>
    <w:rsid w:val="00BA1231"/>
    <w:rsid w:val="00BA2382"/>
    <w:rsid w:val="00BA38C3"/>
    <w:rsid w:val="00BA39E5"/>
    <w:rsid w:val="00BA457D"/>
    <w:rsid w:val="00BA45E6"/>
    <w:rsid w:val="00BA4F78"/>
    <w:rsid w:val="00BA520D"/>
    <w:rsid w:val="00BA62B7"/>
    <w:rsid w:val="00BA6FBA"/>
    <w:rsid w:val="00BA78A7"/>
    <w:rsid w:val="00BA7B77"/>
    <w:rsid w:val="00BB0089"/>
    <w:rsid w:val="00BB1E86"/>
    <w:rsid w:val="00BB260B"/>
    <w:rsid w:val="00BB61D8"/>
    <w:rsid w:val="00BB7E47"/>
    <w:rsid w:val="00BC0500"/>
    <w:rsid w:val="00BC0E85"/>
    <w:rsid w:val="00BC155C"/>
    <w:rsid w:val="00BC1616"/>
    <w:rsid w:val="00BC4C17"/>
    <w:rsid w:val="00BD16D3"/>
    <w:rsid w:val="00BD28D6"/>
    <w:rsid w:val="00BD4309"/>
    <w:rsid w:val="00BD4A54"/>
    <w:rsid w:val="00BD50C8"/>
    <w:rsid w:val="00BD5B7B"/>
    <w:rsid w:val="00BD5F76"/>
    <w:rsid w:val="00BD703C"/>
    <w:rsid w:val="00BD7BFD"/>
    <w:rsid w:val="00BE0C51"/>
    <w:rsid w:val="00BE3C9F"/>
    <w:rsid w:val="00BE46E5"/>
    <w:rsid w:val="00BE5D13"/>
    <w:rsid w:val="00BE684F"/>
    <w:rsid w:val="00BE7182"/>
    <w:rsid w:val="00BE7E67"/>
    <w:rsid w:val="00BF1928"/>
    <w:rsid w:val="00BF3E32"/>
    <w:rsid w:val="00BF42A4"/>
    <w:rsid w:val="00BF4CBD"/>
    <w:rsid w:val="00BF6257"/>
    <w:rsid w:val="00BF6DAE"/>
    <w:rsid w:val="00BF6E4D"/>
    <w:rsid w:val="00BF74EE"/>
    <w:rsid w:val="00BF7D14"/>
    <w:rsid w:val="00C01391"/>
    <w:rsid w:val="00C042CD"/>
    <w:rsid w:val="00C06262"/>
    <w:rsid w:val="00C10648"/>
    <w:rsid w:val="00C1159B"/>
    <w:rsid w:val="00C1364D"/>
    <w:rsid w:val="00C14809"/>
    <w:rsid w:val="00C1588D"/>
    <w:rsid w:val="00C22D5F"/>
    <w:rsid w:val="00C25DF7"/>
    <w:rsid w:val="00C27428"/>
    <w:rsid w:val="00C27577"/>
    <w:rsid w:val="00C278D2"/>
    <w:rsid w:val="00C279F0"/>
    <w:rsid w:val="00C321D7"/>
    <w:rsid w:val="00C33DFB"/>
    <w:rsid w:val="00C33F76"/>
    <w:rsid w:val="00C340B6"/>
    <w:rsid w:val="00C363E7"/>
    <w:rsid w:val="00C36B86"/>
    <w:rsid w:val="00C36D5A"/>
    <w:rsid w:val="00C37E71"/>
    <w:rsid w:val="00C37F37"/>
    <w:rsid w:val="00C40AC3"/>
    <w:rsid w:val="00C420B1"/>
    <w:rsid w:val="00C42534"/>
    <w:rsid w:val="00C44CEB"/>
    <w:rsid w:val="00C476D1"/>
    <w:rsid w:val="00C516FB"/>
    <w:rsid w:val="00C51DA5"/>
    <w:rsid w:val="00C54FCC"/>
    <w:rsid w:val="00C54FF3"/>
    <w:rsid w:val="00C556B8"/>
    <w:rsid w:val="00C56B0B"/>
    <w:rsid w:val="00C60691"/>
    <w:rsid w:val="00C62C8F"/>
    <w:rsid w:val="00C63AB6"/>
    <w:rsid w:val="00C65D1C"/>
    <w:rsid w:val="00C66113"/>
    <w:rsid w:val="00C66323"/>
    <w:rsid w:val="00C6672A"/>
    <w:rsid w:val="00C73926"/>
    <w:rsid w:val="00C73E20"/>
    <w:rsid w:val="00C7420E"/>
    <w:rsid w:val="00C74AE4"/>
    <w:rsid w:val="00C74EA4"/>
    <w:rsid w:val="00C8072E"/>
    <w:rsid w:val="00C8095C"/>
    <w:rsid w:val="00C80C9B"/>
    <w:rsid w:val="00C80CE3"/>
    <w:rsid w:val="00C81E4B"/>
    <w:rsid w:val="00C84E54"/>
    <w:rsid w:val="00C850EF"/>
    <w:rsid w:val="00C8519C"/>
    <w:rsid w:val="00C853BC"/>
    <w:rsid w:val="00C87F05"/>
    <w:rsid w:val="00C90456"/>
    <w:rsid w:val="00C9069B"/>
    <w:rsid w:val="00C90B1F"/>
    <w:rsid w:val="00C9212B"/>
    <w:rsid w:val="00C931A6"/>
    <w:rsid w:val="00C944A3"/>
    <w:rsid w:val="00C9534A"/>
    <w:rsid w:val="00C95E20"/>
    <w:rsid w:val="00C96ABA"/>
    <w:rsid w:val="00CA27A2"/>
    <w:rsid w:val="00CA289A"/>
    <w:rsid w:val="00CA4AB9"/>
    <w:rsid w:val="00CA5287"/>
    <w:rsid w:val="00CA7B6F"/>
    <w:rsid w:val="00CB10E0"/>
    <w:rsid w:val="00CB2D3E"/>
    <w:rsid w:val="00CB3B1E"/>
    <w:rsid w:val="00CB5214"/>
    <w:rsid w:val="00CB542B"/>
    <w:rsid w:val="00CB73A0"/>
    <w:rsid w:val="00CB7D0E"/>
    <w:rsid w:val="00CC60A7"/>
    <w:rsid w:val="00CC6A73"/>
    <w:rsid w:val="00CC7931"/>
    <w:rsid w:val="00CD0EF5"/>
    <w:rsid w:val="00CD13AC"/>
    <w:rsid w:val="00CD13D1"/>
    <w:rsid w:val="00CD280D"/>
    <w:rsid w:val="00CD382F"/>
    <w:rsid w:val="00CD5CD9"/>
    <w:rsid w:val="00CD7776"/>
    <w:rsid w:val="00CD7790"/>
    <w:rsid w:val="00CE02D5"/>
    <w:rsid w:val="00CE1325"/>
    <w:rsid w:val="00CE2089"/>
    <w:rsid w:val="00CE2560"/>
    <w:rsid w:val="00CE344F"/>
    <w:rsid w:val="00CE392D"/>
    <w:rsid w:val="00CE4CD1"/>
    <w:rsid w:val="00CE739A"/>
    <w:rsid w:val="00CF29BB"/>
    <w:rsid w:val="00CF33D0"/>
    <w:rsid w:val="00CF3FD6"/>
    <w:rsid w:val="00CF500A"/>
    <w:rsid w:val="00CF527F"/>
    <w:rsid w:val="00CF67DC"/>
    <w:rsid w:val="00CF7694"/>
    <w:rsid w:val="00D00A9E"/>
    <w:rsid w:val="00D01C84"/>
    <w:rsid w:val="00D03A53"/>
    <w:rsid w:val="00D06849"/>
    <w:rsid w:val="00D07315"/>
    <w:rsid w:val="00D07DB4"/>
    <w:rsid w:val="00D12B52"/>
    <w:rsid w:val="00D12EEE"/>
    <w:rsid w:val="00D156E3"/>
    <w:rsid w:val="00D17593"/>
    <w:rsid w:val="00D20C54"/>
    <w:rsid w:val="00D26632"/>
    <w:rsid w:val="00D300A6"/>
    <w:rsid w:val="00D31D1D"/>
    <w:rsid w:val="00D32016"/>
    <w:rsid w:val="00D329D7"/>
    <w:rsid w:val="00D32BF6"/>
    <w:rsid w:val="00D333F2"/>
    <w:rsid w:val="00D34DE1"/>
    <w:rsid w:val="00D3664A"/>
    <w:rsid w:val="00D4013E"/>
    <w:rsid w:val="00D41549"/>
    <w:rsid w:val="00D42967"/>
    <w:rsid w:val="00D43E4C"/>
    <w:rsid w:val="00D44DE9"/>
    <w:rsid w:val="00D45F69"/>
    <w:rsid w:val="00D467BF"/>
    <w:rsid w:val="00D479F7"/>
    <w:rsid w:val="00D50714"/>
    <w:rsid w:val="00D53E6F"/>
    <w:rsid w:val="00D54B22"/>
    <w:rsid w:val="00D54C8F"/>
    <w:rsid w:val="00D55454"/>
    <w:rsid w:val="00D600F7"/>
    <w:rsid w:val="00D6067F"/>
    <w:rsid w:val="00D60C83"/>
    <w:rsid w:val="00D622FF"/>
    <w:rsid w:val="00D650B3"/>
    <w:rsid w:val="00D65D64"/>
    <w:rsid w:val="00D67BE0"/>
    <w:rsid w:val="00D7149D"/>
    <w:rsid w:val="00D71A19"/>
    <w:rsid w:val="00D72806"/>
    <w:rsid w:val="00D72915"/>
    <w:rsid w:val="00D74E36"/>
    <w:rsid w:val="00D7626E"/>
    <w:rsid w:val="00D76D06"/>
    <w:rsid w:val="00D776E8"/>
    <w:rsid w:val="00D813AB"/>
    <w:rsid w:val="00D83CF1"/>
    <w:rsid w:val="00D84E6D"/>
    <w:rsid w:val="00D84FD5"/>
    <w:rsid w:val="00D85843"/>
    <w:rsid w:val="00D87A04"/>
    <w:rsid w:val="00D87F50"/>
    <w:rsid w:val="00D90196"/>
    <w:rsid w:val="00D90817"/>
    <w:rsid w:val="00D90CA7"/>
    <w:rsid w:val="00D90DA1"/>
    <w:rsid w:val="00D9242D"/>
    <w:rsid w:val="00D93650"/>
    <w:rsid w:val="00D96989"/>
    <w:rsid w:val="00DA0224"/>
    <w:rsid w:val="00DA06B6"/>
    <w:rsid w:val="00DA16B0"/>
    <w:rsid w:val="00DA19B3"/>
    <w:rsid w:val="00DA1B98"/>
    <w:rsid w:val="00DA201F"/>
    <w:rsid w:val="00DA49AC"/>
    <w:rsid w:val="00DA4E5A"/>
    <w:rsid w:val="00DA4FD9"/>
    <w:rsid w:val="00DA5A6C"/>
    <w:rsid w:val="00DA7A9B"/>
    <w:rsid w:val="00DB038F"/>
    <w:rsid w:val="00DB055E"/>
    <w:rsid w:val="00DB0A92"/>
    <w:rsid w:val="00DB0C46"/>
    <w:rsid w:val="00DB0D7D"/>
    <w:rsid w:val="00DB1603"/>
    <w:rsid w:val="00DB20CD"/>
    <w:rsid w:val="00DB2403"/>
    <w:rsid w:val="00DB2794"/>
    <w:rsid w:val="00DB3FEA"/>
    <w:rsid w:val="00DB4638"/>
    <w:rsid w:val="00DB5726"/>
    <w:rsid w:val="00DB7A33"/>
    <w:rsid w:val="00DC21C9"/>
    <w:rsid w:val="00DC4A31"/>
    <w:rsid w:val="00DC5F6B"/>
    <w:rsid w:val="00DC7A5E"/>
    <w:rsid w:val="00DC7F3C"/>
    <w:rsid w:val="00DD0580"/>
    <w:rsid w:val="00DD2965"/>
    <w:rsid w:val="00DD31DB"/>
    <w:rsid w:val="00DD3C4D"/>
    <w:rsid w:val="00DD3E31"/>
    <w:rsid w:val="00DD41F8"/>
    <w:rsid w:val="00DD4ABC"/>
    <w:rsid w:val="00DD7E9D"/>
    <w:rsid w:val="00DE04FE"/>
    <w:rsid w:val="00DE18CB"/>
    <w:rsid w:val="00DE2F69"/>
    <w:rsid w:val="00DE3316"/>
    <w:rsid w:val="00DE351D"/>
    <w:rsid w:val="00DE36D6"/>
    <w:rsid w:val="00DE55DB"/>
    <w:rsid w:val="00DE5F99"/>
    <w:rsid w:val="00DE6D70"/>
    <w:rsid w:val="00DE6EDA"/>
    <w:rsid w:val="00DE7C8E"/>
    <w:rsid w:val="00DF07F3"/>
    <w:rsid w:val="00DF1147"/>
    <w:rsid w:val="00DF21AF"/>
    <w:rsid w:val="00DF21C6"/>
    <w:rsid w:val="00DF490F"/>
    <w:rsid w:val="00DF49C8"/>
    <w:rsid w:val="00DF5466"/>
    <w:rsid w:val="00DF5E83"/>
    <w:rsid w:val="00DF7D99"/>
    <w:rsid w:val="00E011E4"/>
    <w:rsid w:val="00E02DB6"/>
    <w:rsid w:val="00E031FF"/>
    <w:rsid w:val="00E03561"/>
    <w:rsid w:val="00E03EE3"/>
    <w:rsid w:val="00E06517"/>
    <w:rsid w:val="00E07C82"/>
    <w:rsid w:val="00E07EB1"/>
    <w:rsid w:val="00E10443"/>
    <w:rsid w:val="00E11117"/>
    <w:rsid w:val="00E1142F"/>
    <w:rsid w:val="00E1212F"/>
    <w:rsid w:val="00E1288A"/>
    <w:rsid w:val="00E151A7"/>
    <w:rsid w:val="00E1555C"/>
    <w:rsid w:val="00E156C7"/>
    <w:rsid w:val="00E15A52"/>
    <w:rsid w:val="00E1610D"/>
    <w:rsid w:val="00E177F3"/>
    <w:rsid w:val="00E20ADA"/>
    <w:rsid w:val="00E20CF2"/>
    <w:rsid w:val="00E24DEA"/>
    <w:rsid w:val="00E26032"/>
    <w:rsid w:val="00E26543"/>
    <w:rsid w:val="00E26823"/>
    <w:rsid w:val="00E313E8"/>
    <w:rsid w:val="00E317FD"/>
    <w:rsid w:val="00E3202C"/>
    <w:rsid w:val="00E32F4A"/>
    <w:rsid w:val="00E3323A"/>
    <w:rsid w:val="00E3584F"/>
    <w:rsid w:val="00E40965"/>
    <w:rsid w:val="00E41DE0"/>
    <w:rsid w:val="00E42047"/>
    <w:rsid w:val="00E4476A"/>
    <w:rsid w:val="00E46B42"/>
    <w:rsid w:val="00E47910"/>
    <w:rsid w:val="00E50A72"/>
    <w:rsid w:val="00E50FF1"/>
    <w:rsid w:val="00E52132"/>
    <w:rsid w:val="00E52AF9"/>
    <w:rsid w:val="00E52E7D"/>
    <w:rsid w:val="00E533EC"/>
    <w:rsid w:val="00E53C03"/>
    <w:rsid w:val="00E55C43"/>
    <w:rsid w:val="00E55F1D"/>
    <w:rsid w:val="00E56A0E"/>
    <w:rsid w:val="00E57263"/>
    <w:rsid w:val="00E62925"/>
    <w:rsid w:val="00E660D7"/>
    <w:rsid w:val="00E72403"/>
    <w:rsid w:val="00E7253F"/>
    <w:rsid w:val="00E72A75"/>
    <w:rsid w:val="00E74B76"/>
    <w:rsid w:val="00E753C3"/>
    <w:rsid w:val="00E75A30"/>
    <w:rsid w:val="00E76B09"/>
    <w:rsid w:val="00E76B20"/>
    <w:rsid w:val="00E77D49"/>
    <w:rsid w:val="00E77F05"/>
    <w:rsid w:val="00E80113"/>
    <w:rsid w:val="00E81809"/>
    <w:rsid w:val="00E82607"/>
    <w:rsid w:val="00E8338A"/>
    <w:rsid w:val="00E83D7F"/>
    <w:rsid w:val="00E9190D"/>
    <w:rsid w:val="00E94E4B"/>
    <w:rsid w:val="00E977AC"/>
    <w:rsid w:val="00EA041C"/>
    <w:rsid w:val="00EA0A12"/>
    <w:rsid w:val="00EA1DB4"/>
    <w:rsid w:val="00EA29D3"/>
    <w:rsid w:val="00EA2B2C"/>
    <w:rsid w:val="00EA3ABE"/>
    <w:rsid w:val="00EA55BC"/>
    <w:rsid w:val="00EA78AC"/>
    <w:rsid w:val="00EB0AED"/>
    <w:rsid w:val="00EB1058"/>
    <w:rsid w:val="00EB10D2"/>
    <w:rsid w:val="00EB221F"/>
    <w:rsid w:val="00EB2BB9"/>
    <w:rsid w:val="00EB356C"/>
    <w:rsid w:val="00EB430F"/>
    <w:rsid w:val="00EB46C1"/>
    <w:rsid w:val="00EB47FA"/>
    <w:rsid w:val="00EB5B13"/>
    <w:rsid w:val="00EB6C49"/>
    <w:rsid w:val="00EC0A08"/>
    <w:rsid w:val="00EC1DE4"/>
    <w:rsid w:val="00EC742C"/>
    <w:rsid w:val="00EC7CF8"/>
    <w:rsid w:val="00ED01AA"/>
    <w:rsid w:val="00ED165C"/>
    <w:rsid w:val="00ED2617"/>
    <w:rsid w:val="00ED3257"/>
    <w:rsid w:val="00ED4A7D"/>
    <w:rsid w:val="00ED5341"/>
    <w:rsid w:val="00ED5784"/>
    <w:rsid w:val="00ED5C4A"/>
    <w:rsid w:val="00ED5F14"/>
    <w:rsid w:val="00ED6354"/>
    <w:rsid w:val="00EE3079"/>
    <w:rsid w:val="00EE363A"/>
    <w:rsid w:val="00EE44DE"/>
    <w:rsid w:val="00EE4647"/>
    <w:rsid w:val="00EE4D67"/>
    <w:rsid w:val="00EE675B"/>
    <w:rsid w:val="00EF1E43"/>
    <w:rsid w:val="00EF2618"/>
    <w:rsid w:val="00EF5796"/>
    <w:rsid w:val="00EF7BB4"/>
    <w:rsid w:val="00F00116"/>
    <w:rsid w:val="00F00373"/>
    <w:rsid w:val="00F003C1"/>
    <w:rsid w:val="00F00EE3"/>
    <w:rsid w:val="00F0329D"/>
    <w:rsid w:val="00F0375A"/>
    <w:rsid w:val="00F046EF"/>
    <w:rsid w:val="00F073F8"/>
    <w:rsid w:val="00F12FAE"/>
    <w:rsid w:val="00F1667E"/>
    <w:rsid w:val="00F17217"/>
    <w:rsid w:val="00F20905"/>
    <w:rsid w:val="00F22E59"/>
    <w:rsid w:val="00F26DE0"/>
    <w:rsid w:val="00F273B0"/>
    <w:rsid w:val="00F30D26"/>
    <w:rsid w:val="00F31001"/>
    <w:rsid w:val="00F3149B"/>
    <w:rsid w:val="00F32F9F"/>
    <w:rsid w:val="00F345C2"/>
    <w:rsid w:val="00F36D13"/>
    <w:rsid w:val="00F36FCA"/>
    <w:rsid w:val="00F372D4"/>
    <w:rsid w:val="00F42291"/>
    <w:rsid w:val="00F432E3"/>
    <w:rsid w:val="00F458CC"/>
    <w:rsid w:val="00F471D6"/>
    <w:rsid w:val="00F5161B"/>
    <w:rsid w:val="00F52995"/>
    <w:rsid w:val="00F52C33"/>
    <w:rsid w:val="00F53055"/>
    <w:rsid w:val="00F539DB"/>
    <w:rsid w:val="00F558DC"/>
    <w:rsid w:val="00F56ACA"/>
    <w:rsid w:val="00F57C91"/>
    <w:rsid w:val="00F60C05"/>
    <w:rsid w:val="00F62D50"/>
    <w:rsid w:val="00F62DEB"/>
    <w:rsid w:val="00F633C3"/>
    <w:rsid w:val="00F63F34"/>
    <w:rsid w:val="00F65EBE"/>
    <w:rsid w:val="00F67302"/>
    <w:rsid w:val="00F70451"/>
    <w:rsid w:val="00F70646"/>
    <w:rsid w:val="00F71BDF"/>
    <w:rsid w:val="00F734F5"/>
    <w:rsid w:val="00F73B6D"/>
    <w:rsid w:val="00F76687"/>
    <w:rsid w:val="00F80BB7"/>
    <w:rsid w:val="00F83903"/>
    <w:rsid w:val="00F86182"/>
    <w:rsid w:val="00F86C3A"/>
    <w:rsid w:val="00F86E89"/>
    <w:rsid w:val="00F87779"/>
    <w:rsid w:val="00F90A55"/>
    <w:rsid w:val="00F925A6"/>
    <w:rsid w:val="00F94013"/>
    <w:rsid w:val="00F94046"/>
    <w:rsid w:val="00F96073"/>
    <w:rsid w:val="00FA023F"/>
    <w:rsid w:val="00FA7933"/>
    <w:rsid w:val="00FB0D02"/>
    <w:rsid w:val="00FB33F4"/>
    <w:rsid w:val="00FB4D05"/>
    <w:rsid w:val="00FB5526"/>
    <w:rsid w:val="00FB6B5C"/>
    <w:rsid w:val="00FB70D8"/>
    <w:rsid w:val="00FC054E"/>
    <w:rsid w:val="00FC070F"/>
    <w:rsid w:val="00FC1F8E"/>
    <w:rsid w:val="00FC3232"/>
    <w:rsid w:val="00FC4773"/>
    <w:rsid w:val="00FC77D1"/>
    <w:rsid w:val="00FD049B"/>
    <w:rsid w:val="00FD4AD9"/>
    <w:rsid w:val="00FD6524"/>
    <w:rsid w:val="00FD7604"/>
    <w:rsid w:val="00FE0679"/>
    <w:rsid w:val="00FE0CA4"/>
    <w:rsid w:val="00FE133D"/>
    <w:rsid w:val="00FE3C66"/>
    <w:rsid w:val="00FE410A"/>
    <w:rsid w:val="00FE4D2D"/>
    <w:rsid w:val="00FE55CC"/>
    <w:rsid w:val="00FE693D"/>
    <w:rsid w:val="00FE7810"/>
    <w:rsid w:val="00FE7C32"/>
    <w:rsid w:val="00FF0916"/>
    <w:rsid w:val="00FF20CC"/>
    <w:rsid w:val="00FF22BA"/>
    <w:rsid w:val="00FF290B"/>
    <w:rsid w:val="00FF51EF"/>
    <w:rsid w:val="00FF7ECC"/>
    <w:rsid w:val="01402315"/>
    <w:rsid w:val="0144E975"/>
    <w:rsid w:val="02446B9B"/>
    <w:rsid w:val="0293DDC4"/>
    <w:rsid w:val="02EE35E1"/>
    <w:rsid w:val="032FC060"/>
    <w:rsid w:val="036E35AE"/>
    <w:rsid w:val="03C12651"/>
    <w:rsid w:val="0402A80F"/>
    <w:rsid w:val="04554166"/>
    <w:rsid w:val="047C358B"/>
    <w:rsid w:val="047D3D13"/>
    <w:rsid w:val="0496D00C"/>
    <w:rsid w:val="04A66280"/>
    <w:rsid w:val="054735C8"/>
    <w:rsid w:val="05525ED7"/>
    <w:rsid w:val="05571F17"/>
    <w:rsid w:val="05A70691"/>
    <w:rsid w:val="05BA2632"/>
    <w:rsid w:val="05CCA8D0"/>
    <w:rsid w:val="05D97B97"/>
    <w:rsid w:val="05FAA479"/>
    <w:rsid w:val="05FCA714"/>
    <w:rsid w:val="05FD64E4"/>
    <w:rsid w:val="063D71EE"/>
    <w:rsid w:val="06477270"/>
    <w:rsid w:val="068851C2"/>
    <w:rsid w:val="0688C046"/>
    <w:rsid w:val="06BACC90"/>
    <w:rsid w:val="06BC89E2"/>
    <w:rsid w:val="0727C761"/>
    <w:rsid w:val="0751041A"/>
    <w:rsid w:val="0769D231"/>
    <w:rsid w:val="07AC06A7"/>
    <w:rsid w:val="07CB5C60"/>
    <w:rsid w:val="07CBAD6A"/>
    <w:rsid w:val="07D61921"/>
    <w:rsid w:val="080264BB"/>
    <w:rsid w:val="085FCBEA"/>
    <w:rsid w:val="08ABC657"/>
    <w:rsid w:val="091FB662"/>
    <w:rsid w:val="0939529C"/>
    <w:rsid w:val="095941FF"/>
    <w:rsid w:val="09676207"/>
    <w:rsid w:val="09989A63"/>
    <w:rsid w:val="09F9F296"/>
    <w:rsid w:val="0A3B84C3"/>
    <w:rsid w:val="0A48189E"/>
    <w:rsid w:val="0AD7AC5E"/>
    <w:rsid w:val="0B35AA58"/>
    <w:rsid w:val="0BC91D1B"/>
    <w:rsid w:val="0C7EFF63"/>
    <w:rsid w:val="0CDCD8DB"/>
    <w:rsid w:val="0D4114CA"/>
    <w:rsid w:val="0D6A041E"/>
    <w:rsid w:val="0D978CF1"/>
    <w:rsid w:val="0DCB3564"/>
    <w:rsid w:val="0E127262"/>
    <w:rsid w:val="0E49CB1E"/>
    <w:rsid w:val="0E82DA38"/>
    <w:rsid w:val="0E8A20D5"/>
    <w:rsid w:val="0EFEEB62"/>
    <w:rsid w:val="0F015AAC"/>
    <w:rsid w:val="0F49F5A6"/>
    <w:rsid w:val="0F7DE7C4"/>
    <w:rsid w:val="0F9E514E"/>
    <w:rsid w:val="106AEA97"/>
    <w:rsid w:val="10F0E51B"/>
    <w:rsid w:val="112109B9"/>
    <w:rsid w:val="1131FEE9"/>
    <w:rsid w:val="11852891"/>
    <w:rsid w:val="119E4511"/>
    <w:rsid w:val="123052EA"/>
    <w:rsid w:val="1230E66C"/>
    <w:rsid w:val="124000D3"/>
    <w:rsid w:val="12637662"/>
    <w:rsid w:val="127BF237"/>
    <w:rsid w:val="12F3C209"/>
    <w:rsid w:val="12F72C1B"/>
    <w:rsid w:val="13830D04"/>
    <w:rsid w:val="13859F8A"/>
    <w:rsid w:val="13C61851"/>
    <w:rsid w:val="13D953DB"/>
    <w:rsid w:val="13FBBB4B"/>
    <w:rsid w:val="14123EE1"/>
    <w:rsid w:val="14A5BD51"/>
    <w:rsid w:val="14D11035"/>
    <w:rsid w:val="14F96824"/>
    <w:rsid w:val="14FC3B96"/>
    <w:rsid w:val="1517F0E7"/>
    <w:rsid w:val="151B7B81"/>
    <w:rsid w:val="152C1AE4"/>
    <w:rsid w:val="15476738"/>
    <w:rsid w:val="15507553"/>
    <w:rsid w:val="1586DAB5"/>
    <w:rsid w:val="15A0D200"/>
    <w:rsid w:val="1606205F"/>
    <w:rsid w:val="164EF8F9"/>
    <w:rsid w:val="1659101B"/>
    <w:rsid w:val="166D8D47"/>
    <w:rsid w:val="1699A7F8"/>
    <w:rsid w:val="16A42980"/>
    <w:rsid w:val="16F67F28"/>
    <w:rsid w:val="1711ECBF"/>
    <w:rsid w:val="173C7985"/>
    <w:rsid w:val="17509619"/>
    <w:rsid w:val="177D4D80"/>
    <w:rsid w:val="1785822E"/>
    <w:rsid w:val="17E783BE"/>
    <w:rsid w:val="1843D946"/>
    <w:rsid w:val="18A1AF78"/>
    <w:rsid w:val="18A4C779"/>
    <w:rsid w:val="18C86B86"/>
    <w:rsid w:val="1A3A8660"/>
    <w:rsid w:val="1A61BB97"/>
    <w:rsid w:val="1A727AB0"/>
    <w:rsid w:val="1A927D26"/>
    <w:rsid w:val="1B1EC547"/>
    <w:rsid w:val="1B31AC6A"/>
    <w:rsid w:val="1BDF3925"/>
    <w:rsid w:val="1C615694"/>
    <w:rsid w:val="1C8DFDD2"/>
    <w:rsid w:val="1CCDAEC4"/>
    <w:rsid w:val="1CFD7DD6"/>
    <w:rsid w:val="1D28F533"/>
    <w:rsid w:val="1D56081B"/>
    <w:rsid w:val="1D61D03A"/>
    <w:rsid w:val="1DCA7252"/>
    <w:rsid w:val="1E039E74"/>
    <w:rsid w:val="1E5E9B97"/>
    <w:rsid w:val="1E86B6C0"/>
    <w:rsid w:val="1EE39DE2"/>
    <w:rsid w:val="1F41BB31"/>
    <w:rsid w:val="1F54576B"/>
    <w:rsid w:val="1F6C3C65"/>
    <w:rsid w:val="1FBAD418"/>
    <w:rsid w:val="200866BE"/>
    <w:rsid w:val="208AF8E9"/>
    <w:rsid w:val="209BAC02"/>
    <w:rsid w:val="2147E975"/>
    <w:rsid w:val="21806666"/>
    <w:rsid w:val="21C5A248"/>
    <w:rsid w:val="21F10222"/>
    <w:rsid w:val="21F4D6AC"/>
    <w:rsid w:val="2205D44C"/>
    <w:rsid w:val="220C8291"/>
    <w:rsid w:val="2220935A"/>
    <w:rsid w:val="229B4D15"/>
    <w:rsid w:val="22EFF3BA"/>
    <w:rsid w:val="233BAE54"/>
    <w:rsid w:val="23924C11"/>
    <w:rsid w:val="240371FD"/>
    <w:rsid w:val="242DF7C0"/>
    <w:rsid w:val="245417D1"/>
    <w:rsid w:val="24F9FC2D"/>
    <w:rsid w:val="25458A89"/>
    <w:rsid w:val="254CED8C"/>
    <w:rsid w:val="255A92A8"/>
    <w:rsid w:val="255D628B"/>
    <w:rsid w:val="259CD8D1"/>
    <w:rsid w:val="25B4A74B"/>
    <w:rsid w:val="25DA57F6"/>
    <w:rsid w:val="26223911"/>
    <w:rsid w:val="26799CFD"/>
    <w:rsid w:val="26ADCFC8"/>
    <w:rsid w:val="26DD09C0"/>
    <w:rsid w:val="27423E2D"/>
    <w:rsid w:val="274AC55F"/>
    <w:rsid w:val="283BBDBE"/>
    <w:rsid w:val="2848744F"/>
    <w:rsid w:val="284E6AF8"/>
    <w:rsid w:val="2876F24B"/>
    <w:rsid w:val="28B1EABB"/>
    <w:rsid w:val="28DB31A7"/>
    <w:rsid w:val="294524AD"/>
    <w:rsid w:val="2958B52F"/>
    <w:rsid w:val="29726C00"/>
    <w:rsid w:val="298455BA"/>
    <w:rsid w:val="2A3050ED"/>
    <w:rsid w:val="2A902458"/>
    <w:rsid w:val="2ACCFBC6"/>
    <w:rsid w:val="2B0C7172"/>
    <w:rsid w:val="2B2B8C15"/>
    <w:rsid w:val="2B2C27F4"/>
    <w:rsid w:val="2B3CAD1A"/>
    <w:rsid w:val="2B4DB7A6"/>
    <w:rsid w:val="2B96B3E5"/>
    <w:rsid w:val="2B98D027"/>
    <w:rsid w:val="2B9E25BE"/>
    <w:rsid w:val="2BBF2435"/>
    <w:rsid w:val="2BD4A459"/>
    <w:rsid w:val="2BDC2B7F"/>
    <w:rsid w:val="2BF25A63"/>
    <w:rsid w:val="2C0AF8EE"/>
    <w:rsid w:val="2CA19FB5"/>
    <w:rsid w:val="2CBCB855"/>
    <w:rsid w:val="2D1B127F"/>
    <w:rsid w:val="2D4343F4"/>
    <w:rsid w:val="2E12726C"/>
    <w:rsid w:val="2E2AE06A"/>
    <w:rsid w:val="2E3F6F35"/>
    <w:rsid w:val="2E62C180"/>
    <w:rsid w:val="2E7AF66C"/>
    <w:rsid w:val="2EA06666"/>
    <w:rsid w:val="2EB51DFA"/>
    <w:rsid w:val="2EBE3739"/>
    <w:rsid w:val="2EBE9A66"/>
    <w:rsid w:val="2F199AD1"/>
    <w:rsid w:val="2F323342"/>
    <w:rsid w:val="2F395780"/>
    <w:rsid w:val="2FC6AD07"/>
    <w:rsid w:val="2FF1F388"/>
    <w:rsid w:val="3032D751"/>
    <w:rsid w:val="304EB19A"/>
    <w:rsid w:val="308784AF"/>
    <w:rsid w:val="30B48D65"/>
    <w:rsid w:val="30E28665"/>
    <w:rsid w:val="30EBBBDC"/>
    <w:rsid w:val="31716036"/>
    <w:rsid w:val="317B9E36"/>
    <w:rsid w:val="318436E9"/>
    <w:rsid w:val="31A00DF8"/>
    <w:rsid w:val="3202698B"/>
    <w:rsid w:val="322AFD0B"/>
    <w:rsid w:val="322D11AF"/>
    <w:rsid w:val="3252FFD4"/>
    <w:rsid w:val="3280B3DA"/>
    <w:rsid w:val="329A681F"/>
    <w:rsid w:val="32D78CA8"/>
    <w:rsid w:val="32ECEA99"/>
    <w:rsid w:val="330BF993"/>
    <w:rsid w:val="335576F3"/>
    <w:rsid w:val="33E3E62A"/>
    <w:rsid w:val="33F5D66C"/>
    <w:rsid w:val="346CCA5B"/>
    <w:rsid w:val="346DA890"/>
    <w:rsid w:val="34732EDC"/>
    <w:rsid w:val="34737438"/>
    <w:rsid w:val="34A06630"/>
    <w:rsid w:val="34B0A509"/>
    <w:rsid w:val="353A63DC"/>
    <w:rsid w:val="3568E498"/>
    <w:rsid w:val="357A644C"/>
    <w:rsid w:val="35FF8904"/>
    <w:rsid w:val="36534D09"/>
    <w:rsid w:val="36DC204E"/>
    <w:rsid w:val="36E821DE"/>
    <w:rsid w:val="36FAB3F6"/>
    <w:rsid w:val="37074FE2"/>
    <w:rsid w:val="3723B1CD"/>
    <w:rsid w:val="3763438A"/>
    <w:rsid w:val="379F05D3"/>
    <w:rsid w:val="37B90C54"/>
    <w:rsid w:val="37D9DF75"/>
    <w:rsid w:val="37DB282B"/>
    <w:rsid w:val="3840C7AC"/>
    <w:rsid w:val="385B1F37"/>
    <w:rsid w:val="38767516"/>
    <w:rsid w:val="388FCE12"/>
    <w:rsid w:val="38B2D4DA"/>
    <w:rsid w:val="38D8AA8D"/>
    <w:rsid w:val="38FD979C"/>
    <w:rsid w:val="39458B5F"/>
    <w:rsid w:val="3965137E"/>
    <w:rsid w:val="396C8190"/>
    <w:rsid w:val="39AD4E16"/>
    <w:rsid w:val="39CF4518"/>
    <w:rsid w:val="39F14D15"/>
    <w:rsid w:val="39FB08B5"/>
    <w:rsid w:val="3A06D832"/>
    <w:rsid w:val="3ADF6D9A"/>
    <w:rsid w:val="3B12E84C"/>
    <w:rsid w:val="3B3ABF95"/>
    <w:rsid w:val="3B4736B8"/>
    <w:rsid w:val="3B691372"/>
    <w:rsid w:val="3B919668"/>
    <w:rsid w:val="3B9DE2D2"/>
    <w:rsid w:val="3BA740ED"/>
    <w:rsid w:val="3BC8630B"/>
    <w:rsid w:val="3C902BC6"/>
    <w:rsid w:val="3CA4E8E1"/>
    <w:rsid w:val="3CA61C9B"/>
    <w:rsid w:val="3CD898E8"/>
    <w:rsid w:val="3CFDD9BD"/>
    <w:rsid w:val="3D1C9E3A"/>
    <w:rsid w:val="3D5243FE"/>
    <w:rsid w:val="3D544B06"/>
    <w:rsid w:val="3D563216"/>
    <w:rsid w:val="3D88A057"/>
    <w:rsid w:val="3E3DEF15"/>
    <w:rsid w:val="3E77F291"/>
    <w:rsid w:val="3E7AE4F4"/>
    <w:rsid w:val="3E9925DB"/>
    <w:rsid w:val="3F7F8E7D"/>
    <w:rsid w:val="40879381"/>
    <w:rsid w:val="40CEE54B"/>
    <w:rsid w:val="40ED9DD2"/>
    <w:rsid w:val="41074F95"/>
    <w:rsid w:val="41A49828"/>
    <w:rsid w:val="41FED0D3"/>
    <w:rsid w:val="422303C2"/>
    <w:rsid w:val="422406A6"/>
    <w:rsid w:val="4242D470"/>
    <w:rsid w:val="42571782"/>
    <w:rsid w:val="42898DAD"/>
    <w:rsid w:val="42A9D621"/>
    <w:rsid w:val="42D6BC05"/>
    <w:rsid w:val="42D9377F"/>
    <w:rsid w:val="42FC0A2C"/>
    <w:rsid w:val="43334CD6"/>
    <w:rsid w:val="4366B546"/>
    <w:rsid w:val="43991689"/>
    <w:rsid w:val="43AE1A55"/>
    <w:rsid w:val="43B5FE96"/>
    <w:rsid w:val="43CEDFED"/>
    <w:rsid w:val="43DC2DC4"/>
    <w:rsid w:val="4418B5C7"/>
    <w:rsid w:val="446F1670"/>
    <w:rsid w:val="448301FC"/>
    <w:rsid w:val="449F8AE5"/>
    <w:rsid w:val="44C8E950"/>
    <w:rsid w:val="44CF3DB8"/>
    <w:rsid w:val="44D4EC7E"/>
    <w:rsid w:val="450426F2"/>
    <w:rsid w:val="452E02E1"/>
    <w:rsid w:val="45341392"/>
    <w:rsid w:val="455FC531"/>
    <w:rsid w:val="458014A6"/>
    <w:rsid w:val="45B96F51"/>
    <w:rsid w:val="45CB2F76"/>
    <w:rsid w:val="45F86849"/>
    <w:rsid w:val="45FF1CFD"/>
    <w:rsid w:val="4609DBA8"/>
    <w:rsid w:val="461076A8"/>
    <w:rsid w:val="4632FB46"/>
    <w:rsid w:val="4639F300"/>
    <w:rsid w:val="46758F4F"/>
    <w:rsid w:val="47068AD2"/>
    <w:rsid w:val="476B96EC"/>
    <w:rsid w:val="47A407C7"/>
    <w:rsid w:val="47BC624E"/>
    <w:rsid w:val="481B19D0"/>
    <w:rsid w:val="4880B4FD"/>
    <w:rsid w:val="48870DD1"/>
    <w:rsid w:val="488C6AE9"/>
    <w:rsid w:val="489B0CDB"/>
    <w:rsid w:val="48F71ACD"/>
    <w:rsid w:val="48FD99BB"/>
    <w:rsid w:val="4912E940"/>
    <w:rsid w:val="4946F257"/>
    <w:rsid w:val="4947BFAE"/>
    <w:rsid w:val="4A0D48BC"/>
    <w:rsid w:val="4A170829"/>
    <w:rsid w:val="4A5BB6B4"/>
    <w:rsid w:val="4AA6E5BA"/>
    <w:rsid w:val="4AB4BEA6"/>
    <w:rsid w:val="4AC9013E"/>
    <w:rsid w:val="4B025581"/>
    <w:rsid w:val="4B2419B7"/>
    <w:rsid w:val="4B30CA30"/>
    <w:rsid w:val="4B55D41D"/>
    <w:rsid w:val="4BA131E5"/>
    <w:rsid w:val="4BABC257"/>
    <w:rsid w:val="4BDF2386"/>
    <w:rsid w:val="4C0D0C3D"/>
    <w:rsid w:val="4C9FE7E3"/>
    <w:rsid w:val="4CF40E84"/>
    <w:rsid w:val="4D9318AD"/>
    <w:rsid w:val="4D9D0665"/>
    <w:rsid w:val="4DB088D6"/>
    <w:rsid w:val="4DE64B2F"/>
    <w:rsid w:val="4E31BD4D"/>
    <w:rsid w:val="4E74BEFF"/>
    <w:rsid w:val="4E7CAFEA"/>
    <w:rsid w:val="4EBD1F4F"/>
    <w:rsid w:val="4EC57CE9"/>
    <w:rsid w:val="4EDEFA89"/>
    <w:rsid w:val="4EFD3740"/>
    <w:rsid w:val="4F462E06"/>
    <w:rsid w:val="4FBA67B1"/>
    <w:rsid w:val="4FCEE340"/>
    <w:rsid w:val="5090A08C"/>
    <w:rsid w:val="509DD71E"/>
    <w:rsid w:val="50E0A89D"/>
    <w:rsid w:val="512414C6"/>
    <w:rsid w:val="5183C245"/>
    <w:rsid w:val="51EA8131"/>
    <w:rsid w:val="51FEA289"/>
    <w:rsid w:val="52617E08"/>
    <w:rsid w:val="52671D0E"/>
    <w:rsid w:val="5295E00A"/>
    <w:rsid w:val="52AC3393"/>
    <w:rsid w:val="52C3B2BC"/>
    <w:rsid w:val="52F806AE"/>
    <w:rsid w:val="537322E9"/>
    <w:rsid w:val="5380E5F2"/>
    <w:rsid w:val="5413683F"/>
    <w:rsid w:val="541443E2"/>
    <w:rsid w:val="549EA675"/>
    <w:rsid w:val="54B83B61"/>
    <w:rsid w:val="54F8AB17"/>
    <w:rsid w:val="55364D25"/>
    <w:rsid w:val="55540BDD"/>
    <w:rsid w:val="55ED32C2"/>
    <w:rsid w:val="55EF0CD4"/>
    <w:rsid w:val="5616BFF6"/>
    <w:rsid w:val="56312098"/>
    <w:rsid w:val="56AFA17A"/>
    <w:rsid w:val="57301004"/>
    <w:rsid w:val="5778421F"/>
    <w:rsid w:val="584405DB"/>
    <w:rsid w:val="5876BC84"/>
    <w:rsid w:val="589B77E9"/>
    <w:rsid w:val="589F890F"/>
    <w:rsid w:val="58C3483A"/>
    <w:rsid w:val="5903465C"/>
    <w:rsid w:val="594E0A95"/>
    <w:rsid w:val="5960AB8C"/>
    <w:rsid w:val="596DC331"/>
    <w:rsid w:val="59708D04"/>
    <w:rsid w:val="5993EB4F"/>
    <w:rsid w:val="5A9E23EA"/>
    <w:rsid w:val="5AAB9DEE"/>
    <w:rsid w:val="5AAD18D9"/>
    <w:rsid w:val="5ABB6474"/>
    <w:rsid w:val="5B12CF4D"/>
    <w:rsid w:val="5B303FE8"/>
    <w:rsid w:val="5B3B240A"/>
    <w:rsid w:val="5BC69CDF"/>
    <w:rsid w:val="5BF1A8A4"/>
    <w:rsid w:val="5C5B2E17"/>
    <w:rsid w:val="5C5D863B"/>
    <w:rsid w:val="5C659B23"/>
    <w:rsid w:val="5C89FABA"/>
    <w:rsid w:val="5CC432A3"/>
    <w:rsid w:val="5CF24D4D"/>
    <w:rsid w:val="5CFF212F"/>
    <w:rsid w:val="5D0959AC"/>
    <w:rsid w:val="5D097772"/>
    <w:rsid w:val="5D408A6F"/>
    <w:rsid w:val="5D5840F4"/>
    <w:rsid w:val="5D5BE66C"/>
    <w:rsid w:val="5D5C91CB"/>
    <w:rsid w:val="5D5E52B2"/>
    <w:rsid w:val="5DBDB9F1"/>
    <w:rsid w:val="5E060B9B"/>
    <w:rsid w:val="5E27859F"/>
    <w:rsid w:val="5E2B642D"/>
    <w:rsid w:val="5E317BEA"/>
    <w:rsid w:val="5E4F7CE4"/>
    <w:rsid w:val="5E5F7CFA"/>
    <w:rsid w:val="5E7E9E4B"/>
    <w:rsid w:val="5E8FBA2F"/>
    <w:rsid w:val="5EC50E93"/>
    <w:rsid w:val="5ED19CCB"/>
    <w:rsid w:val="5ED4D445"/>
    <w:rsid w:val="5EE9A01B"/>
    <w:rsid w:val="5EFD06D0"/>
    <w:rsid w:val="5FE12952"/>
    <w:rsid w:val="5FF6019C"/>
    <w:rsid w:val="6006F660"/>
    <w:rsid w:val="601748D5"/>
    <w:rsid w:val="604A146E"/>
    <w:rsid w:val="604C25CB"/>
    <w:rsid w:val="60C01EEC"/>
    <w:rsid w:val="6109DDAF"/>
    <w:rsid w:val="610D18CB"/>
    <w:rsid w:val="6114CE20"/>
    <w:rsid w:val="619ED302"/>
    <w:rsid w:val="61A7A793"/>
    <w:rsid w:val="61AF02E2"/>
    <w:rsid w:val="61E45E5F"/>
    <w:rsid w:val="625A38C6"/>
    <w:rsid w:val="62C6ED6D"/>
    <w:rsid w:val="62DBFCBA"/>
    <w:rsid w:val="62DE4C5B"/>
    <w:rsid w:val="63700D01"/>
    <w:rsid w:val="63C95080"/>
    <w:rsid w:val="63CD7466"/>
    <w:rsid w:val="643FA4A3"/>
    <w:rsid w:val="64939F1F"/>
    <w:rsid w:val="649D1C94"/>
    <w:rsid w:val="649D4E50"/>
    <w:rsid w:val="64C38465"/>
    <w:rsid w:val="65383B73"/>
    <w:rsid w:val="654E8128"/>
    <w:rsid w:val="654F70B3"/>
    <w:rsid w:val="65B3999C"/>
    <w:rsid w:val="6604C29D"/>
    <w:rsid w:val="661847F9"/>
    <w:rsid w:val="665FF9A7"/>
    <w:rsid w:val="668ACA71"/>
    <w:rsid w:val="66F00BC1"/>
    <w:rsid w:val="67060EBD"/>
    <w:rsid w:val="6738CCA5"/>
    <w:rsid w:val="676EB995"/>
    <w:rsid w:val="67841ADF"/>
    <w:rsid w:val="67C54D14"/>
    <w:rsid w:val="67E1DF99"/>
    <w:rsid w:val="68612B51"/>
    <w:rsid w:val="687D2906"/>
    <w:rsid w:val="688D82D6"/>
    <w:rsid w:val="68B1E235"/>
    <w:rsid w:val="68D3FC72"/>
    <w:rsid w:val="68E8F5C4"/>
    <w:rsid w:val="6920436F"/>
    <w:rsid w:val="699086A5"/>
    <w:rsid w:val="69C5FE67"/>
    <w:rsid w:val="6A38E15B"/>
    <w:rsid w:val="6A7E1968"/>
    <w:rsid w:val="6AA711C6"/>
    <w:rsid w:val="6AFCFC6A"/>
    <w:rsid w:val="6B1FFAD4"/>
    <w:rsid w:val="6BBE3446"/>
    <w:rsid w:val="6BF0058C"/>
    <w:rsid w:val="6BF9A278"/>
    <w:rsid w:val="6C1F7039"/>
    <w:rsid w:val="6C482A03"/>
    <w:rsid w:val="6C5E0E56"/>
    <w:rsid w:val="6C8B9CEA"/>
    <w:rsid w:val="6C93F916"/>
    <w:rsid w:val="6CAB5C47"/>
    <w:rsid w:val="6CE17E4C"/>
    <w:rsid w:val="6D1D961A"/>
    <w:rsid w:val="6D506B2F"/>
    <w:rsid w:val="6D54D205"/>
    <w:rsid w:val="6D913438"/>
    <w:rsid w:val="6DA1DD81"/>
    <w:rsid w:val="6DB82087"/>
    <w:rsid w:val="6DBADA8E"/>
    <w:rsid w:val="6DC25684"/>
    <w:rsid w:val="6E588D64"/>
    <w:rsid w:val="6E68A8AB"/>
    <w:rsid w:val="6ECDEDB8"/>
    <w:rsid w:val="6ED5759D"/>
    <w:rsid w:val="6EFD8682"/>
    <w:rsid w:val="6F2C06A5"/>
    <w:rsid w:val="6F6A3985"/>
    <w:rsid w:val="6F8B7AFA"/>
    <w:rsid w:val="6F943C6A"/>
    <w:rsid w:val="6FE31DD3"/>
    <w:rsid w:val="708E2368"/>
    <w:rsid w:val="70C64690"/>
    <w:rsid w:val="70E817EE"/>
    <w:rsid w:val="70ED91BD"/>
    <w:rsid w:val="71096C4F"/>
    <w:rsid w:val="711D02DA"/>
    <w:rsid w:val="71A49406"/>
    <w:rsid w:val="71AAF71E"/>
    <w:rsid w:val="72193B7C"/>
    <w:rsid w:val="722D2484"/>
    <w:rsid w:val="72518C31"/>
    <w:rsid w:val="7287343F"/>
    <w:rsid w:val="72923341"/>
    <w:rsid w:val="72957271"/>
    <w:rsid w:val="731260D5"/>
    <w:rsid w:val="7354921B"/>
    <w:rsid w:val="736FA2E3"/>
    <w:rsid w:val="73A9BFFE"/>
    <w:rsid w:val="73C154C9"/>
    <w:rsid w:val="74A98B96"/>
    <w:rsid w:val="752E7F50"/>
    <w:rsid w:val="755E09E7"/>
    <w:rsid w:val="75BE4A39"/>
    <w:rsid w:val="75E0FBA9"/>
    <w:rsid w:val="76154A8C"/>
    <w:rsid w:val="76248665"/>
    <w:rsid w:val="7632A1BE"/>
    <w:rsid w:val="764A38AF"/>
    <w:rsid w:val="764CEC66"/>
    <w:rsid w:val="76822B0D"/>
    <w:rsid w:val="7682D1EB"/>
    <w:rsid w:val="76859559"/>
    <w:rsid w:val="7696ED86"/>
    <w:rsid w:val="76985308"/>
    <w:rsid w:val="76E226C5"/>
    <w:rsid w:val="7702E788"/>
    <w:rsid w:val="7798671C"/>
    <w:rsid w:val="77A02697"/>
    <w:rsid w:val="77A32D9E"/>
    <w:rsid w:val="781BAAD2"/>
    <w:rsid w:val="787CF6CC"/>
    <w:rsid w:val="78872161"/>
    <w:rsid w:val="78971C0B"/>
    <w:rsid w:val="78B56AC5"/>
    <w:rsid w:val="78C6215A"/>
    <w:rsid w:val="78DFBF61"/>
    <w:rsid w:val="794750F4"/>
    <w:rsid w:val="7964071B"/>
    <w:rsid w:val="7A112AC0"/>
    <w:rsid w:val="7A24FF1C"/>
    <w:rsid w:val="7A62FCE5"/>
    <w:rsid w:val="7AB3EA05"/>
    <w:rsid w:val="7AC8C702"/>
    <w:rsid w:val="7AEBEF8F"/>
    <w:rsid w:val="7C23347F"/>
    <w:rsid w:val="7C6AC81A"/>
    <w:rsid w:val="7C9FD8A4"/>
    <w:rsid w:val="7CBE5FC0"/>
    <w:rsid w:val="7CF16492"/>
    <w:rsid w:val="7D14B3EF"/>
    <w:rsid w:val="7D355D49"/>
    <w:rsid w:val="7D687476"/>
    <w:rsid w:val="7DC42482"/>
    <w:rsid w:val="7DFF6FB3"/>
    <w:rsid w:val="7E0BB3E8"/>
    <w:rsid w:val="7E0CE148"/>
    <w:rsid w:val="7E8FD44A"/>
    <w:rsid w:val="7EB3FA4D"/>
    <w:rsid w:val="7EE81D75"/>
    <w:rsid w:val="7F541399"/>
    <w:rsid w:val="7FDE3171"/>
    <w:rsid w:val="7FE9D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87CFE"/>
  <w15:chartTrackingRefBased/>
  <w15:docId w15:val="{37D13848-BC41-4C2E-9A61-1F1E1133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7C"/>
  </w:style>
  <w:style w:type="paragraph" w:styleId="Heading1">
    <w:name w:val="heading 1"/>
    <w:basedOn w:val="Normal"/>
    <w:next w:val="Normal"/>
    <w:link w:val="Heading1Char"/>
    <w:uiPriority w:val="9"/>
    <w:qFormat/>
    <w:rsid w:val="006C7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F97"/>
    <w:pPr>
      <w:keepNext/>
      <w:keepLines/>
      <w:spacing w:before="160" w:after="80"/>
      <w:outlineLvl w:val="2"/>
    </w:pPr>
    <w:rPr>
      <w:rFonts w:eastAsiaTheme="majorEastAsia" w:cstheme="majorBidi"/>
      <w:b/>
      <w:color w:val="0F4761" w:themeColor="accent1" w:themeShade="BF"/>
      <w:sz w:val="26"/>
      <w:szCs w:val="28"/>
    </w:rPr>
  </w:style>
  <w:style w:type="paragraph" w:styleId="Heading4">
    <w:name w:val="heading 4"/>
    <w:basedOn w:val="Normal"/>
    <w:next w:val="Normal"/>
    <w:link w:val="Heading4Char"/>
    <w:uiPriority w:val="9"/>
    <w:semiHidden/>
    <w:unhideWhenUsed/>
    <w:qFormat/>
    <w:rsid w:val="006C7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F97"/>
    <w:rPr>
      <w:rFonts w:eastAsiaTheme="majorEastAsia" w:cstheme="majorBidi"/>
      <w:b/>
      <w:color w:val="0F4761" w:themeColor="accent1" w:themeShade="BF"/>
      <w:sz w:val="26"/>
      <w:szCs w:val="28"/>
    </w:rPr>
  </w:style>
  <w:style w:type="character" w:customStyle="1" w:styleId="Heading4Char">
    <w:name w:val="Heading 4 Char"/>
    <w:basedOn w:val="DefaultParagraphFont"/>
    <w:link w:val="Heading4"/>
    <w:uiPriority w:val="9"/>
    <w:semiHidden/>
    <w:rsid w:val="006C7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C98"/>
    <w:rPr>
      <w:rFonts w:eastAsiaTheme="majorEastAsia" w:cstheme="majorBidi"/>
      <w:color w:val="272727" w:themeColor="text1" w:themeTint="D8"/>
    </w:rPr>
  </w:style>
  <w:style w:type="paragraph" w:styleId="Title">
    <w:name w:val="Title"/>
    <w:basedOn w:val="Normal"/>
    <w:next w:val="Normal"/>
    <w:link w:val="TitleChar"/>
    <w:uiPriority w:val="10"/>
    <w:qFormat/>
    <w:rsid w:val="006C7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C98"/>
    <w:pPr>
      <w:spacing w:before="160"/>
      <w:jc w:val="center"/>
    </w:pPr>
    <w:rPr>
      <w:i/>
      <w:iCs/>
      <w:color w:val="404040" w:themeColor="text1" w:themeTint="BF"/>
    </w:rPr>
  </w:style>
  <w:style w:type="character" w:customStyle="1" w:styleId="QuoteChar">
    <w:name w:val="Quote Char"/>
    <w:basedOn w:val="DefaultParagraphFont"/>
    <w:link w:val="Quote"/>
    <w:uiPriority w:val="29"/>
    <w:rsid w:val="006C7C98"/>
    <w:rPr>
      <w:i/>
      <w:iCs/>
      <w:color w:val="404040" w:themeColor="text1" w:themeTint="BF"/>
    </w:rPr>
  </w:style>
  <w:style w:type="paragraph" w:styleId="ListParagraph">
    <w:name w:val="List Paragraph"/>
    <w:basedOn w:val="Normal"/>
    <w:uiPriority w:val="34"/>
    <w:qFormat/>
    <w:rsid w:val="006C7C98"/>
    <w:pPr>
      <w:ind w:left="720"/>
      <w:contextualSpacing/>
    </w:pPr>
  </w:style>
  <w:style w:type="character" w:styleId="IntenseEmphasis">
    <w:name w:val="Intense Emphasis"/>
    <w:basedOn w:val="DefaultParagraphFont"/>
    <w:uiPriority w:val="21"/>
    <w:qFormat/>
    <w:rsid w:val="006C7C98"/>
    <w:rPr>
      <w:i/>
      <w:iCs/>
      <w:color w:val="0F4761" w:themeColor="accent1" w:themeShade="BF"/>
    </w:rPr>
  </w:style>
  <w:style w:type="paragraph" w:styleId="IntenseQuote">
    <w:name w:val="Intense Quote"/>
    <w:basedOn w:val="Normal"/>
    <w:next w:val="Normal"/>
    <w:link w:val="IntenseQuoteChar"/>
    <w:uiPriority w:val="30"/>
    <w:qFormat/>
    <w:rsid w:val="006C7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C98"/>
    <w:rPr>
      <w:i/>
      <w:iCs/>
      <w:color w:val="0F4761" w:themeColor="accent1" w:themeShade="BF"/>
    </w:rPr>
  </w:style>
  <w:style w:type="character" w:styleId="IntenseReference">
    <w:name w:val="Intense Reference"/>
    <w:basedOn w:val="DefaultParagraphFont"/>
    <w:uiPriority w:val="32"/>
    <w:qFormat/>
    <w:rsid w:val="006C7C98"/>
    <w:rPr>
      <w:b/>
      <w:bCs/>
      <w:smallCaps/>
      <w:color w:val="0F4761" w:themeColor="accent1" w:themeShade="BF"/>
      <w:spacing w:val="5"/>
    </w:rPr>
  </w:style>
  <w:style w:type="character" w:styleId="CommentReference">
    <w:name w:val="annotation reference"/>
    <w:basedOn w:val="DefaultParagraphFont"/>
    <w:uiPriority w:val="99"/>
    <w:semiHidden/>
    <w:unhideWhenUsed/>
    <w:rsid w:val="004A37AB"/>
    <w:rPr>
      <w:sz w:val="16"/>
      <w:szCs w:val="16"/>
    </w:rPr>
  </w:style>
  <w:style w:type="paragraph" w:styleId="CommentText">
    <w:name w:val="annotation text"/>
    <w:basedOn w:val="Normal"/>
    <w:link w:val="CommentTextChar"/>
    <w:uiPriority w:val="99"/>
    <w:unhideWhenUsed/>
    <w:rsid w:val="004A37AB"/>
    <w:pPr>
      <w:spacing w:line="240" w:lineRule="auto"/>
    </w:pPr>
    <w:rPr>
      <w:sz w:val="20"/>
      <w:szCs w:val="20"/>
    </w:rPr>
  </w:style>
  <w:style w:type="character" w:customStyle="1" w:styleId="CommentTextChar">
    <w:name w:val="Comment Text Char"/>
    <w:basedOn w:val="DefaultParagraphFont"/>
    <w:link w:val="CommentText"/>
    <w:uiPriority w:val="99"/>
    <w:rsid w:val="004A37AB"/>
    <w:rPr>
      <w:sz w:val="20"/>
      <w:szCs w:val="20"/>
    </w:rPr>
  </w:style>
  <w:style w:type="paragraph" w:styleId="CommentSubject">
    <w:name w:val="annotation subject"/>
    <w:basedOn w:val="CommentText"/>
    <w:next w:val="CommentText"/>
    <w:link w:val="CommentSubjectChar"/>
    <w:uiPriority w:val="99"/>
    <w:semiHidden/>
    <w:unhideWhenUsed/>
    <w:rsid w:val="004A37AB"/>
    <w:rPr>
      <w:b/>
      <w:bCs/>
    </w:rPr>
  </w:style>
  <w:style w:type="character" w:customStyle="1" w:styleId="CommentSubjectChar">
    <w:name w:val="Comment Subject Char"/>
    <w:basedOn w:val="CommentTextChar"/>
    <w:link w:val="CommentSubject"/>
    <w:uiPriority w:val="99"/>
    <w:semiHidden/>
    <w:rsid w:val="004A37AB"/>
    <w:rPr>
      <w:b/>
      <w:bCs/>
      <w:sz w:val="20"/>
      <w:szCs w:val="20"/>
    </w:rPr>
  </w:style>
  <w:style w:type="paragraph" w:styleId="Header">
    <w:name w:val="header"/>
    <w:basedOn w:val="Normal"/>
    <w:link w:val="HeaderChar"/>
    <w:uiPriority w:val="99"/>
    <w:unhideWhenUsed/>
    <w:rsid w:val="001F6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4DE"/>
  </w:style>
  <w:style w:type="paragraph" w:styleId="Footer">
    <w:name w:val="footer"/>
    <w:basedOn w:val="Normal"/>
    <w:link w:val="FooterChar"/>
    <w:uiPriority w:val="99"/>
    <w:unhideWhenUsed/>
    <w:rsid w:val="001F6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4DE"/>
  </w:style>
  <w:style w:type="paragraph" w:styleId="TOCHeading">
    <w:name w:val="TOC Heading"/>
    <w:basedOn w:val="Heading1"/>
    <w:next w:val="Normal"/>
    <w:uiPriority w:val="39"/>
    <w:unhideWhenUsed/>
    <w:qFormat/>
    <w:rsid w:val="0048642B"/>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4A1787"/>
    <w:pPr>
      <w:spacing w:before="120" w:after="0"/>
    </w:pPr>
    <w:rPr>
      <w:b/>
    </w:rPr>
  </w:style>
  <w:style w:type="paragraph" w:styleId="TOC2">
    <w:name w:val="toc 2"/>
    <w:basedOn w:val="Normal"/>
    <w:next w:val="Normal"/>
    <w:autoRedefine/>
    <w:uiPriority w:val="39"/>
    <w:unhideWhenUsed/>
    <w:rsid w:val="001C1F9A"/>
    <w:pPr>
      <w:tabs>
        <w:tab w:val="right" w:leader="dot" w:pos="9016"/>
      </w:tabs>
      <w:spacing w:before="120" w:after="0"/>
      <w:ind w:left="238"/>
    </w:pPr>
    <w:rPr>
      <w:u w:val="single"/>
    </w:rPr>
  </w:style>
  <w:style w:type="paragraph" w:styleId="TOC3">
    <w:name w:val="toc 3"/>
    <w:basedOn w:val="Normal"/>
    <w:next w:val="Normal"/>
    <w:autoRedefine/>
    <w:uiPriority w:val="39"/>
    <w:unhideWhenUsed/>
    <w:rsid w:val="007D2C4D"/>
    <w:pPr>
      <w:spacing w:after="0"/>
      <w:ind w:left="482"/>
    </w:pPr>
  </w:style>
  <w:style w:type="character" w:styleId="Hyperlink">
    <w:name w:val="Hyperlink"/>
    <w:basedOn w:val="DefaultParagraphFont"/>
    <w:uiPriority w:val="99"/>
    <w:unhideWhenUsed/>
    <w:rsid w:val="0048642B"/>
    <w:rPr>
      <w:color w:val="467886" w:themeColor="hyperlink"/>
      <w:u w:val="single"/>
    </w:rPr>
  </w:style>
  <w:style w:type="paragraph" w:styleId="TOC4">
    <w:name w:val="toc 4"/>
    <w:basedOn w:val="Normal"/>
    <w:next w:val="Normal"/>
    <w:autoRedefine/>
    <w:uiPriority w:val="39"/>
    <w:semiHidden/>
    <w:unhideWhenUsed/>
    <w:rsid w:val="007D2C4D"/>
    <w:pPr>
      <w:spacing w:after="0" w:line="240" w:lineRule="auto"/>
      <w:ind w:left="720"/>
    </w:pPr>
  </w:style>
  <w:style w:type="paragraph" w:styleId="TOC5">
    <w:name w:val="toc 5"/>
    <w:basedOn w:val="Normal"/>
    <w:next w:val="Normal"/>
    <w:autoRedefine/>
    <w:uiPriority w:val="39"/>
    <w:semiHidden/>
    <w:unhideWhenUsed/>
    <w:rsid w:val="007D2C4D"/>
    <w:pPr>
      <w:spacing w:after="0" w:line="240" w:lineRule="auto"/>
      <w:ind w:left="958"/>
    </w:pPr>
  </w:style>
  <w:style w:type="character" w:styleId="Emphasis">
    <w:name w:val="Emphasis"/>
    <w:basedOn w:val="DefaultParagraphFont"/>
    <w:uiPriority w:val="20"/>
    <w:qFormat/>
    <w:rsid w:val="00BC1616"/>
    <w:rPr>
      <w:i/>
      <w:iCs/>
    </w:rPr>
  </w:style>
  <w:style w:type="character" w:styleId="SubtleEmphasis">
    <w:name w:val="Subtle Emphasis"/>
    <w:basedOn w:val="DefaultParagraphFont"/>
    <w:uiPriority w:val="19"/>
    <w:qFormat/>
    <w:rsid w:val="00C853BC"/>
    <w:rPr>
      <w:i/>
      <w:iCs/>
      <w:color w:val="404040" w:themeColor="text1" w:themeTint="BF"/>
    </w:rPr>
  </w:style>
  <w:style w:type="paragraph" w:styleId="Revision">
    <w:name w:val="Revision"/>
    <w:hidden/>
    <w:uiPriority w:val="99"/>
    <w:semiHidden/>
    <w:rsid w:val="00DD4ABC"/>
    <w:pPr>
      <w:spacing w:after="0" w:line="240" w:lineRule="auto"/>
    </w:pPr>
  </w:style>
  <w:style w:type="character" w:styleId="Mention">
    <w:name w:val="Mention"/>
    <w:basedOn w:val="DefaultParagraphFont"/>
    <w:uiPriority w:val="99"/>
    <w:unhideWhenUsed/>
    <w:rsid w:val="00273BC9"/>
    <w:rPr>
      <w:color w:val="2B579A"/>
      <w:shd w:val="clear" w:color="auto" w:fill="E1DFDD"/>
    </w:rPr>
  </w:style>
  <w:style w:type="paragraph" w:styleId="EndnoteText">
    <w:name w:val="endnote text"/>
    <w:basedOn w:val="Normal"/>
    <w:link w:val="EndnoteTextChar"/>
    <w:uiPriority w:val="99"/>
    <w:unhideWhenUsed/>
    <w:rsid w:val="00F56ACA"/>
    <w:pPr>
      <w:spacing w:after="0" w:line="240" w:lineRule="auto"/>
    </w:pPr>
    <w:rPr>
      <w:sz w:val="20"/>
      <w:szCs w:val="20"/>
    </w:rPr>
  </w:style>
  <w:style w:type="character" w:customStyle="1" w:styleId="EndnoteTextChar">
    <w:name w:val="Endnote Text Char"/>
    <w:basedOn w:val="DefaultParagraphFont"/>
    <w:link w:val="EndnoteText"/>
    <w:uiPriority w:val="99"/>
    <w:rsid w:val="00F56ACA"/>
    <w:rPr>
      <w:sz w:val="20"/>
      <w:szCs w:val="20"/>
    </w:rPr>
  </w:style>
  <w:style w:type="character" w:styleId="EndnoteReference">
    <w:name w:val="endnote reference"/>
    <w:basedOn w:val="DefaultParagraphFont"/>
    <w:uiPriority w:val="99"/>
    <w:semiHidden/>
    <w:unhideWhenUsed/>
    <w:rsid w:val="00F56ACA"/>
    <w:rPr>
      <w:vertAlign w:val="superscript"/>
    </w:rPr>
  </w:style>
  <w:style w:type="character" w:styleId="UnresolvedMention">
    <w:name w:val="Unresolved Mention"/>
    <w:basedOn w:val="DefaultParagraphFont"/>
    <w:uiPriority w:val="99"/>
    <w:semiHidden/>
    <w:unhideWhenUsed/>
    <w:rsid w:val="00EF2618"/>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062">
      <w:bodyDiv w:val="1"/>
      <w:marLeft w:val="0"/>
      <w:marRight w:val="0"/>
      <w:marTop w:val="0"/>
      <w:marBottom w:val="0"/>
      <w:divBdr>
        <w:top w:val="none" w:sz="0" w:space="0" w:color="auto"/>
        <w:left w:val="none" w:sz="0" w:space="0" w:color="auto"/>
        <w:bottom w:val="none" w:sz="0" w:space="0" w:color="auto"/>
        <w:right w:val="none" w:sz="0" w:space="0" w:color="auto"/>
      </w:divBdr>
    </w:div>
    <w:div w:id="138497602">
      <w:bodyDiv w:val="1"/>
      <w:marLeft w:val="0"/>
      <w:marRight w:val="0"/>
      <w:marTop w:val="0"/>
      <w:marBottom w:val="0"/>
      <w:divBdr>
        <w:top w:val="none" w:sz="0" w:space="0" w:color="auto"/>
        <w:left w:val="none" w:sz="0" w:space="0" w:color="auto"/>
        <w:bottom w:val="none" w:sz="0" w:space="0" w:color="auto"/>
        <w:right w:val="none" w:sz="0" w:space="0" w:color="auto"/>
      </w:divBdr>
    </w:div>
    <w:div w:id="267200273">
      <w:bodyDiv w:val="1"/>
      <w:marLeft w:val="0"/>
      <w:marRight w:val="0"/>
      <w:marTop w:val="0"/>
      <w:marBottom w:val="0"/>
      <w:divBdr>
        <w:top w:val="none" w:sz="0" w:space="0" w:color="auto"/>
        <w:left w:val="none" w:sz="0" w:space="0" w:color="auto"/>
        <w:bottom w:val="none" w:sz="0" w:space="0" w:color="auto"/>
        <w:right w:val="none" w:sz="0" w:space="0" w:color="auto"/>
      </w:divBdr>
    </w:div>
    <w:div w:id="287903506">
      <w:bodyDiv w:val="1"/>
      <w:marLeft w:val="0"/>
      <w:marRight w:val="0"/>
      <w:marTop w:val="0"/>
      <w:marBottom w:val="0"/>
      <w:divBdr>
        <w:top w:val="none" w:sz="0" w:space="0" w:color="auto"/>
        <w:left w:val="none" w:sz="0" w:space="0" w:color="auto"/>
        <w:bottom w:val="none" w:sz="0" w:space="0" w:color="auto"/>
        <w:right w:val="none" w:sz="0" w:space="0" w:color="auto"/>
      </w:divBdr>
    </w:div>
    <w:div w:id="482284652">
      <w:bodyDiv w:val="1"/>
      <w:marLeft w:val="0"/>
      <w:marRight w:val="0"/>
      <w:marTop w:val="0"/>
      <w:marBottom w:val="0"/>
      <w:divBdr>
        <w:top w:val="none" w:sz="0" w:space="0" w:color="auto"/>
        <w:left w:val="none" w:sz="0" w:space="0" w:color="auto"/>
        <w:bottom w:val="none" w:sz="0" w:space="0" w:color="auto"/>
        <w:right w:val="none" w:sz="0" w:space="0" w:color="auto"/>
      </w:divBdr>
    </w:div>
    <w:div w:id="807672837">
      <w:bodyDiv w:val="1"/>
      <w:marLeft w:val="0"/>
      <w:marRight w:val="0"/>
      <w:marTop w:val="0"/>
      <w:marBottom w:val="0"/>
      <w:divBdr>
        <w:top w:val="none" w:sz="0" w:space="0" w:color="auto"/>
        <w:left w:val="none" w:sz="0" w:space="0" w:color="auto"/>
        <w:bottom w:val="none" w:sz="0" w:space="0" w:color="auto"/>
        <w:right w:val="none" w:sz="0" w:space="0" w:color="auto"/>
      </w:divBdr>
    </w:div>
    <w:div w:id="821702881">
      <w:bodyDiv w:val="1"/>
      <w:marLeft w:val="0"/>
      <w:marRight w:val="0"/>
      <w:marTop w:val="0"/>
      <w:marBottom w:val="0"/>
      <w:divBdr>
        <w:top w:val="none" w:sz="0" w:space="0" w:color="auto"/>
        <w:left w:val="none" w:sz="0" w:space="0" w:color="auto"/>
        <w:bottom w:val="none" w:sz="0" w:space="0" w:color="auto"/>
        <w:right w:val="none" w:sz="0" w:space="0" w:color="auto"/>
      </w:divBdr>
      <w:divsChild>
        <w:div w:id="297952360">
          <w:marLeft w:val="1080"/>
          <w:marRight w:val="0"/>
          <w:marTop w:val="0"/>
          <w:marBottom w:val="0"/>
          <w:divBdr>
            <w:top w:val="none" w:sz="0" w:space="0" w:color="auto"/>
            <w:left w:val="none" w:sz="0" w:space="0" w:color="auto"/>
            <w:bottom w:val="none" w:sz="0" w:space="0" w:color="auto"/>
            <w:right w:val="none" w:sz="0" w:space="0" w:color="auto"/>
          </w:divBdr>
        </w:div>
        <w:div w:id="792215647">
          <w:marLeft w:val="1080"/>
          <w:marRight w:val="0"/>
          <w:marTop w:val="0"/>
          <w:marBottom w:val="0"/>
          <w:divBdr>
            <w:top w:val="none" w:sz="0" w:space="0" w:color="auto"/>
            <w:left w:val="none" w:sz="0" w:space="0" w:color="auto"/>
            <w:bottom w:val="none" w:sz="0" w:space="0" w:color="auto"/>
            <w:right w:val="none" w:sz="0" w:space="0" w:color="auto"/>
          </w:divBdr>
        </w:div>
        <w:div w:id="1133183057">
          <w:marLeft w:val="1080"/>
          <w:marRight w:val="0"/>
          <w:marTop w:val="0"/>
          <w:marBottom w:val="0"/>
          <w:divBdr>
            <w:top w:val="none" w:sz="0" w:space="0" w:color="auto"/>
            <w:left w:val="none" w:sz="0" w:space="0" w:color="auto"/>
            <w:bottom w:val="none" w:sz="0" w:space="0" w:color="auto"/>
            <w:right w:val="none" w:sz="0" w:space="0" w:color="auto"/>
          </w:divBdr>
        </w:div>
        <w:div w:id="1988700965">
          <w:marLeft w:val="1080"/>
          <w:marRight w:val="0"/>
          <w:marTop w:val="0"/>
          <w:marBottom w:val="0"/>
          <w:divBdr>
            <w:top w:val="none" w:sz="0" w:space="0" w:color="auto"/>
            <w:left w:val="none" w:sz="0" w:space="0" w:color="auto"/>
            <w:bottom w:val="none" w:sz="0" w:space="0" w:color="auto"/>
            <w:right w:val="none" w:sz="0" w:space="0" w:color="auto"/>
          </w:divBdr>
        </w:div>
      </w:divsChild>
    </w:div>
    <w:div w:id="1023476348">
      <w:bodyDiv w:val="1"/>
      <w:marLeft w:val="0"/>
      <w:marRight w:val="0"/>
      <w:marTop w:val="0"/>
      <w:marBottom w:val="0"/>
      <w:divBdr>
        <w:top w:val="none" w:sz="0" w:space="0" w:color="auto"/>
        <w:left w:val="none" w:sz="0" w:space="0" w:color="auto"/>
        <w:bottom w:val="none" w:sz="0" w:space="0" w:color="auto"/>
        <w:right w:val="none" w:sz="0" w:space="0" w:color="auto"/>
      </w:divBdr>
    </w:div>
    <w:div w:id="1076823684">
      <w:bodyDiv w:val="1"/>
      <w:marLeft w:val="0"/>
      <w:marRight w:val="0"/>
      <w:marTop w:val="0"/>
      <w:marBottom w:val="0"/>
      <w:divBdr>
        <w:top w:val="none" w:sz="0" w:space="0" w:color="auto"/>
        <w:left w:val="none" w:sz="0" w:space="0" w:color="auto"/>
        <w:bottom w:val="none" w:sz="0" w:space="0" w:color="auto"/>
        <w:right w:val="none" w:sz="0" w:space="0" w:color="auto"/>
      </w:divBdr>
    </w:div>
    <w:div w:id="1099370576">
      <w:bodyDiv w:val="1"/>
      <w:marLeft w:val="0"/>
      <w:marRight w:val="0"/>
      <w:marTop w:val="0"/>
      <w:marBottom w:val="0"/>
      <w:divBdr>
        <w:top w:val="none" w:sz="0" w:space="0" w:color="auto"/>
        <w:left w:val="none" w:sz="0" w:space="0" w:color="auto"/>
        <w:bottom w:val="none" w:sz="0" w:space="0" w:color="auto"/>
        <w:right w:val="none" w:sz="0" w:space="0" w:color="auto"/>
      </w:divBdr>
    </w:div>
    <w:div w:id="18330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blogs.worldbank.org/en/allaboutfinance/expanding-benefits-financial-services" TargetMode="External"/><Relationship Id="rId1" Type="http://schemas.openxmlformats.org/officeDocument/2006/relationships/hyperlink" Target="https://www.un.org/sustainabledevelopment/wp-content/uploads/2023/02/SDG-Stimulus-to-Deliver-Agenda-20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7B580B2120874792715E258F8A95D9" ma:contentTypeVersion="20" ma:contentTypeDescription="Create a new document." ma:contentTypeScope="" ma:versionID="d908ed4f5d362e9b3f56db2274dcc018">
  <xsd:schema xmlns:xsd="http://www.w3.org/2001/XMLSchema" xmlns:xs="http://www.w3.org/2001/XMLSchema" xmlns:p="http://schemas.microsoft.com/office/2006/metadata/properties" xmlns:ns2="8bfaee04-a01c-4d2b-bc73-4ea2312622f4" xmlns:ns3="56bbd361-9127-4bc5-9c60-1e52979ae706" targetNamespace="http://schemas.microsoft.com/office/2006/metadata/properties" ma:root="true" ma:fieldsID="4887154350e97fa0449e3ec8320bc09e" ns2:_="" ns3:_="">
    <xsd:import namespace="8bfaee04-a01c-4d2b-bc73-4ea2312622f4"/>
    <xsd:import namespace="56bbd361-9127-4bc5-9c60-1e52979ae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DateofExpres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ee04-a01c-4d2b-bc73-4ea231262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DateofExpression" ma:index="24" nillable="true" ma:displayName="Date of Expression" ma:format="Dropdown" ma:internalName="DateofExpress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bd361-9127-4bc5-9c60-1e52979ae7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94e05d-861f-4fde-bb9e-88fef5890763}" ma:internalName="TaxCatchAll" ma:showField="CatchAllData" ma:web="56bbd361-9127-4bc5-9c60-1e52979ae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aee04-a01c-4d2b-bc73-4ea2312622f4">
      <Terms xmlns="http://schemas.microsoft.com/office/infopath/2007/PartnerControls"/>
    </lcf76f155ced4ddcb4097134ff3c332f>
    <DateofExpression xmlns="8bfaee04-a01c-4d2b-bc73-4ea2312622f4" xsi:nil="true"/>
    <TaxCatchAll xmlns="56bbd361-9127-4bc5-9c60-1e52979ae706" xsi:nil="true"/>
  </documentManagement>
</p:properties>
</file>

<file path=customXml/itemProps1.xml><?xml version="1.0" encoding="utf-8"?>
<ds:datastoreItem xmlns:ds="http://schemas.openxmlformats.org/officeDocument/2006/customXml" ds:itemID="{ED0BB540-B36A-4A99-B582-5D270FCFEBA1}">
  <ds:schemaRefs>
    <ds:schemaRef ds:uri="http://schemas.openxmlformats.org/officeDocument/2006/bibliography"/>
  </ds:schemaRefs>
</ds:datastoreItem>
</file>

<file path=customXml/itemProps2.xml><?xml version="1.0" encoding="utf-8"?>
<ds:datastoreItem xmlns:ds="http://schemas.openxmlformats.org/officeDocument/2006/customXml" ds:itemID="{F432875E-44F9-437A-A4CE-F1A61BC6D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ee04-a01c-4d2b-bc73-4ea2312622f4"/>
    <ds:schemaRef ds:uri="56bbd361-9127-4bc5-9c60-1e52979a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1F8A2-CC35-4E9F-86C2-F33996DAAA0D}">
  <ds:schemaRefs>
    <ds:schemaRef ds:uri="http://schemas.microsoft.com/sharepoint/v3/contenttype/forms"/>
  </ds:schemaRefs>
</ds:datastoreItem>
</file>

<file path=customXml/itemProps4.xml><?xml version="1.0" encoding="utf-8"?>
<ds:datastoreItem xmlns:ds="http://schemas.openxmlformats.org/officeDocument/2006/customXml" ds:itemID="{597F08E8-138E-40A9-A629-A4340A75076C}">
  <ds:schemaRefs>
    <ds:schemaRef ds:uri="http://schemas.microsoft.com/office/2006/metadata/properties"/>
    <ds:schemaRef ds:uri="http://schemas.microsoft.com/office/infopath/2007/PartnerControls"/>
    <ds:schemaRef ds:uri="8bfaee04-a01c-4d2b-bc73-4ea2312622f4"/>
    <ds:schemaRef ds:uri="56bbd361-9127-4bc5-9c60-1e52979ae706"/>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13</Pages>
  <Words>3869</Words>
  <Characters>24416</Characters>
  <Application>Microsoft Office Word</Application>
  <DocSecurity>0</DocSecurity>
  <Lines>436</Lines>
  <Paragraphs>176</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Strawson</dc:creator>
  <cp:keywords/>
  <dc:description/>
  <cp:lastModifiedBy>Tim Strawson</cp:lastModifiedBy>
  <cp:revision>248</cp:revision>
  <dcterms:created xsi:type="dcterms:W3CDTF">2024-10-15T19:53:00Z</dcterms:created>
  <dcterms:modified xsi:type="dcterms:W3CDTF">2024-10-22T20:06:00Z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0x0101001D7B580B2120874792715E258F8A95D9</vt:lpwstr>
  </property>
  <property fmtid="{D5CDD505-2E9C-101B-9397-08002B2CF9AE}" pid="3" name="MediaServiceImageTags">
    <vt:lpwstr/>
  </property>
</Properties>
</file>