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75641" w14:textId="407675DE" w:rsidR="00C37F01" w:rsidRPr="00C37F01" w:rsidRDefault="00B37572" w:rsidP="00C37F01">
      <w:pPr>
        <w:pStyle w:val="Heading1"/>
        <w:spacing w:line="360" w:lineRule="auto"/>
        <w:jc w:val="center"/>
        <w:rPr>
          <w:b/>
          <w:bCs/>
          <w:sz w:val="28"/>
          <w:szCs w:val="28"/>
        </w:rPr>
      </w:pPr>
      <w:r w:rsidRPr="00C37F01">
        <w:rPr>
          <w:b/>
          <w:bCs/>
          <w:sz w:val="28"/>
          <w:szCs w:val="28"/>
        </w:rPr>
        <w:t xml:space="preserve">Financing </w:t>
      </w:r>
      <w:r w:rsidR="00251A33" w:rsidRPr="00C37F01">
        <w:rPr>
          <w:b/>
          <w:bCs/>
          <w:sz w:val="28"/>
          <w:szCs w:val="28"/>
        </w:rPr>
        <w:t>Po</w:t>
      </w:r>
      <w:r w:rsidR="002C6D77" w:rsidRPr="00C37F01">
        <w:rPr>
          <w:b/>
          <w:bCs/>
          <w:sz w:val="28"/>
          <w:szCs w:val="28"/>
        </w:rPr>
        <w:t xml:space="preserve">licy </w:t>
      </w:r>
      <w:r w:rsidRPr="00C37F01">
        <w:rPr>
          <w:b/>
          <w:bCs/>
          <w:sz w:val="28"/>
          <w:szCs w:val="28"/>
        </w:rPr>
        <w:t>Brief</w:t>
      </w:r>
      <w:r w:rsidR="00174569" w:rsidRPr="00C37F01">
        <w:rPr>
          <w:b/>
          <w:bCs/>
          <w:sz w:val="28"/>
          <w:szCs w:val="28"/>
        </w:rPr>
        <w:t xml:space="preserve"> Series </w:t>
      </w:r>
      <w:r w:rsidRPr="00C37F01">
        <w:rPr>
          <w:b/>
          <w:bCs/>
          <w:sz w:val="28"/>
          <w:szCs w:val="28"/>
        </w:rPr>
        <w:t xml:space="preserve">– </w:t>
      </w:r>
      <w:r w:rsidR="00B52F12" w:rsidRPr="00C37F01">
        <w:rPr>
          <w:b/>
          <w:bCs/>
          <w:sz w:val="28"/>
          <w:szCs w:val="28"/>
        </w:rPr>
        <w:t>Recommendations for</w:t>
      </w:r>
      <w:r w:rsidRPr="00C37F01">
        <w:rPr>
          <w:b/>
          <w:bCs/>
          <w:sz w:val="28"/>
          <w:szCs w:val="28"/>
        </w:rPr>
        <w:t xml:space="preserve"> FfD4</w:t>
      </w:r>
    </w:p>
    <w:p w14:paraId="293AA023" w14:textId="5F9CA4B6" w:rsidR="00C37F01" w:rsidRPr="00C37F01" w:rsidRDefault="00C37F01" w:rsidP="00C37F01">
      <w:pPr>
        <w:spacing w:line="360" w:lineRule="auto"/>
        <w:jc w:val="center"/>
        <w:rPr>
          <w:rFonts w:asciiTheme="majorHAnsi" w:eastAsiaTheme="majorEastAsia" w:hAnsiTheme="majorHAnsi" w:cstheme="majorBidi"/>
          <w:b/>
          <w:bCs/>
          <w:i/>
          <w:iCs/>
          <w:color w:val="2F5496" w:themeColor="accent1" w:themeShade="BF"/>
          <w:sz w:val="28"/>
          <w:szCs w:val="28"/>
        </w:rPr>
      </w:pPr>
      <w:r w:rsidRPr="00C37F01">
        <w:rPr>
          <w:rFonts w:asciiTheme="majorHAnsi" w:eastAsiaTheme="majorEastAsia" w:hAnsiTheme="majorHAnsi" w:cstheme="majorBidi"/>
          <w:b/>
          <w:bCs/>
          <w:i/>
          <w:iCs/>
          <w:color w:val="2F5496" w:themeColor="accent1" w:themeShade="BF"/>
          <w:sz w:val="28"/>
          <w:szCs w:val="28"/>
        </w:rPr>
        <w:t>Paper by UNESCO</w:t>
      </w:r>
    </w:p>
    <w:p w14:paraId="510AF3B1" w14:textId="77777777" w:rsidR="00C37F01" w:rsidRPr="00C37F01" w:rsidRDefault="009E3435" w:rsidP="00C37F01">
      <w:pPr>
        <w:pStyle w:val="Heading1"/>
        <w:spacing w:before="0" w:line="240" w:lineRule="auto"/>
        <w:jc w:val="center"/>
        <w:rPr>
          <w:b/>
          <w:bCs/>
          <w:sz w:val="28"/>
          <w:szCs w:val="28"/>
          <w:u w:val="single"/>
        </w:rPr>
      </w:pPr>
      <w:r w:rsidRPr="00C37F01">
        <w:rPr>
          <w:b/>
          <w:bCs/>
          <w:sz w:val="28"/>
          <w:szCs w:val="28"/>
          <w:u w:val="single"/>
        </w:rPr>
        <w:t xml:space="preserve">Perspectives for the </w:t>
      </w:r>
      <w:r w:rsidR="00C37F01" w:rsidRPr="00C37F01">
        <w:rPr>
          <w:b/>
          <w:bCs/>
          <w:sz w:val="28"/>
          <w:szCs w:val="28"/>
          <w:u w:val="single"/>
        </w:rPr>
        <w:t>F</w:t>
      </w:r>
      <w:r w:rsidRPr="00C37F01">
        <w:rPr>
          <w:b/>
          <w:bCs/>
          <w:sz w:val="28"/>
          <w:szCs w:val="28"/>
          <w:u w:val="single"/>
        </w:rPr>
        <w:t xml:space="preserve">inancing of </w:t>
      </w:r>
      <w:r w:rsidR="00C37F01" w:rsidRPr="00C37F01">
        <w:rPr>
          <w:b/>
          <w:bCs/>
          <w:sz w:val="28"/>
          <w:szCs w:val="28"/>
          <w:u w:val="single"/>
        </w:rPr>
        <w:t>C</w:t>
      </w:r>
      <w:r w:rsidRPr="00C37F01">
        <w:rPr>
          <w:b/>
          <w:bCs/>
          <w:sz w:val="28"/>
          <w:szCs w:val="28"/>
          <w:u w:val="single"/>
        </w:rPr>
        <w:t xml:space="preserve">ulture </w:t>
      </w:r>
    </w:p>
    <w:p w14:paraId="33D102E9" w14:textId="7CEDFCDF" w:rsidR="00174569" w:rsidRPr="00C37F01" w:rsidRDefault="009E3435" w:rsidP="00C37F01">
      <w:pPr>
        <w:pStyle w:val="Heading1"/>
        <w:spacing w:before="0" w:line="240" w:lineRule="auto"/>
        <w:jc w:val="center"/>
        <w:rPr>
          <w:b/>
          <w:bCs/>
          <w:sz w:val="28"/>
          <w:szCs w:val="28"/>
          <w:u w:val="single"/>
        </w:rPr>
      </w:pPr>
      <w:r w:rsidRPr="00C37F01">
        <w:rPr>
          <w:b/>
          <w:bCs/>
          <w:sz w:val="28"/>
          <w:szCs w:val="28"/>
          <w:u w:val="single"/>
        </w:rPr>
        <w:t>as a stand</w:t>
      </w:r>
      <w:r w:rsidR="00D22056" w:rsidRPr="00C37F01">
        <w:rPr>
          <w:b/>
          <w:bCs/>
          <w:sz w:val="28"/>
          <w:szCs w:val="28"/>
          <w:u w:val="single"/>
        </w:rPr>
        <w:t>-</w:t>
      </w:r>
      <w:r w:rsidRPr="00C37F01">
        <w:rPr>
          <w:b/>
          <w:bCs/>
          <w:sz w:val="28"/>
          <w:szCs w:val="28"/>
          <w:u w:val="single"/>
        </w:rPr>
        <w:t xml:space="preserve">alone </w:t>
      </w:r>
      <w:r w:rsidR="00C37F01" w:rsidRPr="00C37F01">
        <w:rPr>
          <w:b/>
          <w:bCs/>
          <w:sz w:val="28"/>
          <w:szCs w:val="28"/>
          <w:u w:val="single"/>
        </w:rPr>
        <w:t>G</w:t>
      </w:r>
      <w:r w:rsidRPr="00C37F01">
        <w:rPr>
          <w:b/>
          <w:bCs/>
          <w:sz w:val="28"/>
          <w:szCs w:val="28"/>
          <w:u w:val="single"/>
        </w:rPr>
        <w:t xml:space="preserve">oal in the post-2030 </w:t>
      </w:r>
      <w:r w:rsidR="00C37F01" w:rsidRPr="00C37F01">
        <w:rPr>
          <w:b/>
          <w:bCs/>
          <w:sz w:val="28"/>
          <w:szCs w:val="28"/>
          <w:u w:val="single"/>
        </w:rPr>
        <w:t>A</w:t>
      </w:r>
      <w:r w:rsidRPr="00C37F01">
        <w:rPr>
          <w:b/>
          <w:bCs/>
          <w:sz w:val="28"/>
          <w:szCs w:val="28"/>
          <w:u w:val="single"/>
        </w:rPr>
        <w:t>genda</w:t>
      </w:r>
    </w:p>
    <w:p w14:paraId="3759A8D8" w14:textId="77777777" w:rsidR="00B37572" w:rsidRPr="00934933" w:rsidRDefault="00B37572" w:rsidP="00B37572">
      <w:pPr>
        <w:rPr>
          <w:rFonts w:asciiTheme="minorBidi" w:hAnsiTheme="minorBidi"/>
          <w:sz w:val="2"/>
          <w:szCs w:val="2"/>
          <w:lang w:val="en-GB"/>
        </w:rPr>
      </w:pPr>
    </w:p>
    <w:p w14:paraId="454AF429" w14:textId="7955E39D" w:rsidR="00C37F01" w:rsidRPr="00C37F01" w:rsidRDefault="00174569" w:rsidP="00C37F01">
      <w:pPr>
        <w:pStyle w:val="Heading2"/>
        <w:rPr>
          <w:b/>
          <w:bCs/>
        </w:rPr>
      </w:pPr>
      <w:r w:rsidRPr="00C37F01">
        <w:rPr>
          <w:b/>
          <w:bCs/>
        </w:rPr>
        <w:t>Key messages</w:t>
      </w:r>
    </w:p>
    <w:p w14:paraId="76F4B661" w14:textId="5723480D" w:rsidR="00C635F3" w:rsidRPr="00C37F01" w:rsidRDefault="00A920F4" w:rsidP="00C37F01">
      <w:pPr>
        <w:pStyle w:val="ListParagraph"/>
        <w:numPr>
          <w:ilvl w:val="0"/>
          <w:numId w:val="22"/>
        </w:numPr>
        <w:spacing w:line="276" w:lineRule="auto"/>
        <w:jc w:val="both"/>
        <w:rPr>
          <w:rFonts w:eastAsia="Calibri" w:cstheme="minorHAnsi"/>
          <w:kern w:val="0"/>
          <w:lang w:val="en-GB" w:eastAsia="en-US"/>
          <w14:ligatures w14:val="none"/>
        </w:rPr>
      </w:pPr>
      <w:r w:rsidRPr="00C37F01">
        <w:rPr>
          <w:rFonts w:eastAsia="Calibri" w:cstheme="minorHAnsi"/>
          <w:kern w:val="0"/>
          <w:lang w:val="en-GB" w:eastAsia="en-US"/>
          <w14:ligatures w14:val="none"/>
        </w:rPr>
        <w:t>C</w:t>
      </w:r>
      <w:r w:rsidR="0063536E" w:rsidRPr="00C37F01">
        <w:rPr>
          <w:rFonts w:eastAsia="Calibri" w:cstheme="minorHAnsi"/>
          <w:kern w:val="0"/>
          <w:lang w:val="en-GB" w:eastAsia="en-US"/>
          <w14:ligatures w14:val="none"/>
        </w:rPr>
        <w:t>ulture is now recognized as a key driver of inclusive</w:t>
      </w:r>
      <w:r w:rsidR="00994EF4" w:rsidRPr="00C37F01">
        <w:rPr>
          <w:rFonts w:eastAsia="Calibri" w:cstheme="minorHAnsi"/>
          <w:kern w:val="0"/>
          <w:lang w:val="en-GB" w:eastAsia="en-US"/>
          <w14:ligatures w14:val="none"/>
        </w:rPr>
        <w:t xml:space="preserve"> and equitable</w:t>
      </w:r>
      <w:r w:rsidR="0063536E" w:rsidRPr="00C37F01">
        <w:rPr>
          <w:rFonts w:eastAsia="Calibri" w:cstheme="minorHAnsi"/>
          <w:kern w:val="0"/>
          <w:lang w:val="en-GB" w:eastAsia="en-US"/>
          <w14:ligatures w14:val="none"/>
        </w:rPr>
        <w:t xml:space="preserve"> sustainable development. </w:t>
      </w:r>
      <w:r w:rsidR="00096B3B" w:rsidRPr="00C37F01">
        <w:rPr>
          <w:rFonts w:eastAsia="Calibri" w:cstheme="minorHAnsi"/>
          <w:lang w:val="en-GB" w:eastAsia="en-US"/>
        </w:rPr>
        <w:t xml:space="preserve">This </w:t>
      </w:r>
      <w:r w:rsidR="00E747C4" w:rsidRPr="00C37F01">
        <w:rPr>
          <w:rFonts w:eastAsia="Calibri" w:cstheme="minorHAnsi"/>
          <w:lang w:val="en-GB" w:eastAsia="en-US"/>
        </w:rPr>
        <w:t>has recently been</w:t>
      </w:r>
      <w:r w:rsidR="00096B3B" w:rsidRPr="00C37F01">
        <w:rPr>
          <w:rFonts w:eastAsia="Calibri" w:cstheme="minorHAnsi"/>
          <w:lang w:val="en-GB" w:eastAsia="en-US"/>
        </w:rPr>
        <w:t xml:space="preserve"> evidenced </w:t>
      </w:r>
      <w:r w:rsidR="00C84ED3" w:rsidRPr="00C37F01">
        <w:rPr>
          <w:rFonts w:eastAsia="Calibri" w:cstheme="minorHAnsi"/>
          <w:lang w:val="en-GB" w:eastAsia="en-US"/>
        </w:rPr>
        <w:t>in</w:t>
      </w:r>
      <w:r w:rsidR="00096B3B" w:rsidRPr="00C37F01">
        <w:rPr>
          <w:rFonts w:eastAsia="Calibri" w:cstheme="minorHAnsi"/>
          <w:lang w:val="en-GB" w:eastAsia="en-US"/>
        </w:rPr>
        <w:t xml:space="preserve"> the Pact for the Future, adopted by the UN General Assembly </w:t>
      </w:r>
      <w:r w:rsidR="00B75026" w:rsidRPr="00C37F01">
        <w:rPr>
          <w:rFonts w:eastAsia="Calibri" w:cstheme="minorHAnsi"/>
          <w:lang w:val="en-GB" w:eastAsia="en-US"/>
        </w:rPr>
        <w:t>in</w:t>
      </w:r>
      <w:r w:rsidR="00096B3B" w:rsidRPr="00C37F01">
        <w:rPr>
          <w:rFonts w:eastAsia="Calibri" w:cstheme="minorHAnsi"/>
          <w:lang w:val="en-GB" w:eastAsia="en-US"/>
        </w:rPr>
        <w:t xml:space="preserve"> September 2024, which explicitly calls on </w:t>
      </w:r>
      <w:r w:rsidR="00E26FD8" w:rsidRPr="00C37F01">
        <w:rPr>
          <w:rFonts w:eastAsia="Calibri" w:cstheme="minorHAnsi"/>
          <w:lang w:val="en-GB" w:eastAsia="en-US"/>
        </w:rPr>
        <w:t xml:space="preserve">its Member </w:t>
      </w:r>
      <w:r w:rsidR="00096B3B" w:rsidRPr="00C37F01">
        <w:rPr>
          <w:rFonts w:eastAsia="Calibri" w:cstheme="minorHAnsi"/>
          <w:lang w:val="en-GB" w:eastAsia="en-US"/>
        </w:rPr>
        <w:t>States to integrate culture into their economic, social and environmental policies</w:t>
      </w:r>
      <w:r w:rsidR="004167F2" w:rsidRPr="00C37F01">
        <w:rPr>
          <w:rFonts w:eastAsia="Calibri" w:cstheme="minorHAnsi"/>
          <w:lang w:val="en-GB" w:eastAsia="en-US"/>
        </w:rPr>
        <w:t xml:space="preserve"> </w:t>
      </w:r>
      <w:r w:rsidR="00C37F01">
        <w:rPr>
          <w:rFonts w:eastAsia="Calibri" w:cstheme="minorHAnsi"/>
          <w:lang w:val="en-GB" w:eastAsia="en-US"/>
        </w:rPr>
        <w:t>in</w:t>
      </w:r>
      <w:r w:rsidR="004167F2" w:rsidRPr="00C37F01">
        <w:rPr>
          <w:rFonts w:eastAsia="Calibri" w:cstheme="minorHAnsi"/>
          <w:lang w:val="en-GB" w:eastAsia="en-US"/>
        </w:rPr>
        <w:t xml:space="preserve"> Action 11</w:t>
      </w:r>
      <w:r w:rsidR="00096B3B" w:rsidRPr="00C37F01">
        <w:rPr>
          <w:rFonts w:eastAsia="Calibri" w:cstheme="minorHAnsi"/>
          <w:lang w:val="en-GB" w:eastAsia="en-US"/>
        </w:rPr>
        <w:t>.</w:t>
      </w:r>
      <w:r w:rsidR="007C6253" w:rsidRPr="00C37F01">
        <w:rPr>
          <w:rFonts w:eastAsia="Calibri" w:cstheme="minorHAnsi"/>
          <w:kern w:val="0"/>
          <w:lang w:val="en-GB" w:eastAsia="en-US"/>
          <w14:ligatures w14:val="none"/>
        </w:rPr>
        <w:t xml:space="preserve"> </w:t>
      </w:r>
      <w:r w:rsidRPr="00C37F01">
        <w:rPr>
          <w:rFonts w:eastAsia="Calibri" w:cstheme="minorHAnsi"/>
          <w:kern w:val="0"/>
          <w:lang w:val="en-GB" w:eastAsia="en-US"/>
          <w14:ligatures w14:val="none"/>
        </w:rPr>
        <w:t>However, culture remains sidelined in discussions and policies on the financing of sustainable development</w:t>
      </w:r>
      <w:r w:rsidR="00646A17" w:rsidRPr="00C37F01">
        <w:rPr>
          <w:rFonts w:eastAsia="Calibri" w:cstheme="minorHAnsi"/>
          <w:kern w:val="0"/>
          <w:lang w:val="en-GB" w:eastAsia="en-US"/>
          <w14:ligatures w14:val="none"/>
        </w:rPr>
        <w:t>.</w:t>
      </w:r>
      <w:r w:rsidRPr="00C37F01">
        <w:rPr>
          <w:rFonts w:eastAsia="Calibri" w:cstheme="minorHAnsi"/>
          <w:kern w:val="0"/>
          <w:lang w:val="en-GB" w:eastAsia="en-US"/>
          <w14:ligatures w14:val="none"/>
        </w:rPr>
        <w:t xml:space="preserve"> </w:t>
      </w:r>
      <w:r w:rsidR="00E6241A" w:rsidRPr="00C37F01">
        <w:rPr>
          <w:rFonts w:eastAsia="Calibri" w:cstheme="minorHAnsi"/>
          <w:lang w:val="en-GB" w:eastAsia="en-US"/>
        </w:rPr>
        <w:t xml:space="preserve">A more systematic integration of culture into </w:t>
      </w:r>
      <w:r w:rsidR="00E6241A" w:rsidRPr="00C37F01">
        <w:rPr>
          <w:rFonts w:eastAsia="Calibri" w:cstheme="minorHAnsi"/>
          <w:kern w:val="0"/>
          <w:lang w:val="en-GB" w:eastAsia="en-US"/>
          <w14:ligatures w14:val="none"/>
        </w:rPr>
        <w:t>the financing of sustainable development</w:t>
      </w:r>
      <w:r w:rsidR="00E6241A" w:rsidRPr="00C37F01">
        <w:rPr>
          <w:rFonts w:eastAsia="Calibri" w:cstheme="minorHAnsi"/>
          <w:lang w:val="en-GB" w:eastAsia="en-US"/>
        </w:rPr>
        <w:t xml:space="preserve"> </w:t>
      </w:r>
      <w:r w:rsidR="007C6253" w:rsidRPr="00C37F01">
        <w:rPr>
          <w:rFonts w:eastAsia="Calibri" w:cstheme="minorHAnsi"/>
          <w:kern w:val="0"/>
          <w:lang w:val="en-GB" w:eastAsia="en-US"/>
          <w14:ligatures w14:val="none"/>
        </w:rPr>
        <w:t xml:space="preserve">would </w:t>
      </w:r>
      <w:r w:rsidR="00C2210D" w:rsidRPr="00C37F01">
        <w:rPr>
          <w:rFonts w:eastAsia="Calibri" w:cstheme="minorHAnsi"/>
          <w:kern w:val="0"/>
          <w:lang w:val="en-GB" w:eastAsia="en-US"/>
          <w14:ligatures w14:val="none"/>
        </w:rPr>
        <w:t xml:space="preserve">also </w:t>
      </w:r>
      <w:r w:rsidR="007C6253" w:rsidRPr="00C37F01">
        <w:rPr>
          <w:rFonts w:eastAsia="Calibri" w:cstheme="minorHAnsi"/>
          <w:kern w:val="0"/>
          <w:lang w:val="en-GB" w:eastAsia="en-US"/>
          <w14:ligatures w14:val="none"/>
        </w:rPr>
        <w:t>directly contribute to the acceleration of the implementation of the 2030 Agenda for Sustainable Development and the achievement of the SDGs, as well as to advance inclusive sustainable development in the post-2030 agenda</w:t>
      </w:r>
      <w:r w:rsidR="000F61D8" w:rsidRPr="00C37F01">
        <w:rPr>
          <w:rFonts w:eastAsia="Calibri" w:cstheme="minorHAnsi"/>
          <w:kern w:val="0"/>
          <w:lang w:val="en-GB" w:eastAsia="en-US"/>
          <w14:ligatures w14:val="none"/>
        </w:rPr>
        <w:t>,</w:t>
      </w:r>
      <w:r w:rsidR="007C6253" w:rsidRPr="00C37F01">
        <w:rPr>
          <w:rFonts w:eastAsia="Calibri" w:cstheme="minorHAnsi"/>
          <w:kern w:val="0"/>
          <w:lang w:val="en-GB" w:eastAsia="en-US"/>
          <w14:ligatures w14:val="none"/>
        </w:rPr>
        <w:t xml:space="preserve"> </w:t>
      </w:r>
      <w:r w:rsidR="00790E59" w:rsidRPr="00C37F01">
        <w:rPr>
          <w:rFonts w:eastAsia="Calibri" w:cstheme="minorHAnsi"/>
          <w:kern w:val="0"/>
          <w:lang w:val="en-GB" w:eastAsia="en-US"/>
          <w14:ligatures w14:val="none"/>
        </w:rPr>
        <w:t xml:space="preserve">including through culture </w:t>
      </w:r>
      <w:r w:rsidR="007C6253" w:rsidRPr="00C37F01">
        <w:rPr>
          <w:rFonts w:eastAsia="Calibri" w:cstheme="minorHAnsi"/>
          <w:kern w:val="0"/>
          <w:lang w:val="en-GB" w:eastAsia="en-US"/>
          <w14:ligatures w14:val="none"/>
        </w:rPr>
        <w:t>as a stand</w:t>
      </w:r>
      <w:r w:rsidR="00C635F3" w:rsidRPr="00C37F01">
        <w:rPr>
          <w:rFonts w:eastAsia="Calibri" w:cstheme="minorHAnsi"/>
          <w:kern w:val="0"/>
          <w:lang w:val="en-GB" w:eastAsia="en-US"/>
          <w14:ligatures w14:val="none"/>
        </w:rPr>
        <w:t>-</w:t>
      </w:r>
      <w:r w:rsidR="007C6253" w:rsidRPr="00C37F01">
        <w:rPr>
          <w:rFonts w:eastAsia="Calibri" w:cstheme="minorHAnsi"/>
          <w:kern w:val="0"/>
          <w:lang w:val="en-GB" w:eastAsia="en-US"/>
          <w14:ligatures w14:val="none"/>
        </w:rPr>
        <w:t>alone goal.</w:t>
      </w:r>
      <w:r w:rsidR="00F61F35" w:rsidRPr="00C37F01">
        <w:rPr>
          <w:rFonts w:eastAsia="Calibri" w:cstheme="minorHAnsi"/>
          <w:kern w:val="0"/>
          <w:lang w:val="en-GB" w:eastAsia="en-US"/>
          <w14:ligatures w14:val="none"/>
        </w:rPr>
        <w:t xml:space="preserve"> </w:t>
      </w:r>
    </w:p>
    <w:p w14:paraId="2E1E45A5" w14:textId="77777777" w:rsidR="00C37F01" w:rsidRDefault="006E3A2C" w:rsidP="00C37F01">
      <w:pPr>
        <w:pStyle w:val="ListParagraph"/>
        <w:numPr>
          <w:ilvl w:val="0"/>
          <w:numId w:val="22"/>
        </w:numPr>
        <w:spacing w:line="276" w:lineRule="auto"/>
        <w:jc w:val="both"/>
        <w:rPr>
          <w:rFonts w:eastAsia="Calibri" w:cstheme="minorHAnsi"/>
          <w:kern w:val="0"/>
          <w:lang w:val="en-GB" w:eastAsia="en-US"/>
          <w14:ligatures w14:val="none"/>
        </w:rPr>
      </w:pPr>
      <w:r w:rsidRPr="00C37F01">
        <w:rPr>
          <w:rFonts w:eastAsia="Calibri" w:cstheme="minorHAnsi"/>
          <w:kern w:val="0"/>
          <w:lang w:val="en-GB" w:eastAsia="en-US"/>
          <w14:ligatures w14:val="none"/>
        </w:rPr>
        <w:t>Financing the cultural sector</w:t>
      </w:r>
      <w:r w:rsidR="00BC5E3F" w:rsidRPr="00C37F01">
        <w:rPr>
          <w:rFonts w:eastAsia="Calibri" w:cstheme="minorHAnsi"/>
          <w:kern w:val="0"/>
          <w:lang w:val="en-GB" w:eastAsia="en-US"/>
          <w14:ligatures w14:val="none"/>
        </w:rPr>
        <w:t xml:space="preserve"> – </w:t>
      </w:r>
      <w:r w:rsidRPr="00C37F01">
        <w:rPr>
          <w:rFonts w:eastAsia="Calibri" w:cstheme="minorHAnsi"/>
          <w:kern w:val="0"/>
          <w:lang w:val="en-GB" w:eastAsia="en-US"/>
          <w14:ligatures w14:val="none"/>
        </w:rPr>
        <w:t xml:space="preserve">including the </w:t>
      </w:r>
      <w:r w:rsidR="00DF7680" w:rsidRPr="00C37F01">
        <w:rPr>
          <w:rFonts w:eastAsia="Calibri" w:cstheme="minorHAnsi"/>
          <w:kern w:val="0"/>
          <w:lang w:val="en-GB" w:eastAsia="en-US"/>
          <w14:ligatures w14:val="none"/>
        </w:rPr>
        <w:t xml:space="preserve">ecosystems of the </w:t>
      </w:r>
      <w:r w:rsidRPr="00C37F01">
        <w:rPr>
          <w:rFonts w:eastAsia="Calibri" w:cstheme="minorHAnsi"/>
          <w:kern w:val="0"/>
          <w:lang w:val="en-GB" w:eastAsia="en-US"/>
          <w14:ligatures w14:val="none"/>
        </w:rPr>
        <w:t>creative industries</w:t>
      </w:r>
      <w:r w:rsidR="00EF6A09" w:rsidRPr="00C37F01">
        <w:rPr>
          <w:rFonts w:eastAsia="Calibri" w:cstheme="minorHAnsi"/>
          <w:kern w:val="0"/>
          <w:lang w:val="en-GB" w:eastAsia="en-US"/>
          <w14:ligatures w14:val="none"/>
        </w:rPr>
        <w:t xml:space="preserve"> and </w:t>
      </w:r>
      <w:r w:rsidRPr="00C37F01">
        <w:rPr>
          <w:rFonts w:eastAsia="Calibri" w:cstheme="minorHAnsi"/>
          <w:kern w:val="0"/>
          <w:lang w:val="en-GB" w:eastAsia="en-US"/>
          <w14:ligatures w14:val="none"/>
        </w:rPr>
        <w:t>cultural heritage</w:t>
      </w:r>
      <w:r w:rsidR="00B17ECD" w:rsidRPr="00C37F01">
        <w:rPr>
          <w:rFonts w:eastAsia="Calibri" w:cstheme="minorHAnsi"/>
          <w:kern w:val="0"/>
          <w:lang w:val="en-GB" w:eastAsia="en-US"/>
          <w14:ligatures w14:val="none"/>
        </w:rPr>
        <w:t xml:space="preserve"> </w:t>
      </w:r>
      <w:r w:rsidR="00BC5E3F" w:rsidRPr="00C37F01">
        <w:rPr>
          <w:rFonts w:eastAsia="Calibri" w:cstheme="minorHAnsi"/>
          <w:kern w:val="0"/>
          <w:lang w:val="en-GB" w:eastAsia="en-US"/>
          <w14:ligatures w14:val="none"/>
        </w:rPr>
        <w:t xml:space="preserve">– </w:t>
      </w:r>
      <w:r w:rsidRPr="00C37F01">
        <w:rPr>
          <w:rFonts w:eastAsia="Calibri" w:cstheme="minorHAnsi"/>
          <w:kern w:val="0"/>
          <w:lang w:val="en-GB" w:eastAsia="en-US"/>
          <w14:ligatures w14:val="none"/>
        </w:rPr>
        <w:t>means investing in the foundations of resilient societies, fostering inclusive economic growth and social cohesion for lasting peace.</w:t>
      </w:r>
      <w:r w:rsidR="00E6241A" w:rsidRPr="00C37F01">
        <w:rPr>
          <w:rFonts w:eastAsia="Calibri" w:cstheme="minorHAnsi"/>
          <w:kern w:val="0"/>
          <w:lang w:val="en-GB" w:eastAsia="en-US"/>
          <w14:ligatures w14:val="none"/>
        </w:rPr>
        <w:t xml:space="preserve"> Culture should therefore become a more central consideration in policymaking and the allocation of funds across domestic public resources, private sector investments and financing, international development cooperation and trade.</w:t>
      </w:r>
    </w:p>
    <w:p w14:paraId="0B1B846B" w14:textId="77777777" w:rsidR="00C37F01" w:rsidRDefault="00337712" w:rsidP="00C37F01">
      <w:pPr>
        <w:pStyle w:val="ListParagraph"/>
        <w:numPr>
          <w:ilvl w:val="0"/>
          <w:numId w:val="22"/>
        </w:numPr>
        <w:spacing w:line="276" w:lineRule="auto"/>
        <w:jc w:val="both"/>
        <w:rPr>
          <w:rFonts w:eastAsia="Calibri" w:cstheme="minorHAnsi"/>
          <w:kern w:val="0"/>
          <w:lang w:val="en-GB" w:eastAsia="en-US"/>
          <w14:ligatures w14:val="none"/>
        </w:rPr>
      </w:pPr>
      <w:r w:rsidRPr="00C37F01">
        <w:rPr>
          <w:rFonts w:eastAsia="Calibri" w:cstheme="minorHAnsi"/>
          <w:kern w:val="0"/>
          <w:lang w:val="en-GB" w:eastAsia="en-US"/>
          <w14:ligatures w14:val="none"/>
        </w:rPr>
        <w:t>The unanimously adopted Declaration during the UNESCO World Conference on Cultural Policies and Sustainable Development – MONDIACULT 2022 –</w:t>
      </w:r>
      <w:r w:rsidR="00802C40" w:rsidRPr="00C37F01">
        <w:rPr>
          <w:rFonts w:eastAsia="Calibri" w:cstheme="minorHAnsi"/>
          <w:kern w:val="0"/>
          <w:lang w:val="en-GB" w:eastAsia="en-US"/>
          <w14:ligatures w14:val="none"/>
        </w:rPr>
        <w:t xml:space="preserve"> </w:t>
      </w:r>
      <w:r w:rsidRPr="00C37F01">
        <w:rPr>
          <w:rFonts w:eastAsia="Calibri" w:cstheme="minorHAnsi"/>
          <w:kern w:val="0"/>
          <w:lang w:val="en-GB" w:eastAsia="en-US"/>
          <w14:ligatures w14:val="none"/>
        </w:rPr>
        <w:t xml:space="preserve">called for </w:t>
      </w:r>
      <w:r w:rsidR="00802C40" w:rsidRPr="00C37F01">
        <w:rPr>
          <w:rFonts w:eastAsia="Calibri" w:cstheme="minorHAnsi"/>
          <w:kern w:val="0"/>
          <w:lang w:val="en-GB" w:eastAsia="en-US"/>
          <w14:ligatures w14:val="none"/>
        </w:rPr>
        <w:t xml:space="preserve">the </w:t>
      </w:r>
      <w:r w:rsidRPr="00C37F01">
        <w:rPr>
          <w:rFonts w:eastAsia="Calibri" w:cstheme="minorHAnsi"/>
          <w:kern w:val="0"/>
          <w:lang w:val="en-GB" w:eastAsia="en-US"/>
          <w14:ligatures w14:val="none"/>
        </w:rPr>
        <w:t xml:space="preserve">inclusion </w:t>
      </w:r>
      <w:r w:rsidR="00802C40" w:rsidRPr="00C37F01">
        <w:rPr>
          <w:rFonts w:eastAsia="Calibri" w:cstheme="minorHAnsi"/>
          <w:kern w:val="0"/>
          <w:lang w:val="en-GB" w:eastAsia="en-US"/>
          <w14:ligatures w14:val="none"/>
        </w:rPr>
        <w:t xml:space="preserve">of culture </w:t>
      </w:r>
      <w:r w:rsidRPr="00C37F01">
        <w:rPr>
          <w:rFonts w:eastAsia="Calibri" w:cstheme="minorHAnsi"/>
          <w:kern w:val="0"/>
          <w:lang w:val="en-GB" w:eastAsia="en-US"/>
          <w14:ligatures w14:val="none"/>
        </w:rPr>
        <w:t>as a stand-alone goal in the post-2030 international development agenda</w:t>
      </w:r>
      <w:r w:rsidR="00802C40" w:rsidRPr="00C37F01">
        <w:rPr>
          <w:rFonts w:eastAsia="Calibri" w:cstheme="minorHAnsi"/>
          <w:kern w:val="0"/>
          <w:lang w:val="en-GB" w:eastAsia="en-US"/>
          <w14:ligatures w14:val="none"/>
        </w:rPr>
        <w:t xml:space="preserve">, and </w:t>
      </w:r>
      <w:r w:rsidRPr="00C37F01">
        <w:rPr>
          <w:rFonts w:eastAsia="Calibri" w:cstheme="minorHAnsi"/>
          <w:kern w:val="0"/>
          <w:lang w:val="en-GB" w:eastAsia="en-US"/>
          <w14:ligatures w14:val="none"/>
        </w:rPr>
        <w:t>for enhanced action to address priority areas for cultural policy: (</w:t>
      </w:r>
      <w:proofErr w:type="spellStart"/>
      <w:r w:rsidRPr="00C37F01">
        <w:rPr>
          <w:rFonts w:eastAsia="Calibri" w:cstheme="minorHAnsi"/>
          <w:kern w:val="0"/>
          <w:lang w:val="en-GB" w:eastAsia="en-US"/>
          <w14:ligatures w14:val="none"/>
        </w:rPr>
        <w:t>i</w:t>
      </w:r>
      <w:proofErr w:type="spellEnd"/>
      <w:r w:rsidRPr="00C37F01">
        <w:rPr>
          <w:rFonts w:eastAsia="Calibri" w:cstheme="minorHAnsi"/>
          <w:kern w:val="0"/>
          <w:lang w:val="en-GB" w:eastAsia="en-US"/>
          <w14:ligatures w14:val="none"/>
        </w:rPr>
        <w:t>) Cultural rights, (ii) Digital Technologies in the Culture Sector, (iii) Culture and Climate Action, (iv) Economy of Culture, (v) Culture and Heritage in Crisis, and (vi) Culture and Education.</w:t>
      </w:r>
    </w:p>
    <w:p w14:paraId="7FFF1280" w14:textId="157561CC" w:rsidR="00934933" w:rsidRPr="00C37F01" w:rsidRDefault="00B9214B" w:rsidP="00C37F01">
      <w:pPr>
        <w:pStyle w:val="ListParagraph"/>
        <w:numPr>
          <w:ilvl w:val="0"/>
          <w:numId w:val="22"/>
        </w:numPr>
        <w:spacing w:line="276" w:lineRule="auto"/>
        <w:jc w:val="both"/>
        <w:rPr>
          <w:rFonts w:eastAsia="Calibri" w:cstheme="minorHAnsi"/>
          <w:kern w:val="0"/>
          <w:lang w:val="en-GB" w:eastAsia="en-US"/>
          <w14:ligatures w14:val="none"/>
        </w:rPr>
      </w:pPr>
      <w:r w:rsidRPr="00C37F01">
        <w:rPr>
          <w:rFonts w:eastAsia="Calibri" w:cstheme="minorHAnsi"/>
          <w:kern w:val="0"/>
          <w:lang w:val="en-GB" w:eastAsia="en-US"/>
          <w14:ligatures w14:val="none"/>
        </w:rPr>
        <w:t>The Fourth Conference on Financing for Development should serve as an opportunity for Member States and relevant stakeholders to discuss concrete policy actions needed to effectively address challenges and close gaps in financing sustainable development through culture</w:t>
      </w:r>
      <w:r w:rsidR="00DF548D" w:rsidRPr="00C37F01">
        <w:rPr>
          <w:rFonts w:eastAsia="Calibri" w:cstheme="minorHAnsi"/>
          <w:kern w:val="0"/>
          <w:lang w:val="en-GB" w:eastAsia="en-US"/>
          <w14:ligatures w14:val="none"/>
        </w:rPr>
        <w:t xml:space="preserve">, including in view of </w:t>
      </w:r>
      <w:r w:rsidR="000603EF" w:rsidRPr="00C37F01">
        <w:rPr>
          <w:rFonts w:eastAsia="Calibri" w:cstheme="minorHAnsi"/>
          <w:kern w:val="0"/>
          <w:lang w:val="en-GB" w:eastAsia="en-US"/>
          <w14:ligatures w14:val="none"/>
        </w:rPr>
        <w:t>MONDIACULT 2025</w:t>
      </w:r>
      <w:r w:rsidR="003A1819" w:rsidRPr="00C37F01">
        <w:rPr>
          <w:rFonts w:eastAsia="Calibri" w:cstheme="minorHAnsi"/>
          <w:kern w:val="0"/>
          <w:lang w:val="en-GB" w:eastAsia="en-US"/>
          <w14:ligatures w14:val="none"/>
        </w:rPr>
        <w:t xml:space="preserve"> (September 2025, Barcelona, Spain)</w:t>
      </w:r>
      <w:r w:rsidRPr="00C37F01">
        <w:rPr>
          <w:rFonts w:eastAsia="Calibri" w:cstheme="minorHAnsi"/>
          <w:kern w:val="0"/>
          <w:lang w:val="en-GB" w:eastAsia="en-US"/>
          <w14:ligatures w14:val="none"/>
        </w:rPr>
        <w:t xml:space="preserve">. </w:t>
      </w:r>
      <w:bookmarkStart w:id="0" w:name="_Hlk179793978"/>
      <w:r w:rsidRPr="00C37F01">
        <w:rPr>
          <w:rFonts w:eastAsia="Calibri" w:cstheme="minorHAnsi"/>
          <w:kern w:val="0"/>
          <w:lang w:val="en-GB" w:eastAsia="en-US"/>
          <w14:ligatures w14:val="none"/>
        </w:rPr>
        <w:t xml:space="preserve">This </w:t>
      </w:r>
      <w:r w:rsidR="004B2FF4" w:rsidRPr="00C37F01">
        <w:rPr>
          <w:rFonts w:eastAsia="Calibri" w:cstheme="minorHAnsi"/>
          <w:kern w:val="0"/>
          <w:lang w:val="en-GB" w:eastAsia="en-US"/>
          <w14:ligatures w14:val="none"/>
        </w:rPr>
        <w:t>requires increased policy engagement</w:t>
      </w:r>
      <w:r w:rsidRPr="00C37F01">
        <w:rPr>
          <w:rFonts w:eastAsia="Calibri" w:cstheme="minorHAnsi"/>
          <w:kern w:val="0"/>
          <w:lang w:val="en-GB" w:eastAsia="en-US"/>
          <w14:ligatures w14:val="none"/>
        </w:rPr>
        <w:t xml:space="preserve"> to </w:t>
      </w:r>
      <w:r w:rsidR="004E1712" w:rsidRPr="00C37F01">
        <w:rPr>
          <w:rFonts w:eastAsia="Calibri" w:cstheme="minorHAnsi"/>
          <w:kern w:val="0"/>
          <w:lang w:val="en-GB" w:eastAsia="en-US"/>
          <w14:ligatures w14:val="none"/>
        </w:rPr>
        <w:t>enhance</w:t>
      </w:r>
      <w:r w:rsidRPr="00C37F01">
        <w:rPr>
          <w:rFonts w:eastAsia="Calibri" w:cstheme="minorHAnsi"/>
          <w:kern w:val="0"/>
          <w:lang w:val="en-GB" w:eastAsia="en-US"/>
          <w14:ligatures w14:val="none"/>
        </w:rPr>
        <w:t xml:space="preserve"> </w:t>
      </w:r>
      <w:r w:rsidR="007B42B2" w:rsidRPr="00C37F01">
        <w:rPr>
          <w:rFonts w:eastAsia="Calibri" w:cstheme="minorHAnsi"/>
          <w:kern w:val="0"/>
          <w:lang w:val="en-GB" w:eastAsia="en-US"/>
          <w14:ligatures w14:val="none"/>
        </w:rPr>
        <w:t xml:space="preserve">strategic </w:t>
      </w:r>
      <w:r w:rsidRPr="00C37F01">
        <w:rPr>
          <w:rFonts w:eastAsia="Calibri" w:cstheme="minorHAnsi"/>
          <w:kern w:val="0"/>
          <w:lang w:val="en-GB" w:eastAsia="en-US"/>
          <w14:ligatures w14:val="none"/>
        </w:rPr>
        <w:t xml:space="preserve">public </w:t>
      </w:r>
      <w:r w:rsidR="00747E4C" w:rsidRPr="00C37F01">
        <w:rPr>
          <w:rFonts w:eastAsia="Calibri" w:cstheme="minorHAnsi"/>
          <w:kern w:val="0"/>
          <w:lang w:val="en-GB" w:eastAsia="en-US"/>
          <w14:ligatures w14:val="none"/>
        </w:rPr>
        <w:t xml:space="preserve">investments </w:t>
      </w:r>
      <w:r w:rsidR="00F512B4" w:rsidRPr="00C37F01">
        <w:rPr>
          <w:rFonts w:eastAsia="Calibri" w:cstheme="minorHAnsi"/>
          <w:kern w:val="0"/>
          <w:lang w:val="en-GB" w:eastAsia="en-US"/>
          <w14:ligatures w14:val="none"/>
        </w:rPr>
        <w:t>in</w:t>
      </w:r>
      <w:r w:rsidRPr="00C37F01">
        <w:rPr>
          <w:rFonts w:eastAsia="Calibri" w:cstheme="minorHAnsi"/>
          <w:kern w:val="0"/>
          <w:lang w:val="en-GB" w:eastAsia="en-US"/>
          <w14:ligatures w14:val="none"/>
        </w:rPr>
        <w:t xml:space="preserve"> </w:t>
      </w:r>
      <w:proofErr w:type="gramStart"/>
      <w:r w:rsidRPr="00C37F01">
        <w:rPr>
          <w:rFonts w:eastAsia="Calibri" w:cstheme="minorHAnsi"/>
          <w:kern w:val="0"/>
          <w:lang w:val="en-GB" w:eastAsia="en-US"/>
          <w14:ligatures w14:val="none"/>
        </w:rPr>
        <w:t>culture</w:t>
      </w:r>
      <w:proofErr w:type="gramEnd"/>
      <w:r w:rsidR="001F1290" w:rsidRPr="00C37F01">
        <w:rPr>
          <w:rFonts w:eastAsia="Calibri" w:cstheme="minorHAnsi"/>
          <w:kern w:val="0"/>
          <w:lang w:val="en-GB" w:eastAsia="en-US"/>
          <w14:ligatures w14:val="none"/>
        </w:rPr>
        <w:t xml:space="preserve"> when possible</w:t>
      </w:r>
      <w:bookmarkEnd w:id="0"/>
      <w:r w:rsidRPr="00C37F01">
        <w:rPr>
          <w:rFonts w:eastAsia="Calibri" w:cstheme="minorHAnsi"/>
          <w:kern w:val="0"/>
          <w:lang w:val="en-GB" w:eastAsia="en-US"/>
          <w14:ligatures w14:val="none"/>
        </w:rPr>
        <w:t xml:space="preserve">, establish enabling environments that incentivize private businesses to invest in culture, </w:t>
      </w:r>
      <w:r w:rsidR="007B1E34" w:rsidRPr="00C37F01">
        <w:rPr>
          <w:rFonts w:eastAsia="Calibri" w:cstheme="minorHAnsi"/>
          <w:kern w:val="0"/>
          <w:lang w:val="en-GB" w:eastAsia="en-US"/>
          <w14:ligatures w14:val="none"/>
        </w:rPr>
        <w:t>promote</w:t>
      </w:r>
      <w:r w:rsidR="0094218E" w:rsidRPr="00C37F01">
        <w:rPr>
          <w:rFonts w:eastAsia="Calibri" w:cstheme="minorHAnsi"/>
          <w:kern w:val="0"/>
          <w:lang w:val="en-GB" w:eastAsia="en-US"/>
          <w14:ligatures w14:val="none"/>
        </w:rPr>
        <w:t xml:space="preserve"> the financing </w:t>
      </w:r>
      <w:r w:rsidR="007B1E34" w:rsidRPr="00C37F01">
        <w:rPr>
          <w:rFonts w:eastAsia="Calibri" w:cstheme="minorHAnsi"/>
          <w:kern w:val="0"/>
          <w:lang w:val="en-GB" w:eastAsia="en-US"/>
          <w14:ligatures w14:val="none"/>
        </w:rPr>
        <w:t xml:space="preserve">of </w:t>
      </w:r>
      <w:r w:rsidR="006D0765" w:rsidRPr="00C37F01">
        <w:rPr>
          <w:rFonts w:eastAsia="Calibri" w:cstheme="minorHAnsi"/>
          <w:kern w:val="0"/>
          <w:lang w:val="en-GB" w:eastAsia="en-US"/>
          <w14:ligatures w14:val="none"/>
        </w:rPr>
        <w:t xml:space="preserve">culture for </w:t>
      </w:r>
      <w:r w:rsidR="007B1E34" w:rsidRPr="00C37F01">
        <w:rPr>
          <w:rFonts w:eastAsia="Calibri" w:cstheme="minorHAnsi"/>
          <w:kern w:val="0"/>
          <w:lang w:val="en-GB" w:eastAsia="en-US"/>
          <w14:ligatures w14:val="none"/>
        </w:rPr>
        <w:t xml:space="preserve">development by </w:t>
      </w:r>
      <w:r w:rsidR="00CF5932" w:rsidRPr="00C37F01">
        <w:rPr>
          <w:rFonts w:eastAsia="Calibri" w:cstheme="minorHAnsi"/>
          <w:kern w:val="0"/>
          <w:lang w:val="en-GB" w:eastAsia="en-US"/>
          <w14:ligatures w14:val="none"/>
        </w:rPr>
        <w:t>international financ</w:t>
      </w:r>
      <w:r w:rsidR="00150503" w:rsidRPr="00C37F01">
        <w:rPr>
          <w:rFonts w:eastAsia="Calibri" w:cstheme="minorHAnsi"/>
          <w:kern w:val="0"/>
          <w:lang w:val="en-GB" w:eastAsia="en-US"/>
          <w14:ligatures w14:val="none"/>
        </w:rPr>
        <w:t>ial</w:t>
      </w:r>
      <w:r w:rsidR="00CF5932" w:rsidRPr="00C37F01">
        <w:rPr>
          <w:rFonts w:eastAsia="Calibri" w:cstheme="minorHAnsi"/>
          <w:kern w:val="0"/>
          <w:lang w:val="en-GB" w:eastAsia="en-US"/>
          <w14:ligatures w14:val="none"/>
        </w:rPr>
        <w:t xml:space="preserve"> institutions</w:t>
      </w:r>
      <w:r w:rsidR="0094218E" w:rsidRPr="00C37F01">
        <w:rPr>
          <w:rFonts w:eastAsia="Calibri" w:cstheme="minorHAnsi"/>
          <w:kern w:val="0"/>
          <w:lang w:val="en-GB" w:eastAsia="en-US"/>
          <w14:ligatures w14:val="none"/>
        </w:rPr>
        <w:t>,</w:t>
      </w:r>
      <w:r w:rsidR="007B1E34" w:rsidRPr="00C37F01">
        <w:rPr>
          <w:rFonts w:eastAsia="Calibri" w:cstheme="minorHAnsi"/>
          <w:kern w:val="0"/>
          <w:lang w:val="en-GB" w:eastAsia="en-US"/>
          <w14:ligatures w14:val="none"/>
        </w:rPr>
        <w:t xml:space="preserve"> </w:t>
      </w:r>
      <w:r w:rsidRPr="00C37F01">
        <w:rPr>
          <w:rFonts w:eastAsia="Calibri" w:cstheme="minorHAnsi"/>
          <w:kern w:val="0"/>
          <w:lang w:val="en-GB" w:eastAsia="en-US"/>
          <w14:ligatures w14:val="none"/>
        </w:rPr>
        <w:t>and enhance data collection in the cultural sector to improve its financing.</w:t>
      </w:r>
    </w:p>
    <w:p w14:paraId="2FEAB6DD" w14:textId="72C84D0E" w:rsidR="00934933" w:rsidRPr="00C37F01" w:rsidRDefault="00174569" w:rsidP="00C37F01">
      <w:pPr>
        <w:pStyle w:val="Heading2"/>
        <w:spacing w:before="0" w:line="240" w:lineRule="auto"/>
        <w:rPr>
          <w:b/>
          <w:bCs/>
        </w:rPr>
      </w:pPr>
      <w:r w:rsidRPr="00C37F01">
        <w:rPr>
          <w:b/>
          <w:bCs/>
        </w:rPr>
        <w:t>Problem statement</w:t>
      </w:r>
    </w:p>
    <w:p w14:paraId="5FF3B0A0" w14:textId="7B8EE86C" w:rsidR="00830BF6" w:rsidRPr="00C37F01" w:rsidRDefault="00B90691" w:rsidP="00DF20DC">
      <w:pPr>
        <w:spacing w:line="276" w:lineRule="auto"/>
        <w:jc w:val="both"/>
        <w:rPr>
          <w:rFonts w:eastAsia="Calibri" w:cstheme="minorHAnsi"/>
          <w:kern w:val="0"/>
          <w:lang w:val="en-GB" w:eastAsia="en-US"/>
          <w14:ligatures w14:val="none"/>
        </w:rPr>
      </w:pPr>
      <w:r w:rsidRPr="00C37F01">
        <w:rPr>
          <w:rFonts w:eastAsia="Calibri" w:cstheme="minorHAnsi"/>
          <w:kern w:val="0"/>
          <w:lang w:val="en-GB" w:eastAsia="en-US"/>
          <w14:ligatures w14:val="none"/>
        </w:rPr>
        <w:t xml:space="preserve">The integration of culture into sustainable development plans, </w:t>
      </w:r>
      <w:r w:rsidR="0071249D" w:rsidRPr="00C37F01">
        <w:rPr>
          <w:rFonts w:eastAsia="Calibri" w:cstheme="minorHAnsi"/>
          <w:kern w:val="0"/>
          <w:lang w:val="en-GB" w:eastAsia="en-US"/>
          <w14:ligatures w14:val="none"/>
        </w:rPr>
        <w:t>including into</w:t>
      </w:r>
      <w:r w:rsidRPr="00C37F01">
        <w:rPr>
          <w:rFonts w:eastAsia="Calibri" w:cstheme="minorHAnsi"/>
          <w:kern w:val="0"/>
          <w:lang w:val="en-GB" w:eastAsia="en-US"/>
          <w14:ligatures w14:val="none"/>
        </w:rPr>
        <w:t xml:space="preserve"> their financing considerations, can promote greater localization of development efforts through context-specific</w:t>
      </w:r>
      <w:r w:rsidR="008534E0" w:rsidRPr="00C37F01">
        <w:rPr>
          <w:rFonts w:eastAsia="Calibri" w:cstheme="minorHAnsi"/>
          <w:kern w:val="0"/>
          <w:lang w:val="en-GB" w:eastAsia="en-US"/>
          <w14:ligatures w14:val="none"/>
        </w:rPr>
        <w:t xml:space="preserve">, </w:t>
      </w:r>
      <w:r w:rsidRPr="00C37F01">
        <w:rPr>
          <w:rFonts w:eastAsia="Calibri" w:cstheme="minorHAnsi"/>
          <w:kern w:val="0"/>
          <w:lang w:val="en-GB" w:eastAsia="en-US"/>
          <w14:ligatures w14:val="none"/>
        </w:rPr>
        <w:t>people-</w:t>
      </w:r>
      <w:r w:rsidR="0030417B" w:rsidRPr="00C37F01">
        <w:rPr>
          <w:rFonts w:eastAsia="Calibri" w:cstheme="minorHAnsi"/>
          <w:kern w:val="0"/>
          <w:lang w:val="en-GB" w:eastAsia="en-US"/>
          <w14:ligatures w14:val="none"/>
        </w:rPr>
        <w:t>centred</w:t>
      </w:r>
      <w:r w:rsidRPr="00C37F01">
        <w:rPr>
          <w:rFonts w:eastAsia="Calibri" w:cstheme="minorHAnsi"/>
          <w:kern w:val="0"/>
          <w:lang w:val="en-GB" w:eastAsia="en-US"/>
          <w14:ligatures w14:val="none"/>
        </w:rPr>
        <w:t xml:space="preserve"> approaches.</w:t>
      </w:r>
      <w:r w:rsidR="0071249D" w:rsidRPr="00C37F01">
        <w:rPr>
          <w:rFonts w:eastAsia="Calibri" w:cstheme="minorHAnsi"/>
          <w:kern w:val="0"/>
          <w:lang w:val="en-GB" w:eastAsia="en-US"/>
          <w14:ligatures w14:val="none"/>
        </w:rPr>
        <w:t xml:space="preserve"> </w:t>
      </w:r>
      <w:r w:rsidR="00830BF6" w:rsidRPr="00C37F01">
        <w:rPr>
          <w:rFonts w:eastAsia="Calibri" w:cstheme="minorHAnsi"/>
          <w:kern w:val="0"/>
          <w:lang w:val="en-GB" w:eastAsia="en-US"/>
          <w14:ligatures w14:val="none"/>
        </w:rPr>
        <w:t xml:space="preserve">The UN Secretary-General’s </w:t>
      </w:r>
      <w:r w:rsidR="00C259FB" w:rsidRPr="00C37F01">
        <w:rPr>
          <w:rFonts w:eastAsia="Calibri" w:cstheme="minorHAnsi"/>
          <w:kern w:val="0"/>
          <w:lang w:val="en-GB" w:eastAsia="en-US"/>
          <w14:ligatures w14:val="none"/>
        </w:rPr>
        <w:t>report</w:t>
      </w:r>
      <w:r w:rsidR="00830BF6" w:rsidRPr="00C37F01">
        <w:rPr>
          <w:rFonts w:eastAsia="Calibri" w:cstheme="minorHAnsi"/>
          <w:kern w:val="0"/>
          <w:lang w:val="en-GB" w:eastAsia="en-US"/>
          <w14:ligatures w14:val="none"/>
        </w:rPr>
        <w:t xml:space="preserve"> </w:t>
      </w:r>
      <w:r w:rsidR="00830BF6" w:rsidRPr="00C37F01">
        <w:rPr>
          <w:rFonts w:eastAsia="Calibri" w:cstheme="minorHAnsi"/>
          <w:i/>
          <w:iCs/>
          <w:kern w:val="0"/>
          <w:lang w:val="en-GB" w:eastAsia="en-US"/>
          <w14:ligatures w14:val="none"/>
        </w:rPr>
        <w:t>Rescue Plan for People and Planet</w:t>
      </w:r>
      <w:r w:rsidR="00830BF6" w:rsidRPr="00C37F01">
        <w:rPr>
          <w:rFonts w:eastAsia="Calibri" w:cstheme="minorHAnsi"/>
          <w:kern w:val="0"/>
          <w:lang w:val="en-GB" w:eastAsia="en-US"/>
          <w14:ligatures w14:val="none"/>
        </w:rPr>
        <w:t xml:space="preserve"> </w:t>
      </w:r>
      <w:r w:rsidR="00927771" w:rsidRPr="00C37F01">
        <w:rPr>
          <w:rFonts w:eastAsia="Calibri" w:cstheme="minorHAnsi"/>
          <w:kern w:val="0"/>
          <w:lang w:val="en-GB" w:eastAsia="en-US"/>
          <w14:ligatures w14:val="none"/>
        </w:rPr>
        <w:t xml:space="preserve">explicitly </w:t>
      </w:r>
      <w:r w:rsidR="00830BF6" w:rsidRPr="00C37F01">
        <w:rPr>
          <w:rFonts w:eastAsia="Calibri" w:cstheme="minorHAnsi"/>
          <w:kern w:val="0"/>
          <w:lang w:val="en-GB" w:eastAsia="en-US"/>
          <w14:ligatures w14:val="none"/>
        </w:rPr>
        <w:t xml:space="preserve">calls </w:t>
      </w:r>
      <w:r w:rsidR="00830BF6" w:rsidRPr="00C37F01">
        <w:rPr>
          <w:rFonts w:eastAsia="Calibri" w:cstheme="minorHAnsi"/>
          <w:kern w:val="0"/>
          <w:lang w:val="en-GB" w:eastAsia="en-US"/>
          <w14:ligatures w14:val="none"/>
        </w:rPr>
        <w:lastRenderedPageBreak/>
        <w:t xml:space="preserve">for </w:t>
      </w:r>
      <w:r w:rsidR="00844781" w:rsidRPr="00C37F01">
        <w:rPr>
          <w:rFonts w:eastAsia="Calibri" w:cstheme="minorHAnsi"/>
          <w:kern w:val="0"/>
          <w:lang w:val="en-GB" w:eastAsia="en-US"/>
          <w14:ligatures w14:val="none"/>
        </w:rPr>
        <w:t xml:space="preserve">a </w:t>
      </w:r>
      <w:r w:rsidR="00830BF6" w:rsidRPr="00C37F01">
        <w:rPr>
          <w:rFonts w:eastAsia="Calibri" w:cstheme="minorHAnsi"/>
          <w:kern w:val="0"/>
          <w:lang w:val="en-GB" w:eastAsia="en-US"/>
          <w14:ligatures w14:val="none"/>
        </w:rPr>
        <w:t>“greater consideration of culture’s role in supporting the achievement of the Goals [that] would generate an important boost for implementation of the Goals between now and 2030”, considering “culture [as] a global public good and a critical enabler and driver of progress towards the Goals” that “serves as a source of knowledge, values and communication, as a contributor to environmental sustainability and as a generator of economic activity and jobs”</w:t>
      </w:r>
      <w:r w:rsidR="00192DEB">
        <w:rPr>
          <w:rFonts w:eastAsia="Calibri" w:cstheme="minorHAnsi"/>
          <w:kern w:val="0"/>
          <w:lang w:val="en-GB" w:eastAsia="en-US"/>
          <w14:ligatures w14:val="none"/>
        </w:rPr>
        <w:t>.</w:t>
      </w:r>
      <w:r w:rsidR="00C259FB" w:rsidRPr="00C37F01">
        <w:rPr>
          <w:rStyle w:val="FootnoteReference"/>
          <w:rFonts w:eastAsia="Calibri" w:cstheme="minorHAnsi"/>
          <w:kern w:val="0"/>
          <w:lang w:val="en-GB" w:eastAsia="en-US"/>
          <w14:ligatures w14:val="none"/>
        </w:rPr>
        <w:footnoteReference w:id="2"/>
      </w:r>
      <w:r w:rsidR="00927771" w:rsidRPr="00C37F01">
        <w:rPr>
          <w:rFonts w:eastAsia="Calibri" w:cstheme="minorHAnsi"/>
          <w:kern w:val="0"/>
          <w:lang w:val="en-GB" w:eastAsia="en-US"/>
          <w14:ligatures w14:val="none"/>
        </w:rPr>
        <w:t xml:space="preserve"> </w:t>
      </w:r>
      <w:r w:rsidR="00830BF6" w:rsidRPr="00C37F01">
        <w:rPr>
          <w:rFonts w:eastAsia="Calibri" w:cstheme="minorHAnsi"/>
          <w:kern w:val="0"/>
          <w:lang w:val="en-GB" w:eastAsia="en-US"/>
          <w14:ligatures w14:val="none"/>
        </w:rPr>
        <w:t xml:space="preserve">Similarly, the SDG 11 </w:t>
      </w:r>
      <w:r w:rsidR="000A3439" w:rsidRPr="00C37F01">
        <w:rPr>
          <w:rFonts w:eastAsia="Calibri" w:cstheme="minorHAnsi"/>
          <w:kern w:val="0"/>
          <w:lang w:val="en-GB" w:eastAsia="en-US"/>
          <w14:ligatures w14:val="none"/>
        </w:rPr>
        <w:t>synthesis report</w:t>
      </w:r>
      <w:r w:rsidR="00830BF6" w:rsidRPr="00C37F01">
        <w:rPr>
          <w:rFonts w:eastAsia="Calibri" w:cstheme="minorHAnsi"/>
          <w:kern w:val="0"/>
          <w:lang w:val="en-GB" w:eastAsia="en-US"/>
          <w14:ligatures w14:val="none"/>
        </w:rPr>
        <w:t xml:space="preserve"> submitted by UN Habitat at the 2023 High-Level Political Forum underscores the role of culture in SDG </w:t>
      </w:r>
      <w:r w:rsidR="00783D4F" w:rsidRPr="00C37F01">
        <w:rPr>
          <w:rFonts w:eastAsia="Calibri" w:cstheme="minorHAnsi"/>
          <w:kern w:val="0"/>
          <w:lang w:val="en-GB" w:eastAsia="en-US"/>
          <w14:ligatures w14:val="none"/>
        </w:rPr>
        <w:t>localization</w:t>
      </w:r>
      <w:r w:rsidR="00830BF6" w:rsidRPr="00C37F01">
        <w:rPr>
          <w:rFonts w:eastAsia="Calibri" w:cstheme="minorHAnsi"/>
          <w:kern w:val="0"/>
          <w:lang w:val="en-GB" w:eastAsia="en-US"/>
          <w14:ligatures w14:val="none"/>
        </w:rPr>
        <w:t>, noting that it has “gained traction with enhanced recognition by decisionmakers, including through greater decentralization and transfer of competences to local authorities in the field of culture”</w:t>
      </w:r>
      <w:r w:rsidR="00192DEB">
        <w:rPr>
          <w:rFonts w:eastAsia="Calibri" w:cstheme="minorHAnsi"/>
          <w:kern w:val="0"/>
          <w:lang w:val="en-GB" w:eastAsia="en-US"/>
          <w14:ligatures w14:val="none"/>
        </w:rPr>
        <w:t>.</w:t>
      </w:r>
      <w:r w:rsidR="000A3439" w:rsidRPr="00C37F01">
        <w:rPr>
          <w:rStyle w:val="FootnoteReference"/>
          <w:rFonts w:eastAsia="Calibri" w:cstheme="minorHAnsi"/>
          <w:kern w:val="0"/>
          <w:lang w:val="en-GB" w:eastAsia="en-US"/>
          <w14:ligatures w14:val="none"/>
        </w:rPr>
        <w:footnoteReference w:id="3"/>
      </w:r>
    </w:p>
    <w:p w14:paraId="494E0314" w14:textId="665053E1" w:rsidR="00126D61" w:rsidRPr="00C37F01" w:rsidRDefault="00507ED6" w:rsidP="004902B5">
      <w:pPr>
        <w:spacing w:line="276" w:lineRule="auto"/>
        <w:jc w:val="both"/>
        <w:rPr>
          <w:rFonts w:cstheme="minorHAnsi"/>
          <w:lang w:val="en-GB"/>
        </w:rPr>
      </w:pPr>
      <w:r w:rsidRPr="00C37F01">
        <w:rPr>
          <w:rFonts w:cstheme="minorHAnsi"/>
          <w:lang w:val="en-GB"/>
        </w:rPr>
        <w:t>In addition to localization, t</w:t>
      </w:r>
      <w:r w:rsidR="00294F40" w:rsidRPr="00C37F01">
        <w:rPr>
          <w:rFonts w:cstheme="minorHAnsi"/>
          <w:lang w:val="en-GB"/>
        </w:rPr>
        <w:t xml:space="preserve">he </w:t>
      </w:r>
      <w:r w:rsidRPr="00C37F01">
        <w:rPr>
          <w:rFonts w:cstheme="minorHAnsi"/>
          <w:lang w:val="en-GB"/>
        </w:rPr>
        <w:t xml:space="preserve">cultural and creative </w:t>
      </w:r>
      <w:r w:rsidR="00E82747" w:rsidRPr="00C37F01">
        <w:rPr>
          <w:rFonts w:cstheme="minorHAnsi"/>
          <w:lang w:val="en-GB"/>
        </w:rPr>
        <w:t>sector is</w:t>
      </w:r>
      <w:r w:rsidRPr="00C37F01">
        <w:rPr>
          <w:rFonts w:cstheme="minorHAnsi"/>
          <w:lang w:val="en-GB"/>
        </w:rPr>
        <w:t xml:space="preserve"> </w:t>
      </w:r>
      <w:r w:rsidR="00294F40" w:rsidRPr="00C37F01">
        <w:rPr>
          <w:rFonts w:cstheme="minorHAnsi"/>
          <w:lang w:val="en-GB"/>
        </w:rPr>
        <w:t xml:space="preserve">a crucial driver of </w:t>
      </w:r>
      <w:r w:rsidR="00870375" w:rsidRPr="00C37F01">
        <w:rPr>
          <w:rFonts w:cstheme="minorHAnsi"/>
          <w:lang w:val="en-GB"/>
        </w:rPr>
        <w:t>inclusive economic growth</w:t>
      </w:r>
      <w:r w:rsidR="00D44D3E" w:rsidRPr="00C37F01">
        <w:rPr>
          <w:rFonts w:cstheme="minorHAnsi"/>
          <w:lang w:val="en-GB"/>
        </w:rPr>
        <w:t xml:space="preserve">, </w:t>
      </w:r>
      <w:r w:rsidR="00D44D3E" w:rsidRPr="00C37F01">
        <w:rPr>
          <w:rFonts w:eastAsia="Calibri" w:cstheme="minorHAnsi"/>
          <w:kern w:val="0"/>
          <w:lang w:val="en-GB" w:eastAsia="en-US"/>
          <w14:ligatures w14:val="none"/>
        </w:rPr>
        <w:t>accounting for 3.1 per cent of GDP as of 2022</w:t>
      </w:r>
      <w:r w:rsidR="00192DEB">
        <w:rPr>
          <w:rFonts w:eastAsia="Calibri" w:cstheme="minorHAnsi"/>
          <w:kern w:val="0"/>
          <w:lang w:val="en-GB" w:eastAsia="en-US"/>
          <w14:ligatures w14:val="none"/>
        </w:rPr>
        <w:t>.</w:t>
      </w:r>
      <w:r w:rsidR="00D44D3E" w:rsidRPr="00C37F01">
        <w:rPr>
          <w:rFonts w:eastAsia="Calibri" w:cstheme="minorHAnsi"/>
          <w:kern w:val="0"/>
          <w:vertAlign w:val="superscript"/>
          <w:lang w:val="en-GB" w:eastAsia="en-US"/>
          <w14:ligatures w14:val="none"/>
        </w:rPr>
        <w:footnoteReference w:id="4"/>
      </w:r>
      <w:r w:rsidR="003E2BD6" w:rsidRPr="00C37F01">
        <w:rPr>
          <w:rFonts w:eastAsia="Calibri" w:cstheme="minorHAnsi"/>
          <w:kern w:val="0"/>
          <w:lang w:val="en-GB" w:eastAsia="en-US"/>
          <w14:ligatures w14:val="none"/>
        </w:rPr>
        <w:t xml:space="preserve"> </w:t>
      </w:r>
      <w:r w:rsidR="003E2BD6" w:rsidRPr="00C37F01">
        <w:rPr>
          <w:rFonts w:cstheme="minorHAnsi"/>
          <w:lang w:val="en-GB"/>
        </w:rPr>
        <w:t>This growing sector supports nearly 50 million jobs worldwide</w:t>
      </w:r>
      <w:r w:rsidR="003E2BD6" w:rsidRPr="00C37F01">
        <w:rPr>
          <w:rStyle w:val="FootnoteReference"/>
          <w:rFonts w:cstheme="minorHAnsi"/>
          <w:lang w:val="en-GB"/>
        </w:rPr>
        <w:footnoteReference w:id="5"/>
      </w:r>
      <w:r w:rsidR="003E2BD6" w:rsidRPr="00C37F01">
        <w:rPr>
          <w:rFonts w:cstheme="minorHAnsi"/>
          <w:lang w:val="en-GB"/>
        </w:rPr>
        <w:t xml:space="preserve"> and accounts for 6.2 per cent of all employment</w:t>
      </w:r>
      <w:r w:rsidR="003E2BD6" w:rsidRPr="00C37F01">
        <w:rPr>
          <w:rStyle w:val="FootnoteReference"/>
          <w:rFonts w:cstheme="minorHAnsi"/>
          <w:lang w:val="en-GB"/>
        </w:rPr>
        <w:footnoteReference w:id="6"/>
      </w:r>
      <w:r w:rsidR="00A93F2D" w:rsidRPr="00C37F01">
        <w:rPr>
          <w:rFonts w:cstheme="minorHAnsi"/>
          <w:lang w:val="en-GB"/>
        </w:rPr>
        <w:t>, with a higher representation of youth and women than other sectors</w:t>
      </w:r>
      <w:r w:rsidR="003E2BD6" w:rsidRPr="00C37F01">
        <w:rPr>
          <w:rFonts w:cstheme="minorHAnsi"/>
          <w:lang w:val="en-GB"/>
        </w:rPr>
        <w:t xml:space="preserve">. </w:t>
      </w:r>
      <w:r w:rsidR="00A93F2D" w:rsidRPr="00C37F01">
        <w:rPr>
          <w:rFonts w:cstheme="minorHAnsi"/>
          <w:lang w:val="en-GB"/>
        </w:rPr>
        <w:t xml:space="preserve">The cultural and creative </w:t>
      </w:r>
      <w:r w:rsidR="00294F40" w:rsidRPr="00C37F01">
        <w:rPr>
          <w:rFonts w:cstheme="minorHAnsi"/>
          <w:lang w:val="en-GB"/>
        </w:rPr>
        <w:t>industries</w:t>
      </w:r>
      <w:r w:rsidR="00C9126F" w:rsidRPr="00C37F01">
        <w:rPr>
          <w:rFonts w:cstheme="minorHAnsi"/>
          <w:lang w:val="en-GB"/>
        </w:rPr>
        <w:t xml:space="preserve"> (CCIs)</w:t>
      </w:r>
      <w:r w:rsidR="00294F40" w:rsidRPr="00C37F01">
        <w:rPr>
          <w:rFonts w:cstheme="minorHAnsi"/>
          <w:lang w:val="en-GB"/>
        </w:rPr>
        <w:t xml:space="preserve"> foster participation across diverse social groups and promote richer, more inclusive </w:t>
      </w:r>
      <w:r w:rsidR="00472595" w:rsidRPr="00C37F01">
        <w:rPr>
          <w:rFonts w:cstheme="minorHAnsi"/>
          <w:lang w:val="en-GB"/>
        </w:rPr>
        <w:t xml:space="preserve">societies, not only </w:t>
      </w:r>
      <w:r w:rsidR="00294F40" w:rsidRPr="00C37F01">
        <w:rPr>
          <w:rFonts w:cstheme="minorHAnsi"/>
          <w:lang w:val="en-GB"/>
        </w:rPr>
        <w:t>generat</w:t>
      </w:r>
      <w:r w:rsidR="00472595" w:rsidRPr="00C37F01">
        <w:rPr>
          <w:rFonts w:cstheme="minorHAnsi"/>
          <w:lang w:val="en-GB"/>
        </w:rPr>
        <w:t xml:space="preserve">ing </w:t>
      </w:r>
      <w:r w:rsidR="00294F40" w:rsidRPr="00C37F01">
        <w:rPr>
          <w:rFonts w:cstheme="minorHAnsi"/>
          <w:lang w:val="en-GB"/>
        </w:rPr>
        <w:t xml:space="preserve">economic value but also </w:t>
      </w:r>
      <w:r w:rsidR="00A93F2D" w:rsidRPr="00C37F01">
        <w:rPr>
          <w:rFonts w:cstheme="minorHAnsi"/>
          <w:lang w:val="en-GB"/>
        </w:rPr>
        <w:t>enabling</w:t>
      </w:r>
      <w:r w:rsidR="00294F40" w:rsidRPr="00C37F01">
        <w:rPr>
          <w:rFonts w:cstheme="minorHAnsi"/>
          <w:lang w:val="en-GB"/>
        </w:rPr>
        <w:t xml:space="preserve"> individuals and communities to express their </w:t>
      </w:r>
      <w:r w:rsidR="005F06D9" w:rsidRPr="00C37F01">
        <w:rPr>
          <w:rFonts w:cstheme="minorHAnsi"/>
          <w:lang w:val="en-GB"/>
        </w:rPr>
        <w:t>culture</w:t>
      </w:r>
      <w:r w:rsidR="003C7D61" w:rsidRPr="00C37F01">
        <w:rPr>
          <w:rFonts w:cstheme="minorHAnsi"/>
          <w:lang w:val="en-GB"/>
        </w:rPr>
        <w:t>,</w:t>
      </w:r>
      <w:r w:rsidR="00294F40" w:rsidRPr="00C37F01">
        <w:rPr>
          <w:rFonts w:cstheme="minorHAnsi"/>
          <w:lang w:val="en-GB"/>
        </w:rPr>
        <w:t xml:space="preserve"> exercis</w:t>
      </w:r>
      <w:r w:rsidR="003C7D61" w:rsidRPr="00C37F01">
        <w:rPr>
          <w:rFonts w:cstheme="minorHAnsi"/>
          <w:lang w:val="en-GB"/>
        </w:rPr>
        <w:t>ing</w:t>
      </w:r>
      <w:r w:rsidR="00294F40" w:rsidRPr="00C37F01">
        <w:rPr>
          <w:rFonts w:cstheme="minorHAnsi"/>
          <w:lang w:val="en-GB"/>
        </w:rPr>
        <w:t xml:space="preserve"> their cultural rights</w:t>
      </w:r>
      <w:r w:rsidR="00071805" w:rsidRPr="00C37F01">
        <w:rPr>
          <w:rFonts w:cstheme="minorHAnsi"/>
          <w:lang w:val="en-GB"/>
        </w:rPr>
        <w:t xml:space="preserve"> and </w:t>
      </w:r>
      <w:r w:rsidR="004902B5" w:rsidRPr="00C37F01">
        <w:rPr>
          <w:rFonts w:cstheme="minorHAnsi"/>
          <w:lang w:val="en-GB"/>
        </w:rPr>
        <w:t>enhancing cultural diversity</w:t>
      </w:r>
      <w:r w:rsidR="00294F40" w:rsidRPr="00C37F01">
        <w:rPr>
          <w:rFonts w:cstheme="minorHAnsi"/>
          <w:lang w:val="en-GB"/>
        </w:rPr>
        <w:t>.</w:t>
      </w:r>
    </w:p>
    <w:p w14:paraId="4E5600B7" w14:textId="5E211502" w:rsidR="00E9490A" w:rsidRPr="00C37F01" w:rsidRDefault="00A04989" w:rsidP="006845FC">
      <w:pPr>
        <w:spacing w:line="276" w:lineRule="auto"/>
        <w:jc w:val="both"/>
        <w:rPr>
          <w:rFonts w:cstheme="minorHAnsi"/>
          <w:lang w:val="en-GB"/>
        </w:rPr>
      </w:pPr>
      <w:r w:rsidRPr="00C37F01">
        <w:rPr>
          <w:rFonts w:cstheme="minorHAnsi"/>
          <w:lang w:val="en-GB"/>
        </w:rPr>
        <w:t xml:space="preserve">The absence of culture as a stand-alone SDG within the 2030 Agenda </w:t>
      </w:r>
      <w:r w:rsidR="00397627" w:rsidRPr="00C37F01">
        <w:rPr>
          <w:rFonts w:cstheme="minorHAnsi"/>
          <w:lang w:val="en-GB"/>
        </w:rPr>
        <w:t xml:space="preserve">for Sustainable Development </w:t>
      </w:r>
      <w:r w:rsidRPr="00C37F01">
        <w:rPr>
          <w:rFonts w:cstheme="minorHAnsi"/>
          <w:lang w:val="en-GB"/>
        </w:rPr>
        <w:t xml:space="preserve">poses a significant challenge, as it limits the resources available to the cultural sector to contribute to inclusive sustainable development. Additionally, </w:t>
      </w:r>
      <w:r w:rsidR="002B30D5" w:rsidRPr="00C37F01">
        <w:rPr>
          <w:rFonts w:cstheme="minorHAnsi"/>
          <w:lang w:val="en-GB"/>
        </w:rPr>
        <w:t>such absence</w:t>
      </w:r>
      <w:r w:rsidRPr="00C37F01">
        <w:rPr>
          <w:rFonts w:cstheme="minorHAnsi"/>
          <w:lang w:val="en-GB"/>
        </w:rPr>
        <w:t xml:space="preserve"> has led to a lack of comprehensive data on current investments in the sector, as well as on a broader set of indicators that reflect culture's contribution to sustainable development. </w:t>
      </w:r>
      <w:r w:rsidR="00237C9B" w:rsidRPr="00C37F01">
        <w:rPr>
          <w:rFonts w:cstheme="minorHAnsi"/>
          <w:lang w:val="en-GB"/>
        </w:rPr>
        <w:t>Establishing</w:t>
      </w:r>
      <w:r w:rsidR="009E16C2" w:rsidRPr="00C37F01">
        <w:rPr>
          <w:rFonts w:cstheme="minorHAnsi"/>
          <w:lang w:val="en-GB"/>
        </w:rPr>
        <w:t xml:space="preserve"> culture as a stand</w:t>
      </w:r>
      <w:r w:rsidR="00D44364" w:rsidRPr="00C37F01">
        <w:rPr>
          <w:rFonts w:cstheme="minorHAnsi"/>
          <w:lang w:val="en-GB"/>
        </w:rPr>
        <w:t>-</w:t>
      </w:r>
      <w:r w:rsidR="009E16C2" w:rsidRPr="00C37F01">
        <w:rPr>
          <w:rFonts w:cstheme="minorHAnsi"/>
          <w:lang w:val="en-GB"/>
        </w:rPr>
        <w:t xml:space="preserve">alone goal in the post-2030 </w:t>
      </w:r>
      <w:r w:rsidR="001E4B54" w:rsidRPr="00C37F01">
        <w:rPr>
          <w:rFonts w:cstheme="minorHAnsi"/>
          <w:lang w:val="en-GB"/>
        </w:rPr>
        <w:t>A</w:t>
      </w:r>
      <w:r w:rsidR="009E16C2" w:rsidRPr="00C37F01">
        <w:rPr>
          <w:rFonts w:cstheme="minorHAnsi"/>
          <w:lang w:val="en-GB"/>
        </w:rPr>
        <w:t>genda is therefore a strategic policy investment that would encourage governments</w:t>
      </w:r>
      <w:r w:rsidR="00AA0698" w:rsidRPr="00C37F01">
        <w:rPr>
          <w:rFonts w:cstheme="minorHAnsi"/>
          <w:lang w:val="en-GB"/>
        </w:rPr>
        <w:t xml:space="preserve">, international financial </w:t>
      </w:r>
      <w:r w:rsidR="00770121" w:rsidRPr="00C37F01">
        <w:rPr>
          <w:rFonts w:cstheme="minorHAnsi"/>
          <w:lang w:val="en-GB"/>
        </w:rPr>
        <w:t xml:space="preserve">institutions </w:t>
      </w:r>
      <w:r w:rsidR="00D62C6C" w:rsidRPr="00C37F01">
        <w:rPr>
          <w:rFonts w:cstheme="minorHAnsi"/>
          <w:lang w:val="en-GB"/>
        </w:rPr>
        <w:t xml:space="preserve">and private actors </w:t>
      </w:r>
      <w:r w:rsidR="009E16C2" w:rsidRPr="00C37F01">
        <w:rPr>
          <w:rFonts w:cstheme="minorHAnsi"/>
          <w:lang w:val="en-GB"/>
        </w:rPr>
        <w:t>to reinforce capacities to effectively harness culture for development by and beyond 2030, while attracting necessary policy attention and investment to address structural issues that hinder the flourishing of the sector.</w:t>
      </w:r>
    </w:p>
    <w:p w14:paraId="4E1E00BF" w14:textId="362FDC2C" w:rsidR="000D2A5D" w:rsidRPr="00C37F01" w:rsidRDefault="00CD31EA" w:rsidP="006845FC">
      <w:pPr>
        <w:spacing w:line="276" w:lineRule="auto"/>
        <w:jc w:val="both"/>
        <w:rPr>
          <w:rFonts w:cstheme="minorHAnsi"/>
          <w:lang w:val="en-GB"/>
        </w:rPr>
      </w:pPr>
      <w:r w:rsidRPr="00C37F01">
        <w:rPr>
          <w:rFonts w:eastAsia="Calibri" w:cstheme="minorHAnsi"/>
          <w:kern w:val="0"/>
          <w:lang w:val="en-GB" w:eastAsia="en-US"/>
          <w14:ligatures w14:val="none"/>
        </w:rPr>
        <w:t>Currently sidelined, a</w:t>
      </w:r>
      <w:r w:rsidR="006F5D94" w:rsidRPr="00C37F01">
        <w:rPr>
          <w:rFonts w:eastAsia="Calibri" w:cstheme="minorHAnsi"/>
          <w:kern w:val="0"/>
          <w:lang w:val="en-GB" w:eastAsia="en-US"/>
          <w14:ligatures w14:val="none"/>
        </w:rPr>
        <w:t xml:space="preserve"> more systematic integration of culture </w:t>
      </w:r>
      <w:r w:rsidR="009D5A93" w:rsidRPr="00C37F01">
        <w:rPr>
          <w:rFonts w:cstheme="minorHAnsi"/>
          <w:lang w:val="en-GB"/>
        </w:rPr>
        <w:t xml:space="preserve">into discussions and policies on the financing of sustainable development is </w:t>
      </w:r>
      <w:r w:rsidR="00311447" w:rsidRPr="00C37F01">
        <w:rPr>
          <w:rFonts w:cstheme="minorHAnsi"/>
          <w:lang w:val="en-GB"/>
        </w:rPr>
        <w:t>therefore</w:t>
      </w:r>
      <w:r w:rsidR="00D62C6C" w:rsidRPr="00C37F01">
        <w:rPr>
          <w:rFonts w:cstheme="minorHAnsi"/>
          <w:lang w:val="en-GB"/>
        </w:rPr>
        <w:t xml:space="preserve"> </w:t>
      </w:r>
      <w:r w:rsidR="009D5A93" w:rsidRPr="00C37F01">
        <w:rPr>
          <w:rFonts w:cstheme="minorHAnsi"/>
          <w:lang w:val="en-GB"/>
        </w:rPr>
        <w:t>essential for ensuring inclusive, context-</w:t>
      </w:r>
      <w:r w:rsidR="001953DA" w:rsidRPr="00C37F01">
        <w:rPr>
          <w:rFonts w:cstheme="minorHAnsi"/>
          <w:lang w:val="en-GB"/>
        </w:rPr>
        <w:t>relevant</w:t>
      </w:r>
      <w:r w:rsidR="009D5A93" w:rsidRPr="00C37F01">
        <w:rPr>
          <w:rFonts w:cstheme="minorHAnsi"/>
          <w:lang w:val="en-GB"/>
        </w:rPr>
        <w:t xml:space="preserve"> development plans. This is critical not only for </w:t>
      </w:r>
      <w:r w:rsidR="009C179E" w:rsidRPr="00C37F01">
        <w:rPr>
          <w:rFonts w:cstheme="minorHAnsi"/>
          <w:lang w:val="en-GB"/>
        </w:rPr>
        <w:t>accelerating</w:t>
      </w:r>
      <w:r w:rsidR="006162E5" w:rsidRPr="00C37F01">
        <w:rPr>
          <w:rFonts w:cstheme="minorHAnsi"/>
          <w:lang w:val="en-GB"/>
        </w:rPr>
        <w:t xml:space="preserve"> </w:t>
      </w:r>
      <w:r w:rsidR="009D5A93" w:rsidRPr="00C37F01">
        <w:rPr>
          <w:rFonts w:cstheme="minorHAnsi"/>
          <w:lang w:val="en-GB"/>
        </w:rPr>
        <w:t>the full implementation of the 2030 Agenda</w:t>
      </w:r>
      <w:r w:rsidR="003E1F0C" w:rsidRPr="00C37F01">
        <w:rPr>
          <w:rFonts w:cstheme="minorHAnsi"/>
          <w:lang w:val="en-GB"/>
        </w:rPr>
        <w:t>,</w:t>
      </w:r>
      <w:r w:rsidR="009D5A93" w:rsidRPr="00C37F01">
        <w:rPr>
          <w:rFonts w:cstheme="minorHAnsi"/>
          <w:lang w:val="en-GB"/>
        </w:rPr>
        <w:t xml:space="preserve"> but also for shaping </w:t>
      </w:r>
      <w:r w:rsidR="00661D61" w:rsidRPr="00C37F01">
        <w:rPr>
          <w:rFonts w:cstheme="minorHAnsi"/>
          <w:lang w:val="en-GB"/>
        </w:rPr>
        <w:t xml:space="preserve">an effective </w:t>
      </w:r>
      <w:r w:rsidR="009D5A93" w:rsidRPr="00C37F01">
        <w:rPr>
          <w:rFonts w:cstheme="minorHAnsi"/>
          <w:lang w:val="en-GB"/>
        </w:rPr>
        <w:t>post-2030 development agenda</w:t>
      </w:r>
      <w:r w:rsidR="00371DB0" w:rsidRPr="00C37F01">
        <w:rPr>
          <w:rFonts w:cstheme="minorHAnsi"/>
          <w:lang w:val="en-GB"/>
        </w:rPr>
        <w:t xml:space="preserve"> through a stand</w:t>
      </w:r>
      <w:r w:rsidR="00D22056" w:rsidRPr="00C37F01">
        <w:rPr>
          <w:rFonts w:cstheme="minorHAnsi"/>
          <w:lang w:val="en-GB"/>
        </w:rPr>
        <w:t>-</w:t>
      </w:r>
      <w:r w:rsidR="00371DB0" w:rsidRPr="00C37F01">
        <w:rPr>
          <w:rFonts w:cstheme="minorHAnsi"/>
          <w:lang w:val="en-GB"/>
        </w:rPr>
        <w:t>alone goal</w:t>
      </w:r>
      <w:r w:rsidR="00311447" w:rsidRPr="00C37F01">
        <w:rPr>
          <w:rFonts w:cstheme="minorHAnsi"/>
          <w:lang w:val="en-GB"/>
        </w:rPr>
        <w:t xml:space="preserve"> for culture</w:t>
      </w:r>
      <w:r w:rsidR="00661D61" w:rsidRPr="00C37F01">
        <w:rPr>
          <w:rFonts w:cstheme="minorHAnsi"/>
          <w:lang w:val="en-GB"/>
        </w:rPr>
        <w:t xml:space="preserve">. </w:t>
      </w:r>
    </w:p>
    <w:p w14:paraId="221B0A05" w14:textId="025C3810" w:rsidR="00192DEB" w:rsidRPr="00192DEB" w:rsidRDefault="00174569" w:rsidP="00192DEB">
      <w:pPr>
        <w:pStyle w:val="Heading2"/>
        <w:spacing w:line="360" w:lineRule="auto"/>
        <w:rPr>
          <w:b/>
          <w:bCs/>
        </w:rPr>
      </w:pPr>
      <w:r w:rsidRPr="00C37F01">
        <w:rPr>
          <w:b/>
          <w:bCs/>
        </w:rPr>
        <w:t>Policy solutions</w:t>
      </w:r>
    </w:p>
    <w:p w14:paraId="19F3A1E8" w14:textId="2A5F05BB" w:rsidR="00D330DE" w:rsidRPr="00832481" w:rsidRDefault="00DF476C" w:rsidP="00192DEB">
      <w:pPr>
        <w:spacing w:line="360" w:lineRule="auto"/>
        <w:jc w:val="both"/>
        <w:rPr>
          <w:rFonts w:asciiTheme="majorHAnsi" w:hAnsiTheme="majorHAnsi" w:cstheme="majorHAnsi"/>
          <w:sz w:val="24"/>
          <w:szCs w:val="24"/>
          <w:lang w:val="en-GB"/>
        </w:rPr>
      </w:pPr>
      <w:r w:rsidRPr="00832481">
        <w:rPr>
          <w:rFonts w:asciiTheme="majorHAnsi" w:hAnsiTheme="majorHAnsi" w:cstheme="majorHAnsi"/>
          <w:b/>
          <w:bCs/>
          <w:sz w:val="24"/>
          <w:szCs w:val="24"/>
          <w:lang w:val="en-GB"/>
        </w:rPr>
        <w:t>Domestic Public Resources</w:t>
      </w:r>
    </w:p>
    <w:p w14:paraId="09250770" w14:textId="06BEC1B9" w:rsidR="00A25ED9" w:rsidRPr="00C37F01" w:rsidRDefault="00254C54" w:rsidP="002F34DF">
      <w:pPr>
        <w:jc w:val="both"/>
        <w:rPr>
          <w:rFonts w:cstheme="minorHAnsi"/>
          <w:lang w:val="en-GB"/>
        </w:rPr>
      </w:pPr>
      <w:r w:rsidRPr="00C37F01">
        <w:rPr>
          <w:rFonts w:cstheme="minorHAnsi"/>
          <w:lang w:val="en-GB"/>
        </w:rPr>
        <w:t>When budgeting and allocating public financial resources, government spending should be</w:t>
      </w:r>
      <w:r w:rsidR="00204C01" w:rsidRPr="00C37F01">
        <w:rPr>
          <w:rFonts w:cstheme="minorHAnsi"/>
          <w:lang w:val="en-GB"/>
        </w:rPr>
        <w:t xml:space="preserve"> </w:t>
      </w:r>
      <w:r w:rsidR="008534E0" w:rsidRPr="00C37F01">
        <w:rPr>
          <w:rFonts w:cstheme="minorHAnsi"/>
          <w:lang w:val="en-GB"/>
        </w:rPr>
        <w:t xml:space="preserve">more aligned </w:t>
      </w:r>
      <w:r w:rsidRPr="00C37F01">
        <w:rPr>
          <w:rFonts w:cstheme="minorHAnsi"/>
          <w:lang w:val="en-GB"/>
        </w:rPr>
        <w:t>with</w:t>
      </w:r>
      <w:r w:rsidR="008534E0" w:rsidRPr="00C37F01">
        <w:rPr>
          <w:rFonts w:cstheme="minorHAnsi"/>
          <w:lang w:val="en-GB"/>
        </w:rPr>
        <w:t xml:space="preserve"> </w:t>
      </w:r>
      <w:r w:rsidRPr="00C37F01">
        <w:rPr>
          <w:rFonts w:cstheme="minorHAnsi"/>
          <w:lang w:val="en-GB"/>
        </w:rPr>
        <w:t>development priorities that integrate</w:t>
      </w:r>
      <w:r w:rsidR="008534E0" w:rsidRPr="00C37F01">
        <w:rPr>
          <w:rFonts w:cstheme="minorHAnsi"/>
          <w:lang w:val="en-GB"/>
        </w:rPr>
        <w:t xml:space="preserve"> </w:t>
      </w:r>
      <w:r w:rsidRPr="00C37F01">
        <w:rPr>
          <w:rFonts w:cstheme="minorHAnsi"/>
          <w:lang w:val="en-GB"/>
        </w:rPr>
        <w:t>culture, recognizing its central role in achieving sustainable and inclusive development.</w:t>
      </w:r>
      <w:r w:rsidR="00B43B06" w:rsidRPr="00C37F01">
        <w:rPr>
          <w:rFonts w:cstheme="minorHAnsi"/>
          <w:lang w:val="en-GB"/>
        </w:rPr>
        <w:t xml:space="preserve"> </w:t>
      </w:r>
      <w:r w:rsidR="00DF12FF" w:rsidRPr="00C37F01">
        <w:rPr>
          <w:rFonts w:cstheme="minorHAnsi"/>
          <w:lang w:val="en-GB"/>
        </w:rPr>
        <w:t>In this context, i</w:t>
      </w:r>
      <w:r w:rsidR="008E0A45" w:rsidRPr="00C37F01">
        <w:rPr>
          <w:rFonts w:cstheme="minorHAnsi"/>
          <w:lang w:val="en-GB"/>
        </w:rPr>
        <w:t xml:space="preserve">ntegrating culture </w:t>
      </w:r>
      <w:r w:rsidR="00941682" w:rsidRPr="00C37F01">
        <w:rPr>
          <w:rFonts w:cstheme="minorHAnsi"/>
          <w:lang w:val="en-GB"/>
        </w:rPr>
        <w:t>from</w:t>
      </w:r>
      <w:r w:rsidR="000B3361" w:rsidRPr="00C37F01">
        <w:rPr>
          <w:rFonts w:cstheme="minorHAnsi"/>
          <w:lang w:val="en-GB"/>
        </w:rPr>
        <w:t xml:space="preserve"> </w:t>
      </w:r>
      <w:r w:rsidR="00E13376" w:rsidRPr="00C37F01">
        <w:rPr>
          <w:rFonts w:cstheme="minorHAnsi"/>
          <w:lang w:val="en-GB"/>
        </w:rPr>
        <w:t xml:space="preserve">the early stages of </w:t>
      </w:r>
      <w:r w:rsidR="00560E68" w:rsidRPr="00C37F01">
        <w:rPr>
          <w:rFonts w:cstheme="minorHAnsi"/>
          <w:lang w:val="en-GB"/>
        </w:rPr>
        <w:t xml:space="preserve">Domestic Resource </w:t>
      </w:r>
      <w:r w:rsidR="00560E68" w:rsidRPr="00C37F01">
        <w:rPr>
          <w:rFonts w:cstheme="minorHAnsi"/>
          <w:lang w:val="en-GB"/>
        </w:rPr>
        <w:lastRenderedPageBreak/>
        <w:t xml:space="preserve">Mobilization (DRM) </w:t>
      </w:r>
      <w:r w:rsidR="000B3361" w:rsidRPr="00C37F01">
        <w:rPr>
          <w:rFonts w:cstheme="minorHAnsi"/>
          <w:lang w:val="en-GB"/>
        </w:rPr>
        <w:t xml:space="preserve">strategies </w:t>
      </w:r>
      <w:r w:rsidR="00941682" w:rsidRPr="00C37F01">
        <w:rPr>
          <w:rFonts w:cstheme="minorHAnsi"/>
          <w:lang w:val="en-GB"/>
        </w:rPr>
        <w:t>is fundamental to ensure</w:t>
      </w:r>
      <w:r w:rsidR="000B3361" w:rsidRPr="00C37F01">
        <w:rPr>
          <w:rFonts w:cstheme="minorHAnsi"/>
          <w:lang w:val="en-GB"/>
        </w:rPr>
        <w:t xml:space="preserve"> adequate budgetary space</w:t>
      </w:r>
      <w:r w:rsidR="002F34DF" w:rsidRPr="00C37F01">
        <w:rPr>
          <w:rFonts w:cstheme="minorHAnsi"/>
          <w:lang w:val="en-GB"/>
        </w:rPr>
        <w:t xml:space="preserve"> to finance the cultural sector</w:t>
      </w:r>
      <w:r w:rsidR="000B3361" w:rsidRPr="00C37F01">
        <w:rPr>
          <w:rFonts w:cstheme="minorHAnsi"/>
          <w:lang w:val="en-GB"/>
        </w:rPr>
        <w:t xml:space="preserve">. </w:t>
      </w:r>
      <w:r w:rsidR="00F35634" w:rsidRPr="00C37F01">
        <w:rPr>
          <w:rFonts w:cstheme="minorHAnsi"/>
          <w:lang w:val="en-GB"/>
        </w:rPr>
        <w:t>I</w:t>
      </w:r>
      <w:r w:rsidR="00B43B06" w:rsidRPr="00C37F01">
        <w:rPr>
          <w:rFonts w:cstheme="minorHAnsi"/>
          <w:lang w:val="en-GB"/>
        </w:rPr>
        <w:t xml:space="preserve">t is </w:t>
      </w:r>
      <w:r w:rsidR="00F35634" w:rsidRPr="00C37F01">
        <w:rPr>
          <w:rFonts w:cstheme="minorHAnsi"/>
          <w:lang w:val="en-GB"/>
        </w:rPr>
        <w:t xml:space="preserve">also important </w:t>
      </w:r>
      <w:r w:rsidR="00B43B06" w:rsidRPr="00C37F01">
        <w:rPr>
          <w:rFonts w:cstheme="minorHAnsi"/>
          <w:lang w:val="en-GB"/>
        </w:rPr>
        <w:t>that public incentives are designed for long-term stability</w:t>
      </w:r>
      <w:r w:rsidR="009206E5" w:rsidRPr="00C37F01">
        <w:rPr>
          <w:rFonts w:cstheme="minorHAnsi"/>
          <w:lang w:val="en-GB"/>
        </w:rPr>
        <w:t xml:space="preserve">, </w:t>
      </w:r>
      <w:r w:rsidR="00F86452" w:rsidRPr="00C37F01">
        <w:rPr>
          <w:rFonts w:cstheme="minorHAnsi"/>
          <w:lang w:val="en-GB"/>
        </w:rPr>
        <w:t>preserving their effectiveness</w:t>
      </w:r>
      <w:r w:rsidR="009206E5" w:rsidRPr="00C37F01">
        <w:rPr>
          <w:rFonts w:cstheme="minorHAnsi"/>
          <w:lang w:val="en-GB"/>
        </w:rPr>
        <w:t xml:space="preserve"> </w:t>
      </w:r>
      <w:r w:rsidR="00C4299B" w:rsidRPr="00C37F01">
        <w:rPr>
          <w:rFonts w:cstheme="minorHAnsi"/>
          <w:lang w:val="en-GB"/>
        </w:rPr>
        <w:t>across</w:t>
      </w:r>
      <w:r w:rsidR="00FA216A" w:rsidRPr="00C37F01">
        <w:rPr>
          <w:rFonts w:cstheme="minorHAnsi"/>
          <w:lang w:val="en-GB"/>
        </w:rPr>
        <w:t xml:space="preserve"> </w:t>
      </w:r>
      <w:r w:rsidR="00D25C85" w:rsidRPr="00C37F01">
        <w:rPr>
          <w:rFonts w:cstheme="minorHAnsi"/>
          <w:lang w:val="en-GB"/>
        </w:rPr>
        <w:t>government changes</w:t>
      </w:r>
      <w:r w:rsidR="00FA216A" w:rsidRPr="00C37F01">
        <w:rPr>
          <w:rFonts w:cstheme="minorHAnsi"/>
          <w:lang w:val="en-GB"/>
        </w:rPr>
        <w:t>.</w:t>
      </w:r>
      <w:r w:rsidR="003B6236" w:rsidRPr="00C37F01">
        <w:rPr>
          <w:rFonts w:cstheme="minorHAnsi"/>
          <w:lang w:val="en-GB"/>
        </w:rPr>
        <w:t xml:space="preserve"> </w:t>
      </w:r>
      <w:r w:rsidR="000126B2" w:rsidRPr="00C37F01">
        <w:rPr>
          <w:rFonts w:cstheme="minorHAnsi"/>
          <w:lang w:val="en-GB"/>
        </w:rPr>
        <w:t>This could be achieved</w:t>
      </w:r>
      <w:r w:rsidR="006F33BD" w:rsidRPr="00C37F01">
        <w:rPr>
          <w:rFonts w:cstheme="minorHAnsi"/>
          <w:lang w:val="en-GB"/>
        </w:rPr>
        <w:t>,</w:t>
      </w:r>
      <w:r w:rsidR="000126B2" w:rsidRPr="00C37F01">
        <w:rPr>
          <w:rFonts w:cstheme="minorHAnsi"/>
          <w:lang w:val="en-GB"/>
        </w:rPr>
        <w:t xml:space="preserve"> for example</w:t>
      </w:r>
      <w:r w:rsidR="006F33BD" w:rsidRPr="00C37F01">
        <w:rPr>
          <w:rFonts w:cstheme="minorHAnsi"/>
          <w:lang w:val="en-GB"/>
        </w:rPr>
        <w:t>,</w:t>
      </w:r>
      <w:r w:rsidR="000126B2" w:rsidRPr="00C37F01">
        <w:rPr>
          <w:rFonts w:cstheme="minorHAnsi"/>
          <w:lang w:val="en-GB"/>
        </w:rPr>
        <w:t xml:space="preserve"> </w:t>
      </w:r>
      <w:r w:rsidR="00D37A75" w:rsidRPr="00C37F01">
        <w:rPr>
          <w:rFonts w:cstheme="minorHAnsi"/>
          <w:lang w:val="en-GB"/>
        </w:rPr>
        <w:t xml:space="preserve">by </w:t>
      </w:r>
      <w:r w:rsidR="00EE1012" w:rsidRPr="00C37F01">
        <w:rPr>
          <w:rFonts w:cstheme="minorHAnsi"/>
          <w:lang w:val="en-GB"/>
        </w:rPr>
        <w:t xml:space="preserve">developing multi-year </w:t>
      </w:r>
      <w:r w:rsidR="006F33BD" w:rsidRPr="00C37F01">
        <w:rPr>
          <w:rFonts w:cstheme="minorHAnsi"/>
          <w:lang w:val="en-GB"/>
        </w:rPr>
        <w:t xml:space="preserve">national strategies and frameworks in the field of culture, </w:t>
      </w:r>
      <w:r w:rsidR="00FF29CC" w:rsidRPr="00C37F01">
        <w:rPr>
          <w:rFonts w:cstheme="minorHAnsi"/>
          <w:lang w:val="en-GB"/>
        </w:rPr>
        <w:t xml:space="preserve">establishing independent cultural investment funds </w:t>
      </w:r>
      <w:r w:rsidR="006F33BD" w:rsidRPr="00C37F01">
        <w:rPr>
          <w:rFonts w:cstheme="minorHAnsi"/>
          <w:lang w:val="en-GB"/>
        </w:rPr>
        <w:t xml:space="preserve">or reaching </w:t>
      </w:r>
      <w:r w:rsidR="002E25F6" w:rsidRPr="00C37F01">
        <w:rPr>
          <w:rFonts w:cstheme="minorHAnsi"/>
          <w:lang w:val="en-GB"/>
        </w:rPr>
        <w:t>multi</w:t>
      </w:r>
      <w:r w:rsidR="00F00D8E" w:rsidRPr="00C37F01">
        <w:rPr>
          <w:rFonts w:cstheme="minorHAnsi"/>
          <w:lang w:val="en-GB"/>
        </w:rPr>
        <w:t>partisan agreements</w:t>
      </w:r>
      <w:r w:rsidR="001725A4" w:rsidRPr="00C37F01">
        <w:rPr>
          <w:rFonts w:cstheme="minorHAnsi"/>
          <w:lang w:val="en-GB"/>
        </w:rPr>
        <w:t xml:space="preserve"> on </w:t>
      </w:r>
      <w:r w:rsidR="006F47FF" w:rsidRPr="00C37F01">
        <w:rPr>
          <w:rFonts w:cstheme="minorHAnsi"/>
          <w:lang w:val="en-GB"/>
        </w:rPr>
        <w:t>subsidies</w:t>
      </w:r>
      <w:r w:rsidR="003F23BB" w:rsidRPr="00C37F01">
        <w:rPr>
          <w:rFonts w:cstheme="minorHAnsi"/>
          <w:lang w:val="en-GB"/>
        </w:rPr>
        <w:t xml:space="preserve"> and tax incentives</w:t>
      </w:r>
      <w:r w:rsidR="00613B6D" w:rsidRPr="00C37F01">
        <w:rPr>
          <w:rFonts w:cstheme="minorHAnsi"/>
          <w:lang w:val="en-GB"/>
        </w:rPr>
        <w:t xml:space="preserve"> for the sector</w:t>
      </w:r>
      <w:r w:rsidR="00F00D8E" w:rsidRPr="00C37F01">
        <w:rPr>
          <w:rFonts w:cstheme="minorHAnsi"/>
          <w:lang w:val="en-GB"/>
        </w:rPr>
        <w:t xml:space="preserve">. </w:t>
      </w:r>
      <w:r w:rsidR="00356163" w:rsidRPr="00C37F01">
        <w:rPr>
          <w:rFonts w:cstheme="minorHAnsi"/>
          <w:lang w:val="en-GB"/>
        </w:rPr>
        <w:t>Such</w:t>
      </w:r>
      <w:r w:rsidR="002E25F6" w:rsidRPr="00C37F01">
        <w:rPr>
          <w:rFonts w:cstheme="minorHAnsi"/>
          <w:lang w:val="en-GB"/>
        </w:rPr>
        <w:t xml:space="preserve"> </w:t>
      </w:r>
      <w:r w:rsidR="002B4CF6" w:rsidRPr="00C37F01">
        <w:rPr>
          <w:rFonts w:cstheme="minorHAnsi"/>
          <w:lang w:val="en-GB"/>
        </w:rPr>
        <w:t xml:space="preserve">policy </w:t>
      </w:r>
      <w:r w:rsidR="002E25F6" w:rsidRPr="00C37F01">
        <w:rPr>
          <w:rFonts w:cstheme="minorHAnsi"/>
          <w:lang w:val="en-GB"/>
        </w:rPr>
        <w:t xml:space="preserve">initiatives </w:t>
      </w:r>
      <w:r w:rsidR="005014C8" w:rsidRPr="00C37F01">
        <w:rPr>
          <w:rFonts w:cstheme="minorHAnsi"/>
          <w:lang w:val="en-GB"/>
        </w:rPr>
        <w:t>a</w:t>
      </w:r>
      <w:r w:rsidR="002E25F6" w:rsidRPr="00C37F01">
        <w:rPr>
          <w:rFonts w:cstheme="minorHAnsi"/>
          <w:lang w:val="en-GB"/>
        </w:rPr>
        <w:t>re</w:t>
      </w:r>
      <w:r w:rsidR="003B6236" w:rsidRPr="00C37F01">
        <w:rPr>
          <w:rFonts w:cstheme="minorHAnsi"/>
          <w:lang w:val="en-GB"/>
        </w:rPr>
        <w:t xml:space="preserve"> important because state funding </w:t>
      </w:r>
      <w:r w:rsidR="002E25F6" w:rsidRPr="00C37F01">
        <w:rPr>
          <w:rFonts w:cstheme="minorHAnsi"/>
          <w:lang w:val="en-GB"/>
        </w:rPr>
        <w:t xml:space="preserve">often </w:t>
      </w:r>
      <w:r w:rsidR="003B6236" w:rsidRPr="00C37F01">
        <w:rPr>
          <w:rFonts w:cstheme="minorHAnsi"/>
          <w:lang w:val="en-GB"/>
        </w:rPr>
        <w:t xml:space="preserve">plays a catalytic role for </w:t>
      </w:r>
      <w:r w:rsidR="0085166A" w:rsidRPr="00C37F01">
        <w:rPr>
          <w:rFonts w:cstheme="minorHAnsi"/>
          <w:lang w:val="en-GB"/>
        </w:rPr>
        <w:t>private sector</w:t>
      </w:r>
      <w:r w:rsidR="000D35E5" w:rsidRPr="00C37F01">
        <w:rPr>
          <w:rFonts w:cstheme="minorHAnsi"/>
          <w:lang w:val="en-GB"/>
        </w:rPr>
        <w:t xml:space="preserve"> </w:t>
      </w:r>
      <w:r w:rsidR="003B6236" w:rsidRPr="00C37F01">
        <w:rPr>
          <w:rFonts w:cstheme="minorHAnsi"/>
          <w:lang w:val="en-GB"/>
        </w:rPr>
        <w:t>investments in the cultural sector.</w:t>
      </w:r>
      <w:r w:rsidR="002B4CF6" w:rsidRPr="00C37F01">
        <w:rPr>
          <w:rFonts w:cstheme="minorHAnsi"/>
          <w:lang w:val="en-GB"/>
        </w:rPr>
        <w:t xml:space="preserve"> </w:t>
      </w:r>
    </w:p>
    <w:p w14:paraId="11216AA1" w14:textId="77777777" w:rsidR="00D330DE" w:rsidRPr="00832481" w:rsidRDefault="00DF476C" w:rsidP="00072295">
      <w:pPr>
        <w:jc w:val="both"/>
        <w:rPr>
          <w:rFonts w:asciiTheme="majorHAnsi" w:hAnsiTheme="majorHAnsi" w:cstheme="majorHAnsi"/>
          <w:b/>
          <w:bCs/>
          <w:sz w:val="24"/>
          <w:szCs w:val="24"/>
          <w:lang w:val="en-GB"/>
        </w:rPr>
      </w:pPr>
      <w:r w:rsidRPr="00832481">
        <w:rPr>
          <w:rFonts w:asciiTheme="majorHAnsi" w:hAnsiTheme="majorHAnsi" w:cstheme="majorHAnsi"/>
          <w:b/>
          <w:bCs/>
          <w:sz w:val="24"/>
          <w:szCs w:val="24"/>
          <w:lang w:val="en-GB"/>
        </w:rPr>
        <w:t>Domestic and International Private Business and Finance</w:t>
      </w:r>
    </w:p>
    <w:p w14:paraId="27E87A79" w14:textId="3A42BFE2" w:rsidR="00DF476C" w:rsidRPr="00C37F01" w:rsidRDefault="00DF476C" w:rsidP="00072295">
      <w:pPr>
        <w:jc w:val="both"/>
        <w:rPr>
          <w:rFonts w:cstheme="minorHAnsi"/>
          <w:lang w:val="en-GB"/>
        </w:rPr>
      </w:pPr>
      <w:r w:rsidRPr="00C37F01">
        <w:rPr>
          <w:rFonts w:cstheme="minorHAnsi"/>
          <w:lang w:val="en-GB"/>
        </w:rPr>
        <w:t xml:space="preserve">Private sector investment in development should integrate culture, </w:t>
      </w:r>
      <w:r w:rsidR="0083358F" w:rsidRPr="00C37F01">
        <w:rPr>
          <w:rFonts w:cstheme="minorHAnsi"/>
          <w:lang w:val="en-GB"/>
        </w:rPr>
        <w:t>while</w:t>
      </w:r>
      <w:r w:rsidRPr="00C37F01">
        <w:rPr>
          <w:rFonts w:cstheme="minorHAnsi"/>
          <w:lang w:val="en-GB"/>
        </w:rPr>
        <w:t xml:space="preserve"> public policies should aim to create enabling environments that encourage private businesses to invest in sustainable development through culture</w:t>
      </w:r>
      <w:r w:rsidR="0083358F" w:rsidRPr="00C37F01">
        <w:rPr>
          <w:rFonts w:cstheme="minorHAnsi"/>
          <w:lang w:val="en-GB"/>
        </w:rPr>
        <w:t>.</w:t>
      </w:r>
      <w:r w:rsidRPr="00C37F01">
        <w:rPr>
          <w:rFonts w:cstheme="minorHAnsi"/>
          <w:lang w:val="en-GB"/>
        </w:rPr>
        <w:t xml:space="preserve"> </w:t>
      </w:r>
      <w:r w:rsidR="0083358F" w:rsidRPr="00C37F01">
        <w:rPr>
          <w:rFonts w:cstheme="minorHAnsi"/>
          <w:lang w:val="en-GB"/>
        </w:rPr>
        <w:t>T</w:t>
      </w:r>
      <w:r w:rsidRPr="00C37F01">
        <w:rPr>
          <w:rFonts w:cstheme="minorHAnsi"/>
          <w:lang w:val="en-GB"/>
        </w:rPr>
        <w:t>his could be achieved</w:t>
      </w:r>
      <w:r w:rsidR="0083358F" w:rsidRPr="00C37F01">
        <w:rPr>
          <w:rFonts w:cstheme="minorHAnsi"/>
          <w:lang w:val="en-GB"/>
        </w:rPr>
        <w:t>, for example,</w:t>
      </w:r>
      <w:r w:rsidRPr="00C37F01">
        <w:rPr>
          <w:rFonts w:cstheme="minorHAnsi"/>
          <w:lang w:val="en-GB"/>
        </w:rPr>
        <w:t xml:space="preserve"> by </w:t>
      </w:r>
      <w:r w:rsidR="00A40E14" w:rsidRPr="00C37F01">
        <w:rPr>
          <w:rFonts w:cstheme="minorHAnsi"/>
          <w:lang w:val="en-GB"/>
        </w:rPr>
        <w:t xml:space="preserve">(1) </w:t>
      </w:r>
      <w:r w:rsidRPr="00C37F01">
        <w:rPr>
          <w:rFonts w:cstheme="minorHAnsi"/>
          <w:lang w:val="en-GB"/>
        </w:rPr>
        <w:t>enhancing lending capacity from banks to the cultural sector</w:t>
      </w:r>
      <w:r w:rsidR="006F5000" w:rsidRPr="00C37F01">
        <w:rPr>
          <w:rFonts w:cstheme="minorHAnsi"/>
          <w:lang w:val="en-GB"/>
        </w:rPr>
        <w:t xml:space="preserve"> through </w:t>
      </w:r>
      <w:r w:rsidR="00FE23E7" w:rsidRPr="00C37F01">
        <w:rPr>
          <w:rFonts w:cstheme="minorHAnsi"/>
          <w:lang w:val="en-GB"/>
        </w:rPr>
        <w:t xml:space="preserve">agile </w:t>
      </w:r>
      <w:proofErr w:type="gramStart"/>
      <w:r w:rsidR="006F5000" w:rsidRPr="00C37F01">
        <w:rPr>
          <w:rFonts w:cstheme="minorHAnsi"/>
          <w:lang w:val="en-GB"/>
        </w:rPr>
        <w:t>guarantee</w:t>
      </w:r>
      <w:proofErr w:type="gramEnd"/>
      <w:r w:rsidR="006F5000" w:rsidRPr="00C37F01">
        <w:rPr>
          <w:rFonts w:cstheme="minorHAnsi"/>
          <w:lang w:val="en-GB"/>
        </w:rPr>
        <w:t xml:space="preserve"> schemes</w:t>
      </w:r>
      <w:r w:rsidRPr="00C37F01">
        <w:rPr>
          <w:rFonts w:cstheme="minorHAnsi"/>
          <w:lang w:val="en-GB"/>
        </w:rPr>
        <w:t xml:space="preserve">, </w:t>
      </w:r>
      <w:r w:rsidR="00A40E14" w:rsidRPr="00C37F01">
        <w:rPr>
          <w:rFonts w:cstheme="minorHAnsi"/>
          <w:lang w:val="en-GB"/>
        </w:rPr>
        <w:t>(2)</w:t>
      </w:r>
      <w:r w:rsidR="00466A72" w:rsidRPr="00C37F01">
        <w:rPr>
          <w:rFonts w:cstheme="minorHAnsi"/>
          <w:lang w:val="en-GB"/>
        </w:rPr>
        <w:t xml:space="preserve"> </w:t>
      </w:r>
      <w:r w:rsidRPr="00C37F01">
        <w:rPr>
          <w:rFonts w:cstheme="minorHAnsi"/>
          <w:lang w:val="en-GB"/>
        </w:rPr>
        <w:t>incorporating culture more centrally into Environmental, Social and Governance</w:t>
      </w:r>
      <w:r w:rsidR="00E9522F" w:rsidRPr="00C37F01">
        <w:rPr>
          <w:rFonts w:cstheme="minorHAnsi"/>
          <w:lang w:val="en-GB"/>
        </w:rPr>
        <w:t xml:space="preserve"> (ESG</w:t>
      </w:r>
      <w:r w:rsidRPr="00C37F01">
        <w:rPr>
          <w:rFonts w:cstheme="minorHAnsi"/>
          <w:lang w:val="en-GB"/>
        </w:rPr>
        <w:t xml:space="preserve">) criteria for investment institutions, or </w:t>
      </w:r>
      <w:r w:rsidR="00466A72" w:rsidRPr="00C37F01">
        <w:rPr>
          <w:rFonts w:cstheme="minorHAnsi"/>
          <w:lang w:val="en-GB"/>
        </w:rPr>
        <w:t>(3)</w:t>
      </w:r>
      <w:r w:rsidRPr="00C37F01">
        <w:rPr>
          <w:rFonts w:cstheme="minorHAnsi"/>
          <w:lang w:val="en-GB"/>
        </w:rPr>
        <w:t xml:space="preserve"> adopting policies to foster more </w:t>
      </w:r>
      <w:r w:rsidR="00793C98" w:rsidRPr="00C37F01">
        <w:rPr>
          <w:rFonts w:cstheme="minorHAnsi"/>
          <w:lang w:val="en-GB"/>
        </w:rPr>
        <w:t xml:space="preserve">professionalized </w:t>
      </w:r>
      <w:r w:rsidR="00B241EF" w:rsidRPr="00C37F01">
        <w:rPr>
          <w:rFonts w:cstheme="minorHAnsi"/>
          <w:lang w:val="en-GB"/>
        </w:rPr>
        <w:t>CCIs</w:t>
      </w:r>
      <w:r w:rsidR="00B241EF" w:rsidRPr="00C37F01" w:rsidDel="00B241EF">
        <w:rPr>
          <w:rFonts w:cstheme="minorHAnsi"/>
          <w:lang w:val="en-GB"/>
        </w:rPr>
        <w:t xml:space="preserve"> </w:t>
      </w:r>
      <w:r w:rsidRPr="00C37F01">
        <w:rPr>
          <w:rFonts w:cstheme="minorHAnsi"/>
          <w:lang w:val="en-GB"/>
        </w:rPr>
        <w:t xml:space="preserve">that encourage private investment, especially in </w:t>
      </w:r>
      <w:r w:rsidR="003A2A1E" w:rsidRPr="00C37F01">
        <w:rPr>
          <w:rFonts w:cstheme="minorHAnsi"/>
          <w:lang w:val="en-GB"/>
        </w:rPr>
        <w:t>developing countries</w:t>
      </w:r>
      <w:r w:rsidRPr="00C37F01">
        <w:rPr>
          <w:rFonts w:cstheme="minorHAnsi"/>
          <w:lang w:val="en-GB"/>
        </w:rPr>
        <w:t>.</w:t>
      </w:r>
    </w:p>
    <w:p w14:paraId="5BAEC51E" w14:textId="32B759AC" w:rsidR="004E1712" w:rsidRPr="00C37F01" w:rsidRDefault="008E074E" w:rsidP="004E1712">
      <w:pPr>
        <w:pStyle w:val="ListParagraph"/>
        <w:numPr>
          <w:ilvl w:val="0"/>
          <w:numId w:val="10"/>
        </w:numPr>
        <w:jc w:val="both"/>
        <w:rPr>
          <w:rFonts w:cstheme="minorHAnsi"/>
          <w:lang w:val="en-GB"/>
        </w:rPr>
      </w:pPr>
      <w:r w:rsidRPr="00C37F01">
        <w:rPr>
          <w:rFonts w:cstheme="minorHAnsi"/>
          <w:lang w:val="en-GB"/>
        </w:rPr>
        <w:t>B</w:t>
      </w:r>
      <w:r w:rsidR="005009E0" w:rsidRPr="00C37F01">
        <w:rPr>
          <w:rFonts w:cstheme="minorHAnsi"/>
          <w:lang w:val="en-GB"/>
        </w:rPr>
        <w:t>ank guarantee schemes</w:t>
      </w:r>
      <w:r w:rsidRPr="00C37F01">
        <w:rPr>
          <w:rFonts w:cstheme="minorHAnsi"/>
          <w:lang w:val="en-GB"/>
        </w:rPr>
        <w:t xml:space="preserve"> have proven to be </w:t>
      </w:r>
      <w:r w:rsidR="003A1F15" w:rsidRPr="00C37F01">
        <w:rPr>
          <w:rFonts w:cstheme="minorHAnsi"/>
          <w:lang w:val="en-GB"/>
        </w:rPr>
        <w:t xml:space="preserve">effective mechanisms to encourage private investment in </w:t>
      </w:r>
      <w:r w:rsidR="008C1C3B" w:rsidRPr="00C37F01">
        <w:rPr>
          <w:rFonts w:cstheme="minorHAnsi"/>
          <w:lang w:val="en-GB"/>
        </w:rPr>
        <w:t>the cultural sector</w:t>
      </w:r>
      <w:r w:rsidR="00A250EC" w:rsidRPr="00C37F01">
        <w:rPr>
          <w:rFonts w:cstheme="minorHAnsi"/>
          <w:lang w:val="en-GB"/>
        </w:rPr>
        <w:t>, notably</w:t>
      </w:r>
      <w:r w:rsidR="008C1C3B" w:rsidRPr="00C37F01">
        <w:rPr>
          <w:rFonts w:cstheme="minorHAnsi"/>
          <w:lang w:val="en-GB"/>
        </w:rPr>
        <w:t xml:space="preserve"> by reducing </w:t>
      </w:r>
      <w:r w:rsidR="00D43F1A" w:rsidRPr="00C37F01">
        <w:rPr>
          <w:rFonts w:cstheme="minorHAnsi"/>
          <w:lang w:val="en-GB"/>
        </w:rPr>
        <w:t xml:space="preserve">financial risks for </w:t>
      </w:r>
      <w:r w:rsidR="004F05CB" w:rsidRPr="00C37F01">
        <w:rPr>
          <w:rFonts w:cstheme="minorHAnsi"/>
          <w:lang w:val="en-GB"/>
        </w:rPr>
        <w:t>lenders</w:t>
      </w:r>
      <w:r w:rsidR="00A250EC" w:rsidRPr="00C37F01">
        <w:rPr>
          <w:rFonts w:cstheme="minorHAnsi"/>
          <w:lang w:val="en-GB"/>
        </w:rPr>
        <w:t>.</w:t>
      </w:r>
      <w:r w:rsidR="00D43F1A" w:rsidRPr="00C37F01">
        <w:rPr>
          <w:rFonts w:cstheme="minorHAnsi"/>
          <w:lang w:val="en-GB"/>
        </w:rPr>
        <w:t xml:space="preserve"> </w:t>
      </w:r>
      <w:r w:rsidR="005009E0" w:rsidRPr="00C37F01">
        <w:rPr>
          <w:rFonts w:cstheme="minorHAnsi"/>
          <w:lang w:val="en-GB"/>
        </w:rPr>
        <w:t>A</w:t>
      </w:r>
      <w:r w:rsidR="009E661A" w:rsidRPr="00C37F01">
        <w:rPr>
          <w:rFonts w:cstheme="minorHAnsi"/>
          <w:lang w:val="en-GB"/>
        </w:rPr>
        <w:t xml:space="preserve">n </w:t>
      </w:r>
      <w:r w:rsidR="005009E0" w:rsidRPr="00C37F01">
        <w:rPr>
          <w:rFonts w:cstheme="minorHAnsi"/>
          <w:lang w:val="en-GB"/>
        </w:rPr>
        <w:t xml:space="preserve">example includes the Cultural and Creative Sectors Guarantee Facility put in place by the European Investment Fund, where c. </w:t>
      </w:r>
      <w:r w:rsidR="00E54ED8" w:rsidRPr="00C37F01">
        <w:rPr>
          <w:rFonts w:cstheme="minorHAnsi"/>
          <w:lang w:val="en-GB"/>
        </w:rPr>
        <w:t>US</w:t>
      </w:r>
      <w:r w:rsidR="005009E0" w:rsidRPr="00C37F01">
        <w:rPr>
          <w:rFonts w:cstheme="minorHAnsi"/>
          <w:lang w:val="en-GB"/>
        </w:rPr>
        <w:t xml:space="preserve">$285 million in public funds facilitated nearly </w:t>
      </w:r>
      <w:r w:rsidR="00E54ED8" w:rsidRPr="00C37F01">
        <w:rPr>
          <w:rFonts w:cstheme="minorHAnsi"/>
          <w:lang w:val="en-GB"/>
        </w:rPr>
        <w:t>US</w:t>
      </w:r>
      <w:r w:rsidR="005009E0" w:rsidRPr="00C37F01">
        <w:rPr>
          <w:rFonts w:cstheme="minorHAnsi"/>
          <w:lang w:val="en-GB"/>
        </w:rPr>
        <w:t>$3 billion in financing for cultural and creative sector companies through more than 20 approved financial intermediaries across 23 countries</w:t>
      </w:r>
      <w:r w:rsidR="00192DEB">
        <w:rPr>
          <w:rFonts w:cstheme="minorHAnsi"/>
          <w:lang w:val="en-GB"/>
        </w:rPr>
        <w:t>.</w:t>
      </w:r>
      <w:r w:rsidR="005009E0" w:rsidRPr="00C37F01">
        <w:rPr>
          <w:rStyle w:val="FootnoteReference"/>
          <w:rFonts w:cstheme="minorHAnsi"/>
          <w:lang w:val="en-GB"/>
        </w:rPr>
        <w:footnoteReference w:id="7"/>
      </w:r>
      <w:r w:rsidR="00100EA6" w:rsidRPr="00C37F01">
        <w:rPr>
          <w:rFonts w:cstheme="minorHAnsi"/>
          <w:lang w:val="en-GB"/>
        </w:rPr>
        <w:t xml:space="preserve"> </w:t>
      </w:r>
      <w:r w:rsidR="008A2554" w:rsidRPr="00C37F01">
        <w:rPr>
          <w:rFonts w:cstheme="minorHAnsi"/>
          <w:lang w:val="en-GB"/>
        </w:rPr>
        <w:t xml:space="preserve">To ensure attractive lending rates </w:t>
      </w:r>
      <w:r w:rsidR="002E7E94" w:rsidRPr="00C37F01">
        <w:rPr>
          <w:rFonts w:cstheme="minorHAnsi"/>
          <w:lang w:val="en-GB"/>
        </w:rPr>
        <w:t xml:space="preserve">to companies in the cultural sector, </w:t>
      </w:r>
      <w:r w:rsidR="008A2554" w:rsidRPr="00C37F01">
        <w:rPr>
          <w:rFonts w:cstheme="minorHAnsi"/>
          <w:lang w:val="en-GB"/>
        </w:rPr>
        <w:t xml:space="preserve">such schemes </w:t>
      </w:r>
      <w:r w:rsidR="00744895" w:rsidRPr="00C37F01">
        <w:rPr>
          <w:rFonts w:cstheme="minorHAnsi"/>
          <w:lang w:val="en-GB"/>
        </w:rPr>
        <w:t>should</w:t>
      </w:r>
      <w:r w:rsidR="008A2554" w:rsidRPr="00C37F01">
        <w:rPr>
          <w:rFonts w:cstheme="minorHAnsi"/>
          <w:lang w:val="en-GB"/>
        </w:rPr>
        <w:t xml:space="preserve"> be agile and </w:t>
      </w:r>
      <w:r w:rsidR="002303BD" w:rsidRPr="00C37F01">
        <w:rPr>
          <w:rFonts w:cstheme="minorHAnsi"/>
          <w:lang w:val="en-GB"/>
        </w:rPr>
        <w:t>appealing</w:t>
      </w:r>
      <w:r w:rsidR="008A2554" w:rsidRPr="00C37F01">
        <w:rPr>
          <w:rFonts w:cstheme="minorHAnsi"/>
          <w:lang w:val="en-GB"/>
        </w:rPr>
        <w:t xml:space="preserve"> for lenders</w:t>
      </w:r>
      <w:r w:rsidR="00BC181C" w:rsidRPr="00C37F01">
        <w:rPr>
          <w:rFonts w:cstheme="minorHAnsi"/>
          <w:lang w:val="en-GB"/>
        </w:rPr>
        <w:t>, including</w:t>
      </w:r>
      <w:r w:rsidR="00FD2CA6" w:rsidRPr="00C37F01">
        <w:rPr>
          <w:rFonts w:cstheme="minorHAnsi"/>
          <w:lang w:val="en-GB"/>
        </w:rPr>
        <w:t xml:space="preserve"> in terms of ease of fund</w:t>
      </w:r>
      <w:r w:rsidR="00C15077" w:rsidRPr="00C37F01">
        <w:rPr>
          <w:rFonts w:cstheme="minorHAnsi"/>
          <w:lang w:val="en-GB"/>
        </w:rPr>
        <w:t>s</w:t>
      </w:r>
      <w:r w:rsidR="00FD2CA6" w:rsidRPr="00C37F01">
        <w:rPr>
          <w:rFonts w:cstheme="minorHAnsi"/>
          <w:lang w:val="en-GB"/>
        </w:rPr>
        <w:t xml:space="preserve"> recovery in case of loan defaults.</w:t>
      </w:r>
    </w:p>
    <w:p w14:paraId="06CD342F" w14:textId="77777777" w:rsidR="004E1712" w:rsidRPr="00C37F01" w:rsidRDefault="004E1712" w:rsidP="004E1712">
      <w:pPr>
        <w:pStyle w:val="ListParagraph"/>
        <w:jc w:val="both"/>
        <w:rPr>
          <w:rFonts w:cstheme="minorHAnsi"/>
          <w:lang w:val="en-GB"/>
        </w:rPr>
      </w:pPr>
    </w:p>
    <w:p w14:paraId="79C7119B" w14:textId="5EAADB5F" w:rsidR="00231F50" w:rsidRPr="00C37F01" w:rsidRDefault="00011423" w:rsidP="004E1712">
      <w:pPr>
        <w:pStyle w:val="ListParagraph"/>
        <w:numPr>
          <w:ilvl w:val="0"/>
          <w:numId w:val="10"/>
        </w:numPr>
        <w:jc w:val="both"/>
        <w:rPr>
          <w:rFonts w:cstheme="minorHAnsi"/>
          <w:lang w:val="en-GB"/>
        </w:rPr>
      </w:pPr>
      <w:r w:rsidRPr="00C37F01">
        <w:rPr>
          <w:rFonts w:cstheme="minorHAnsi"/>
          <w:lang w:val="en-GB"/>
        </w:rPr>
        <w:t xml:space="preserve">While many </w:t>
      </w:r>
      <w:r w:rsidR="00305467" w:rsidRPr="00C37F01">
        <w:rPr>
          <w:rFonts w:cstheme="minorHAnsi"/>
          <w:lang w:val="en-GB"/>
        </w:rPr>
        <w:t>investments</w:t>
      </w:r>
      <w:r w:rsidRPr="00C37F01">
        <w:rPr>
          <w:rFonts w:cstheme="minorHAnsi"/>
          <w:lang w:val="en-GB"/>
        </w:rPr>
        <w:t xml:space="preserve"> in the cultural sector can yield solid financial returns, </w:t>
      </w:r>
      <w:r w:rsidR="00CB00A4" w:rsidRPr="00C37F01">
        <w:rPr>
          <w:rFonts w:cstheme="minorHAnsi"/>
          <w:lang w:val="en-GB"/>
        </w:rPr>
        <w:t>some</w:t>
      </w:r>
      <w:r w:rsidRPr="00C37F01">
        <w:rPr>
          <w:rFonts w:cstheme="minorHAnsi"/>
          <w:lang w:val="en-GB"/>
        </w:rPr>
        <w:t xml:space="preserve"> </w:t>
      </w:r>
      <w:r w:rsidR="00044A0E" w:rsidRPr="00C37F01">
        <w:rPr>
          <w:rFonts w:cstheme="minorHAnsi"/>
          <w:lang w:val="en-GB"/>
        </w:rPr>
        <w:t>may provide</w:t>
      </w:r>
      <w:r w:rsidRPr="00C37F01">
        <w:rPr>
          <w:rFonts w:cstheme="minorHAnsi"/>
          <w:lang w:val="en-GB"/>
        </w:rPr>
        <w:t xml:space="preserve"> greater social value than financial gain</w:t>
      </w:r>
      <w:r w:rsidR="00044A0E" w:rsidRPr="00C37F01">
        <w:rPr>
          <w:rFonts w:cstheme="minorHAnsi"/>
          <w:lang w:val="en-GB"/>
        </w:rPr>
        <w:t>, particularly through promoting social inclusion, environmental conservation and participatory governance</w:t>
      </w:r>
      <w:r w:rsidRPr="00C37F01">
        <w:rPr>
          <w:rFonts w:cstheme="minorHAnsi"/>
          <w:lang w:val="en-GB"/>
        </w:rPr>
        <w:t>. A 2022 PwC report</w:t>
      </w:r>
      <w:r w:rsidR="00FF2D15" w:rsidRPr="00C37F01">
        <w:rPr>
          <w:rStyle w:val="FootnoteReference"/>
          <w:rFonts w:cstheme="minorHAnsi"/>
          <w:lang w:val="en-GB"/>
        </w:rPr>
        <w:footnoteReference w:id="8"/>
      </w:r>
      <w:r w:rsidR="00305467" w:rsidRPr="00C37F01">
        <w:rPr>
          <w:rFonts w:cstheme="minorHAnsi"/>
          <w:lang w:val="en-GB"/>
        </w:rPr>
        <w:t xml:space="preserve"> </w:t>
      </w:r>
      <w:r w:rsidRPr="00C37F01">
        <w:rPr>
          <w:rFonts w:cstheme="minorHAnsi"/>
          <w:lang w:val="en-GB"/>
        </w:rPr>
        <w:t xml:space="preserve">projects that ESG investing will reach </w:t>
      </w:r>
      <w:r w:rsidR="007255DA" w:rsidRPr="00C37F01">
        <w:rPr>
          <w:rFonts w:cstheme="minorHAnsi"/>
          <w:lang w:val="en-GB"/>
        </w:rPr>
        <w:t>US</w:t>
      </w:r>
      <w:r w:rsidRPr="00C37F01">
        <w:rPr>
          <w:rFonts w:cstheme="minorHAnsi"/>
          <w:lang w:val="en-GB"/>
        </w:rPr>
        <w:t xml:space="preserve">$33.9 trillion by 2026, highlighting a shift in investor mindset toward prioritizing social and environmental impact alongside traditional financial metrics. By incorporating culture more centrally into ESG criteria, </w:t>
      </w:r>
      <w:r w:rsidR="00DF0C70" w:rsidRPr="00C37F01">
        <w:rPr>
          <w:rFonts w:cstheme="minorHAnsi"/>
          <w:lang w:val="en-GB"/>
        </w:rPr>
        <w:t>the sector</w:t>
      </w:r>
      <w:r w:rsidRPr="00C37F01">
        <w:rPr>
          <w:rFonts w:cstheme="minorHAnsi"/>
          <w:lang w:val="en-GB"/>
        </w:rPr>
        <w:t xml:space="preserve"> could benefit from </w:t>
      </w:r>
      <w:r w:rsidR="000112BC" w:rsidRPr="00C37F01">
        <w:rPr>
          <w:rFonts w:cstheme="minorHAnsi"/>
          <w:lang w:val="en-GB"/>
        </w:rPr>
        <w:t xml:space="preserve">increased </w:t>
      </w:r>
      <w:r w:rsidR="003B4800" w:rsidRPr="00C37F01">
        <w:rPr>
          <w:rFonts w:cstheme="minorHAnsi"/>
          <w:lang w:val="en-GB"/>
        </w:rPr>
        <w:t>financial</w:t>
      </w:r>
      <w:r w:rsidR="000112BC" w:rsidRPr="00C37F01">
        <w:rPr>
          <w:rFonts w:cstheme="minorHAnsi"/>
          <w:lang w:val="en-GB"/>
        </w:rPr>
        <w:t xml:space="preserve"> flows within </w:t>
      </w:r>
      <w:r w:rsidRPr="00C37F01">
        <w:rPr>
          <w:rFonts w:cstheme="minorHAnsi"/>
          <w:lang w:val="en-GB"/>
        </w:rPr>
        <w:t xml:space="preserve">this </w:t>
      </w:r>
      <w:r w:rsidR="00DF0C70" w:rsidRPr="00C37F01">
        <w:rPr>
          <w:rFonts w:cstheme="minorHAnsi"/>
          <w:lang w:val="en-GB"/>
        </w:rPr>
        <w:t>new</w:t>
      </w:r>
      <w:r w:rsidRPr="00C37F01">
        <w:rPr>
          <w:rFonts w:cstheme="minorHAnsi"/>
          <w:lang w:val="en-GB"/>
        </w:rPr>
        <w:t xml:space="preserve"> investment paradigm.</w:t>
      </w:r>
    </w:p>
    <w:p w14:paraId="011537A2" w14:textId="77777777" w:rsidR="004E1712" w:rsidRPr="00C37F01" w:rsidRDefault="004E1712" w:rsidP="004E1712">
      <w:pPr>
        <w:pStyle w:val="ListParagraph"/>
        <w:jc w:val="both"/>
        <w:rPr>
          <w:rFonts w:cstheme="minorHAnsi"/>
          <w:lang w:val="en-GB"/>
        </w:rPr>
      </w:pPr>
    </w:p>
    <w:p w14:paraId="2F099621" w14:textId="01CB5E13" w:rsidR="006C0DEB" w:rsidRPr="00C37F01" w:rsidRDefault="00502C88" w:rsidP="008718C3">
      <w:pPr>
        <w:pStyle w:val="ListParagraph"/>
        <w:numPr>
          <w:ilvl w:val="0"/>
          <w:numId w:val="10"/>
        </w:numPr>
        <w:jc w:val="both"/>
        <w:rPr>
          <w:rFonts w:cstheme="minorHAnsi"/>
          <w:lang w:val="en-GB"/>
        </w:rPr>
      </w:pPr>
      <w:r w:rsidRPr="00C37F01">
        <w:rPr>
          <w:rFonts w:cstheme="minorHAnsi"/>
          <w:lang w:val="en-GB"/>
        </w:rPr>
        <w:t xml:space="preserve">Capacity building </w:t>
      </w:r>
      <w:r w:rsidR="00A45062" w:rsidRPr="00C37F01">
        <w:rPr>
          <w:rFonts w:cstheme="minorHAnsi"/>
          <w:lang w:val="en-GB"/>
        </w:rPr>
        <w:t xml:space="preserve">efforts are </w:t>
      </w:r>
      <w:r w:rsidR="00E65F3B" w:rsidRPr="00C37F01">
        <w:rPr>
          <w:rFonts w:cstheme="minorHAnsi"/>
          <w:lang w:val="en-GB"/>
        </w:rPr>
        <w:t xml:space="preserve">needed </w:t>
      </w:r>
      <w:r w:rsidRPr="00C37F01">
        <w:rPr>
          <w:rFonts w:cstheme="minorHAnsi"/>
          <w:lang w:val="en-GB"/>
        </w:rPr>
        <w:t xml:space="preserve">to develop more structured and professionalized </w:t>
      </w:r>
      <w:r w:rsidR="00B241EF" w:rsidRPr="00C37F01">
        <w:rPr>
          <w:rFonts w:cstheme="minorHAnsi"/>
          <w:lang w:val="en-GB"/>
        </w:rPr>
        <w:t>CCIs</w:t>
      </w:r>
      <w:r w:rsidR="00B241EF" w:rsidRPr="00C37F01" w:rsidDel="00B241EF">
        <w:rPr>
          <w:rFonts w:cstheme="minorHAnsi"/>
          <w:lang w:val="en-GB"/>
        </w:rPr>
        <w:t xml:space="preserve"> </w:t>
      </w:r>
      <w:r w:rsidR="00E65F3B" w:rsidRPr="00C37F01">
        <w:rPr>
          <w:rFonts w:cstheme="minorHAnsi"/>
          <w:lang w:val="en-GB"/>
        </w:rPr>
        <w:t xml:space="preserve">that </w:t>
      </w:r>
      <w:r w:rsidRPr="00C37F01">
        <w:rPr>
          <w:rFonts w:cstheme="minorHAnsi"/>
          <w:lang w:val="en-GB"/>
        </w:rPr>
        <w:t>can attract increased private investment</w:t>
      </w:r>
      <w:r w:rsidR="00AB1FF6" w:rsidRPr="00C37F01">
        <w:rPr>
          <w:rFonts w:cstheme="minorHAnsi"/>
          <w:lang w:val="en-GB"/>
        </w:rPr>
        <w:t>, notably</w:t>
      </w:r>
      <w:r w:rsidRPr="00C37F01">
        <w:rPr>
          <w:rFonts w:cstheme="minorHAnsi"/>
          <w:lang w:val="en-GB"/>
        </w:rPr>
        <w:t xml:space="preserve"> by reducing financial risk</w:t>
      </w:r>
      <w:r w:rsidR="008B3C7C" w:rsidRPr="00C37F01">
        <w:rPr>
          <w:rFonts w:cstheme="minorHAnsi"/>
          <w:lang w:val="en-GB"/>
        </w:rPr>
        <w:t xml:space="preserve"> for investors and lenders</w:t>
      </w:r>
      <w:r w:rsidRPr="00C37F01">
        <w:rPr>
          <w:rFonts w:cstheme="minorHAnsi"/>
          <w:lang w:val="en-GB"/>
        </w:rPr>
        <w:t xml:space="preserve">. </w:t>
      </w:r>
      <w:r w:rsidR="00456ABB" w:rsidRPr="00C37F01">
        <w:rPr>
          <w:rFonts w:cstheme="minorHAnsi"/>
          <w:lang w:val="en-GB"/>
        </w:rPr>
        <w:t xml:space="preserve">Policies aimed at developing stronger business models, establishing clear regulatory frameworks </w:t>
      </w:r>
      <w:r w:rsidR="00456ABB" w:rsidRPr="00C37F01">
        <w:rPr>
          <w:rFonts w:eastAsia="Calibri" w:cstheme="minorHAnsi"/>
          <w:kern w:val="0"/>
          <w:lang w:val="en-GB" w:eastAsia="en-US"/>
          <w14:ligatures w14:val="none"/>
        </w:rPr>
        <w:t xml:space="preserve">– </w:t>
      </w:r>
      <w:r w:rsidR="00456ABB" w:rsidRPr="00C37F01">
        <w:rPr>
          <w:rFonts w:cstheme="minorHAnsi"/>
          <w:lang w:val="en-GB"/>
        </w:rPr>
        <w:t xml:space="preserve">including with regards to </w:t>
      </w:r>
      <w:r w:rsidR="00E4145D" w:rsidRPr="00C37F01">
        <w:rPr>
          <w:rFonts w:cstheme="minorHAnsi"/>
          <w:lang w:val="en-GB"/>
        </w:rPr>
        <w:t>Intellection Property</w:t>
      </w:r>
      <w:r w:rsidR="00456ABB" w:rsidRPr="00C37F01">
        <w:rPr>
          <w:rFonts w:cstheme="minorHAnsi"/>
          <w:lang w:val="en-GB"/>
        </w:rPr>
        <w:t xml:space="preserve"> rights protection </w:t>
      </w:r>
      <w:r w:rsidR="00456ABB" w:rsidRPr="00C37F01">
        <w:rPr>
          <w:rFonts w:eastAsia="Calibri" w:cstheme="minorHAnsi"/>
          <w:kern w:val="0"/>
          <w:lang w:val="en-GB" w:eastAsia="en-US"/>
          <w14:ligatures w14:val="none"/>
        </w:rPr>
        <w:t xml:space="preserve">– </w:t>
      </w:r>
      <w:r w:rsidR="00456ABB" w:rsidRPr="00C37F01">
        <w:rPr>
          <w:rFonts w:cstheme="minorHAnsi"/>
          <w:lang w:val="en-GB"/>
        </w:rPr>
        <w:t xml:space="preserve">and creating indicators on social and economic impact </w:t>
      </w:r>
      <w:r w:rsidR="00164737" w:rsidRPr="00C37F01">
        <w:rPr>
          <w:rFonts w:cstheme="minorHAnsi"/>
          <w:lang w:val="en-GB"/>
        </w:rPr>
        <w:t>would make investment and lending in the creative industries more attractive, especially in developing countries</w:t>
      </w:r>
      <w:r w:rsidR="00456ABB" w:rsidRPr="00C37F01">
        <w:rPr>
          <w:rFonts w:cstheme="minorHAnsi"/>
          <w:lang w:val="en-GB"/>
        </w:rPr>
        <w:t>.</w:t>
      </w:r>
      <w:r w:rsidR="00EF1C6F" w:rsidRPr="00C37F01">
        <w:rPr>
          <w:rFonts w:cstheme="minorHAnsi"/>
          <w:lang w:val="en-GB"/>
        </w:rPr>
        <w:t xml:space="preserve"> </w:t>
      </w:r>
      <w:r w:rsidR="00EE7B70" w:rsidRPr="00C37F01">
        <w:rPr>
          <w:rFonts w:cstheme="minorHAnsi"/>
          <w:lang w:val="en-GB"/>
        </w:rPr>
        <w:t xml:space="preserve">At the same time, the </w:t>
      </w:r>
      <w:proofErr w:type="gramStart"/>
      <w:r w:rsidR="009F322A" w:rsidRPr="00C37F01">
        <w:rPr>
          <w:rFonts w:cstheme="minorHAnsi"/>
          <w:lang w:val="en-GB"/>
        </w:rPr>
        <w:t>ever</w:t>
      </w:r>
      <w:r w:rsidR="0031347B" w:rsidRPr="00C37F01">
        <w:rPr>
          <w:rFonts w:cstheme="minorHAnsi"/>
          <w:lang w:val="en-GB"/>
        </w:rPr>
        <w:t>-</w:t>
      </w:r>
      <w:r w:rsidR="009F322A" w:rsidRPr="00C37F01">
        <w:rPr>
          <w:rFonts w:cstheme="minorHAnsi"/>
          <w:lang w:val="en-GB"/>
        </w:rPr>
        <w:t>evolving</w:t>
      </w:r>
      <w:proofErr w:type="gramEnd"/>
      <w:r w:rsidR="00EE7B70" w:rsidRPr="00C37F01">
        <w:rPr>
          <w:rFonts w:cstheme="minorHAnsi"/>
          <w:lang w:val="en-GB"/>
        </w:rPr>
        <w:t xml:space="preserve"> and informal nature of cultural work calls for more adaptable</w:t>
      </w:r>
      <w:r w:rsidR="00FE2942" w:rsidRPr="00C37F01">
        <w:rPr>
          <w:rFonts w:cstheme="minorHAnsi"/>
          <w:lang w:val="en-GB"/>
        </w:rPr>
        <w:t xml:space="preserve">, </w:t>
      </w:r>
      <w:r w:rsidR="00C73AAB" w:rsidRPr="00C37F01">
        <w:rPr>
          <w:rFonts w:cstheme="minorHAnsi"/>
          <w:lang w:val="en-GB"/>
        </w:rPr>
        <w:t>flexible</w:t>
      </w:r>
      <w:r w:rsidR="00EE7B70" w:rsidRPr="00C37F01">
        <w:rPr>
          <w:rFonts w:cstheme="minorHAnsi"/>
          <w:lang w:val="en-GB"/>
        </w:rPr>
        <w:t xml:space="preserve"> financial frameworks that reflect such </w:t>
      </w:r>
      <w:r w:rsidR="0031347B" w:rsidRPr="00C37F01">
        <w:rPr>
          <w:rFonts w:cstheme="minorHAnsi"/>
          <w:lang w:val="en-GB"/>
        </w:rPr>
        <w:t>reality</w:t>
      </w:r>
      <w:r w:rsidR="008718C3" w:rsidRPr="00C37F01">
        <w:rPr>
          <w:rFonts w:cstheme="minorHAnsi"/>
          <w:lang w:val="en-GB"/>
        </w:rPr>
        <w:t xml:space="preserve"> and that enable cultural actors to clearly understand </w:t>
      </w:r>
      <w:r w:rsidR="000B2D9E" w:rsidRPr="00C37F01">
        <w:rPr>
          <w:rFonts w:cstheme="minorHAnsi"/>
          <w:lang w:val="en-GB"/>
        </w:rPr>
        <w:t>how to</w:t>
      </w:r>
      <w:r w:rsidR="008718C3" w:rsidRPr="00C37F01">
        <w:rPr>
          <w:rFonts w:cstheme="minorHAnsi"/>
          <w:lang w:val="en-GB"/>
        </w:rPr>
        <w:t xml:space="preserve"> access </w:t>
      </w:r>
      <w:r w:rsidR="000B2D9E" w:rsidRPr="00C37F01">
        <w:rPr>
          <w:rFonts w:cstheme="minorHAnsi"/>
          <w:lang w:val="en-GB"/>
        </w:rPr>
        <w:t>them</w:t>
      </w:r>
      <w:r w:rsidR="00EE7B70" w:rsidRPr="00C37F01">
        <w:rPr>
          <w:rFonts w:cstheme="minorHAnsi"/>
          <w:lang w:val="en-GB"/>
        </w:rPr>
        <w:t>.</w:t>
      </w:r>
    </w:p>
    <w:p w14:paraId="6778D4A5" w14:textId="5399956F" w:rsidR="00260FAD" w:rsidRPr="00832481" w:rsidRDefault="00DF476C" w:rsidP="00523652">
      <w:pPr>
        <w:jc w:val="both"/>
        <w:rPr>
          <w:rFonts w:asciiTheme="majorHAnsi" w:hAnsiTheme="majorHAnsi" w:cstheme="majorHAnsi"/>
          <w:b/>
          <w:bCs/>
          <w:sz w:val="24"/>
          <w:szCs w:val="24"/>
          <w:lang w:val="en-GB"/>
        </w:rPr>
      </w:pPr>
      <w:r w:rsidRPr="00832481">
        <w:rPr>
          <w:rFonts w:asciiTheme="majorHAnsi" w:hAnsiTheme="majorHAnsi" w:cstheme="majorHAnsi"/>
          <w:b/>
          <w:bCs/>
          <w:sz w:val="24"/>
          <w:szCs w:val="24"/>
          <w:lang w:val="en-GB"/>
        </w:rPr>
        <w:lastRenderedPageBreak/>
        <w:t>International Development Cooperation</w:t>
      </w:r>
    </w:p>
    <w:p w14:paraId="4EAF14D2" w14:textId="47B9DCA3" w:rsidR="007E5895" w:rsidRPr="00C37F01" w:rsidRDefault="00523652" w:rsidP="007E5895">
      <w:pPr>
        <w:jc w:val="both"/>
        <w:rPr>
          <w:rFonts w:cstheme="minorHAnsi"/>
          <w:lang w:val="en-GB"/>
        </w:rPr>
      </w:pPr>
      <w:r w:rsidRPr="00C37F01">
        <w:rPr>
          <w:rFonts w:cstheme="minorHAnsi"/>
          <w:lang w:val="en-GB"/>
        </w:rPr>
        <w:t xml:space="preserve">Development cooperation agents are increasingly recognizing that integrating culture into sustainable development projects enhances </w:t>
      </w:r>
      <w:r w:rsidR="00F95446" w:rsidRPr="00C37F01">
        <w:rPr>
          <w:rFonts w:cstheme="minorHAnsi"/>
          <w:lang w:val="en-GB"/>
        </w:rPr>
        <w:t>the</w:t>
      </w:r>
      <w:r w:rsidR="00715FA8" w:rsidRPr="00C37F01">
        <w:rPr>
          <w:rFonts w:cstheme="minorHAnsi"/>
          <w:lang w:val="en-GB"/>
        </w:rPr>
        <w:t>ir</w:t>
      </w:r>
      <w:r w:rsidR="00F95446" w:rsidRPr="00C37F01">
        <w:rPr>
          <w:rFonts w:cstheme="minorHAnsi"/>
          <w:lang w:val="en-GB"/>
        </w:rPr>
        <w:t xml:space="preserve"> </w:t>
      </w:r>
      <w:r w:rsidR="00520D00" w:rsidRPr="00C37F01">
        <w:rPr>
          <w:rFonts w:cstheme="minorHAnsi"/>
          <w:lang w:val="en-GB"/>
        </w:rPr>
        <w:t xml:space="preserve">effectiveness </w:t>
      </w:r>
      <w:r w:rsidR="00531D49" w:rsidRPr="00C37F01">
        <w:rPr>
          <w:rFonts w:cstheme="minorHAnsi"/>
          <w:lang w:val="en-GB"/>
        </w:rPr>
        <w:t xml:space="preserve">by </w:t>
      </w:r>
      <w:r w:rsidR="00F95446" w:rsidRPr="00C37F01">
        <w:rPr>
          <w:rFonts w:cstheme="minorHAnsi"/>
          <w:lang w:val="en-GB"/>
        </w:rPr>
        <w:t>promoting</w:t>
      </w:r>
      <w:r w:rsidR="00531D49" w:rsidRPr="00C37F01">
        <w:rPr>
          <w:rFonts w:cstheme="minorHAnsi"/>
          <w:lang w:val="en-GB"/>
        </w:rPr>
        <w:t xml:space="preserve"> </w:t>
      </w:r>
      <w:r w:rsidRPr="00C37F01">
        <w:rPr>
          <w:rFonts w:cstheme="minorHAnsi"/>
          <w:lang w:val="en-GB"/>
        </w:rPr>
        <w:t>localization and contextualization, while also advanc</w:t>
      </w:r>
      <w:r w:rsidR="00D71873" w:rsidRPr="00C37F01">
        <w:rPr>
          <w:rFonts w:cstheme="minorHAnsi"/>
          <w:lang w:val="en-GB"/>
        </w:rPr>
        <w:t xml:space="preserve">ing </w:t>
      </w:r>
      <w:r w:rsidRPr="00C37F01">
        <w:rPr>
          <w:rFonts w:cstheme="minorHAnsi"/>
          <w:lang w:val="en-GB"/>
        </w:rPr>
        <w:t xml:space="preserve">inclusive economic development, notably through the </w:t>
      </w:r>
      <w:r w:rsidR="00B241EF" w:rsidRPr="00C37F01">
        <w:rPr>
          <w:rFonts w:cstheme="minorHAnsi"/>
          <w:lang w:val="en-GB"/>
        </w:rPr>
        <w:t>CCIs</w:t>
      </w:r>
      <w:r w:rsidR="00B241EF" w:rsidRPr="00C37F01" w:rsidDel="00B241EF">
        <w:rPr>
          <w:rFonts w:cstheme="minorHAnsi"/>
          <w:lang w:val="en-GB"/>
        </w:rPr>
        <w:t xml:space="preserve"> </w:t>
      </w:r>
      <w:r w:rsidR="007828E5" w:rsidRPr="00C37F01">
        <w:rPr>
          <w:rFonts w:cstheme="minorHAnsi"/>
          <w:lang w:val="en-GB"/>
        </w:rPr>
        <w:t xml:space="preserve">and the </w:t>
      </w:r>
      <w:r w:rsidR="005951F5" w:rsidRPr="00C37F01">
        <w:rPr>
          <w:rFonts w:cstheme="minorHAnsi"/>
          <w:lang w:val="en-GB"/>
        </w:rPr>
        <w:t xml:space="preserve">cultural </w:t>
      </w:r>
      <w:r w:rsidR="007828E5" w:rsidRPr="00C37F01">
        <w:rPr>
          <w:rFonts w:cstheme="minorHAnsi"/>
          <w:lang w:val="en-GB"/>
        </w:rPr>
        <w:t>heritage sector</w:t>
      </w:r>
      <w:r w:rsidRPr="00C37F01">
        <w:rPr>
          <w:rFonts w:cstheme="minorHAnsi"/>
          <w:lang w:val="en-GB"/>
        </w:rPr>
        <w:t>.</w:t>
      </w:r>
      <w:r w:rsidR="00970AE6" w:rsidRPr="00C37F01">
        <w:rPr>
          <w:rFonts w:cstheme="minorHAnsi"/>
          <w:lang w:val="en-GB"/>
        </w:rPr>
        <w:t xml:space="preserve"> </w:t>
      </w:r>
      <w:r w:rsidR="001E65DE" w:rsidRPr="00C37F01">
        <w:rPr>
          <w:rFonts w:cstheme="minorHAnsi"/>
          <w:lang w:val="en-GB"/>
        </w:rPr>
        <w:t>The integration of cultur</w:t>
      </w:r>
      <w:r w:rsidR="00B6364F" w:rsidRPr="00C37F01">
        <w:rPr>
          <w:rFonts w:cstheme="minorHAnsi"/>
          <w:lang w:val="en-GB"/>
        </w:rPr>
        <w:t>al</w:t>
      </w:r>
      <w:r w:rsidR="00E936DF" w:rsidRPr="00C37F01">
        <w:rPr>
          <w:rFonts w:cstheme="minorHAnsi"/>
          <w:lang w:val="en-GB"/>
        </w:rPr>
        <w:t xml:space="preserve"> diversity</w:t>
      </w:r>
      <w:r w:rsidR="001E65DE" w:rsidRPr="00C37F01">
        <w:rPr>
          <w:rFonts w:cstheme="minorHAnsi"/>
          <w:lang w:val="en-GB"/>
        </w:rPr>
        <w:t xml:space="preserve"> into </w:t>
      </w:r>
      <w:r w:rsidR="00D31EEF" w:rsidRPr="00C37F01">
        <w:rPr>
          <w:rFonts w:cstheme="minorHAnsi"/>
          <w:lang w:val="en-GB"/>
        </w:rPr>
        <w:t xml:space="preserve">development plans places </w:t>
      </w:r>
      <w:r w:rsidR="0096428B" w:rsidRPr="00C37F01">
        <w:rPr>
          <w:rFonts w:cstheme="minorHAnsi"/>
          <w:lang w:val="en-GB"/>
        </w:rPr>
        <w:t xml:space="preserve">individuals and communities at the forefront of the conception, </w:t>
      </w:r>
      <w:r w:rsidR="00E07132" w:rsidRPr="00C37F01">
        <w:rPr>
          <w:rFonts w:cstheme="minorHAnsi"/>
          <w:lang w:val="en-GB"/>
        </w:rPr>
        <w:t>decision-making</w:t>
      </w:r>
      <w:r w:rsidR="0096428B" w:rsidRPr="00C37F01">
        <w:rPr>
          <w:rFonts w:cstheme="minorHAnsi"/>
          <w:lang w:val="en-GB"/>
        </w:rPr>
        <w:t xml:space="preserve"> and operationalization of development pathways</w:t>
      </w:r>
      <w:r w:rsidR="00D31EEF" w:rsidRPr="00C37F01">
        <w:rPr>
          <w:rFonts w:cstheme="minorHAnsi"/>
          <w:lang w:val="en-GB"/>
        </w:rPr>
        <w:t xml:space="preserve">, including </w:t>
      </w:r>
      <w:r w:rsidR="00604FD7" w:rsidRPr="00C37F01">
        <w:rPr>
          <w:rFonts w:cstheme="minorHAnsi"/>
          <w:lang w:val="en-GB"/>
        </w:rPr>
        <w:t xml:space="preserve">of indigenous peoples and local communities, as explicitly recognised </w:t>
      </w:r>
      <w:r w:rsidR="00E925D2" w:rsidRPr="00C37F01">
        <w:rPr>
          <w:rFonts w:cstheme="minorHAnsi"/>
          <w:lang w:val="en-GB"/>
        </w:rPr>
        <w:t>in</w:t>
      </w:r>
      <w:r w:rsidR="00604FD7" w:rsidRPr="00C37F01">
        <w:rPr>
          <w:rFonts w:cstheme="minorHAnsi"/>
          <w:lang w:val="en-GB"/>
        </w:rPr>
        <w:t xml:space="preserve"> the </w:t>
      </w:r>
      <w:r w:rsidR="00D173BA" w:rsidRPr="00C37F01">
        <w:rPr>
          <w:rFonts w:cstheme="minorHAnsi"/>
          <w:lang w:val="en-GB"/>
        </w:rPr>
        <w:t>Addis Ababa Action Agenda</w:t>
      </w:r>
      <w:r w:rsidR="00192DEB">
        <w:rPr>
          <w:rFonts w:cstheme="minorHAnsi"/>
          <w:lang w:val="en-GB"/>
        </w:rPr>
        <w:t>.</w:t>
      </w:r>
      <w:r w:rsidR="008574B3" w:rsidRPr="00C37F01">
        <w:rPr>
          <w:rStyle w:val="FootnoteReference"/>
          <w:rFonts w:cstheme="minorHAnsi"/>
          <w:lang w:val="en-GB"/>
        </w:rPr>
        <w:footnoteReference w:id="9"/>
      </w:r>
    </w:p>
    <w:p w14:paraId="09E4E4C4" w14:textId="42947F26" w:rsidR="0044504C" w:rsidRPr="00C37F01" w:rsidRDefault="00926DC5" w:rsidP="007E5895">
      <w:pPr>
        <w:jc w:val="both"/>
        <w:rPr>
          <w:rFonts w:cstheme="minorHAnsi"/>
          <w:lang w:val="en-GB"/>
        </w:rPr>
      </w:pPr>
      <w:r w:rsidRPr="00C37F01">
        <w:rPr>
          <w:rFonts w:cstheme="minorHAnsi"/>
          <w:lang w:val="en-GB"/>
        </w:rPr>
        <w:t>In recognition of this</w:t>
      </w:r>
      <w:r w:rsidR="00EA1997" w:rsidRPr="00C37F01">
        <w:rPr>
          <w:rFonts w:cstheme="minorHAnsi"/>
          <w:lang w:val="en-GB"/>
        </w:rPr>
        <w:t>, s</w:t>
      </w:r>
      <w:r w:rsidR="002B0B06" w:rsidRPr="00C37F01">
        <w:rPr>
          <w:rFonts w:cstheme="minorHAnsi"/>
          <w:lang w:val="en-GB"/>
        </w:rPr>
        <w:t>everal</w:t>
      </w:r>
      <w:r w:rsidR="00F17A1E" w:rsidRPr="00C37F01">
        <w:rPr>
          <w:rFonts w:cstheme="minorHAnsi"/>
          <w:lang w:val="en-GB"/>
        </w:rPr>
        <w:t xml:space="preserve"> initiatives are emerging within both Official Development Assistance (ODA)</w:t>
      </w:r>
      <w:r w:rsidR="005F1A00" w:rsidRPr="00C37F01">
        <w:rPr>
          <w:rFonts w:cstheme="minorHAnsi"/>
          <w:lang w:val="en-GB"/>
        </w:rPr>
        <w:t xml:space="preserve"> </w:t>
      </w:r>
      <w:r w:rsidR="00E10368" w:rsidRPr="00C37F01">
        <w:rPr>
          <w:rFonts w:cstheme="minorHAnsi"/>
          <w:lang w:val="en-GB"/>
        </w:rPr>
        <w:t>programs</w:t>
      </w:r>
      <w:r w:rsidR="0044504C" w:rsidRPr="00C37F01">
        <w:rPr>
          <w:rFonts w:cstheme="minorHAnsi"/>
          <w:lang w:val="en-GB"/>
        </w:rPr>
        <w:t xml:space="preserve">, such as the EU’s Practitioners’ Network Culture and Development Workstream, </w:t>
      </w:r>
      <w:r w:rsidR="00F17A1E" w:rsidRPr="00C37F01">
        <w:rPr>
          <w:rFonts w:cstheme="minorHAnsi"/>
          <w:lang w:val="en-GB"/>
        </w:rPr>
        <w:t xml:space="preserve">and Public Development Banks (PDBs), </w:t>
      </w:r>
      <w:r w:rsidR="0044504C" w:rsidRPr="00C37F01">
        <w:rPr>
          <w:rFonts w:cstheme="minorHAnsi"/>
          <w:lang w:val="en-GB"/>
        </w:rPr>
        <w:t>like</w:t>
      </w:r>
      <w:r w:rsidR="00F17A1E" w:rsidRPr="00C37F01">
        <w:rPr>
          <w:rFonts w:cstheme="minorHAnsi"/>
          <w:lang w:val="en-GB"/>
        </w:rPr>
        <w:t xml:space="preserve"> the Coalition for Sustainable Development through Culture and Arts</w:t>
      </w:r>
      <w:r w:rsidR="0015684F" w:rsidRPr="00C37F01">
        <w:rPr>
          <w:rStyle w:val="FootnoteReference"/>
          <w:rFonts w:cstheme="minorHAnsi"/>
          <w:lang w:val="en-GB"/>
        </w:rPr>
        <w:footnoteReference w:id="10"/>
      </w:r>
      <w:r w:rsidR="00F17A1E" w:rsidRPr="00C37F01">
        <w:rPr>
          <w:rFonts w:cstheme="minorHAnsi"/>
          <w:lang w:val="en-GB"/>
        </w:rPr>
        <w:t xml:space="preserve">, established within the Finance in Common network. Building on this momentum, decision-makers in </w:t>
      </w:r>
      <w:r w:rsidR="00FD1C89" w:rsidRPr="00C37F01">
        <w:rPr>
          <w:rFonts w:cstheme="minorHAnsi"/>
          <w:lang w:val="en-GB"/>
        </w:rPr>
        <w:t>development cooperation</w:t>
      </w:r>
      <w:r w:rsidR="00A30954" w:rsidRPr="00C37F01">
        <w:rPr>
          <w:rFonts w:cstheme="minorHAnsi"/>
          <w:lang w:val="en-GB"/>
        </w:rPr>
        <w:t xml:space="preserve"> </w:t>
      </w:r>
      <w:r w:rsidR="00FD1C89" w:rsidRPr="00C37F01">
        <w:rPr>
          <w:rFonts w:cstheme="minorHAnsi"/>
          <w:lang w:val="en-GB"/>
        </w:rPr>
        <w:t xml:space="preserve">institutions </w:t>
      </w:r>
      <w:r w:rsidR="00F17A1E" w:rsidRPr="00C37F01">
        <w:rPr>
          <w:rFonts w:cstheme="minorHAnsi"/>
          <w:lang w:val="en-GB"/>
        </w:rPr>
        <w:t xml:space="preserve">should prioritize </w:t>
      </w:r>
      <w:r w:rsidR="00FF00D9" w:rsidRPr="00C37F01">
        <w:rPr>
          <w:rFonts w:cstheme="minorHAnsi"/>
          <w:lang w:val="en-GB"/>
        </w:rPr>
        <w:t xml:space="preserve">investments in </w:t>
      </w:r>
      <w:r w:rsidR="00DF4542" w:rsidRPr="00C37F01">
        <w:rPr>
          <w:rFonts w:cstheme="minorHAnsi"/>
          <w:lang w:val="en-GB"/>
        </w:rPr>
        <w:t xml:space="preserve">the </w:t>
      </w:r>
      <w:r w:rsidR="00F17A1E" w:rsidRPr="00C37F01">
        <w:rPr>
          <w:rFonts w:cstheme="minorHAnsi"/>
          <w:lang w:val="en-GB"/>
        </w:rPr>
        <w:t>cultur</w:t>
      </w:r>
      <w:r w:rsidR="00DF4542" w:rsidRPr="00C37F01">
        <w:rPr>
          <w:rFonts w:cstheme="minorHAnsi"/>
          <w:lang w:val="en-GB"/>
        </w:rPr>
        <w:t>al sector</w:t>
      </w:r>
      <w:r w:rsidR="00F17A1E" w:rsidRPr="00C37F01">
        <w:rPr>
          <w:rFonts w:cstheme="minorHAnsi"/>
          <w:lang w:val="en-GB"/>
        </w:rPr>
        <w:t xml:space="preserve"> in more structured and systematic ways.</w:t>
      </w:r>
    </w:p>
    <w:p w14:paraId="44A0D448" w14:textId="77777777" w:rsidR="00D330DE" w:rsidRPr="00832481" w:rsidRDefault="00DF476C" w:rsidP="00072295">
      <w:pPr>
        <w:jc w:val="both"/>
        <w:rPr>
          <w:rFonts w:asciiTheme="majorHAnsi" w:hAnsiTheme="majorHAnsi" w:cstheme="majorHAnsi"/>
          <w:b/>
          <w:bCs/>
          <w:sz w:val="24"/>
          <w:szCs w:val="24"/>
          <w:lang w:val="en-GB"/>
        </w:rPr>
      </w:pPr>
      <w:r w:rsidRPr="00832481">
        <w:rPr>
          <w:rFonts w:asciiTheme="majorHAnsi" w:hAnsiTheme="majorHAnsi" w:cstheme="majorHAnsi"/>
          <w:b/>
          <w:bCs/>
          <w:sz w:val="24"/>
          <w:szCs w:val="24"/>
          <w:lang w:val="en-GB"/>
        </w:rPr>
        <w:t>International Trade</w:t>
      </w:r>
    </w:p>
    <w:p w14:paraId="0A5F3730" w14:textId="1788771A" w:rsidR="005758B7" w:rsidRPr="00C37F01" w:rsidRDefault="00633993" w:rsidP="00B37263">
      <w:pPr>
        <w:jc w:val="both"/>
        <w:rPr>
          <w:rFonts w:cstheme="minorHAnsi"/>
          <w:lang w:val="en-GB"/>
        </w:rPr>
      </w:pPr>
      <w:r w:rsidRPr="00C37F01">
        <w:rPr>
          <w:rFonts w:cstheme="minorHAnsi"/>
          <w:lang w:val="en-GB"/>
        </w:rPr>
        <w:t xml:space="preserve">International trade </w:t>
      </w:r>
      <w:r w:rsidR="003A759D" w:rsidRPr="00C37F01">
        <w:rPr>
          <w:rFonts w:cstheme="minorHAnsi"/>
          <w:lang w:val="en-GB"/>
        </w:rPr>
        <w:t xml:space="preserve">stakeholders </w:t>
      </w:r>
      <w:r w:rsidRPr="00C37F01">
        <w:rPr>
          <w:rFonts w:cstheme="minorHAnsi"/>
          <w:lang w:val="en-GB"/>
        </w:rPr>
        <w:t xml:space="preserve">should </w:t>
      </w:r>
      <w:r w:rsidR="00B35BF0" w:rsidRPr="00C37F01">
        <w:rPr>
          <w:rFonts w:cstheme="minorHAnsi"/>
          <w:lang w:val="en-GB"/>
        </w:rPr>
        <w:t>recognize</w:t>
      </w:r>
      <w:r w:rsidRPr="00C37F01">
        <w:rPr>
          <w:rFonts w:cstheme="minorHAnsi"/>
          <w:lang w:val="en-GB"/>
        </w:rPr>
        <w:t xml:space="preserve"> the role of culture in promoting inclusive and equitable economic growth and development</w:t>
      </w:r>
      <w:r w:rsidR="00692742" w:rsidRPr="00C37F01">
        <w:rPr>
          <w:rFonts w:cstheme="minorHAnsi"/>
          <w:lang w:val="en-GB"/>
        </w:rPr>
        <w:t xml:space="preserve">. </w:t>
      </w:r>
      <w:r w:rsidR="009E2DAF" w:rsidRPr="00C37F01">
        <w:rPr>
          <w:rFonts w:cstheme="minorHAnsi"/>
          <w:lang w:val="en-GB"/>
        </w:rPr>
        <w:t>C</w:t>
      </w:r>
      <w:r w:rsidRPr="00C37F01">
        <w:rPr>
          <w:rFonts w:cstheme="minorHAnsi"/>
          <w:lang w:val="en-GB"/>
        </w:rPr>
        <w:t>ultural goods and services</w:t>
      </w:r>
      <w:r w:rsidR="009E2DAF" w:rsidRPr="00C37F01">
        <w:rPr>
          <w:rFonts w:cstheme="minorHAnsi"/>
          <w:lang w:val="en-GB"/>
        </w:rPr>
        <w:t xml:space="preserve">, which reached an estimated </w:t>
      </w:r>
      <w:r w:rsidR="00E54ED8" w:rsidRPr="00C37F01">
        <w:rPr>
          <w:rFonts w:cstheme="minorHAnsi"/>
          <w:lang w:val="en-GB"/>
        </w:rPr>
        <w:t>US</w:t>
      </w:r>
      <w:r w:rsidR="009E2DAF" w:rsidRPr="00C37F01">
        <w:rPr>
          <w:rFonts w:cstheme="minorHAnsi"/>
          <w:lang w:val="en-GB"/>
        </w:rPr>
        <w:t>$</w:t>
      </w:r>
      <w:r w:rsidR="00D75726" w:rsidRPr="00C37F01">
        <w:rPr>
          <w:rFonts w:cstheme="minorHAnsi"/>
          <w:lang w:val="en-GB"/>
        </w:rPr>
        <w:t>2.1</w:t>
      </w:r>
      <w:r w:rsidR="009E2DAF" w:rsidRPr="00C37F01">
        <w:rPr>
          <w:rFonts w:cstheme="minorHAnsi"/>
          <w:lang w:val="en-GB"/>
        </w:rPr>
        <w:t xml:space="preserve"> trillion in exports in 202</w:t>
      </w:r>
      <w:r w:rsidR="009F00DD" w:rsidRPr="00C37F01">
        <w:rPr>
          <w:rFonts w:cstheme="minorHAnsi"/>
          <w:lang w:val="en-GB"/>
        </w:rPr>
        <w:t>2</w:t>
      </w:r>
      <w:r w:rsidR="009E2DAF" w:rsidRPr="00C37F01">
        <w:rPr>
          <w:rStyle w:val="FootnoteReference"/>
          <w:rFonts w:cstheme="minorHAnsi"/>
          <w:lang w:val="en-GB"/>
        </w:rPr>
        <w:footnoteReference w:id="11"/>
      </w:r>
      <w:r w:rsidR="009E2DAF" w:rsidRPr="00C37F01">
        <w:rPr>
          <w:rFonts w:cstheme="minorHAnsi"/>
          <w:lang w:val="en-GB"/>
        </w:rPr>
        <w:t xml:space="preserve">, </w:t>
      </w:r>
      <w:r w:rsidRPr="00C37F01">
        <w:rPr>
          <w:rFonts w:cstheme="minorHAnsi"/>
          <w:lang w:val="en-GB"/>
        </w:rPr>
        <w:t>can be key in integrating developing countries into the global trading system</w:t>
      </w:r>
      <w:r w:rsidR="009E2DAF" w:rsidRPr="00C37F01">
        <w:rPr>
          <w:rFonts w:cstheme="minorHAnsi"/>
          <w:lang w:val="en-GB"/>
        </w:rPr>
        <w:t xml:space="preserve">. </w:t>
      </w:r>
      <w:r w:rsidR="003372D0" w:rsidRPr="00C37F01">
        <w:rPr>
          <w:rFonts w:cstheme="minorHAnsi"/>
          <w:lang w:val="en-GB"/>
        </w:rPr>
        <w:t>With 95</w:t>
      </w:r>
      <w:r w:rsidR="00E54ED8" w:rsidRPr="00C37F01">
        <w:rPr>
          <w:rFonts w:cstheme="minorHAnsi"/>
          <w:lang w:val="en-GB"/>
        </w:rPr>
        <w:t xml:space="preserve"> per cent</w:t>
      </w:r>
      <w:r w:rsidR="003372D0" w:rsidRPr="00C37F01">
        <w:rPr>
          <w:rFonts w:cstheme="minorHAnsi"/>
          <w:lang w:val="en-GB"/>
        </w:rPr>
        <w:t xml:space="preserve"> of total exports of cultural services</w:t>
      </w:r>
      <w:r w:rsidR="00AF67DC" w:rsidRPr="00C37F01">
        <w:rPr>
          <w:rFonts w:cstheme="minorHAnsi"/>
          <w:lang w:val="en-GB"/>
        </w:rPr>
        <w:t xml:space="preserve"> coming from developed countries</w:t>
      </w:r>
      <w:r w:rsidR="00D755FD" w:rsidRPr="00C37F01">
        <w:rPr>
          <w:rStyle w:val="FootnoteReference"/>
          <w:rFonts w:cstheme="minorHAnsi"/>
          <w:lang w:val="en-GB"/>
        </w:rPr>
        <w:footnoteReference w:id="12"/>
      </w:r>
      <w:r w:rsidR="00EA5F27" w:rsidRPr="00C37F01">
        <w:rPr>
          <w:rFonts w:cstheme="minorHAnsi"/>
          <w:lang w:val="en-GB"/>
        </w:rPr>
        <w:t>, t</w:t>
      </w:r>
      <w:r w:rsidR="00931399" w:rsidRPr="00C37F01">
        <w:rPr>
          <w:rFonts w:cstheme="minorHAnsi"/>
          <w:lang w:val="en-GB"/>
        </w:rPr>
        <w:t xml:space="preserve">he promotion of a </w:t>
      </w:r>
      <w:r w:rsidR="00313957" w:rsidRPr="00C37F01">
        <w:rPr>
          <w:rFonts w:cstheme="minorHAnsi"/>
          <w:lang w:val="en-GB"/>
        </w:rPr>
        <w:t xml:space="preserve">more </w:t>
      </w:r>
      <w:r w:rsidR="00931399" w:rsidRPr="00C37F01">
        <w:rPr>
          <w:rFonts w:cstheme="minorHAnsi"/>
          <w:lang w:val="en-GB"/>
        </w:rPr>
        <w:t>balanced flow of cultural goods and services</w:t>
      </w:r>
      <w:r w:rsidR="00606FA4" w:rsidRPr="00C37F01">
        <w:rPr>
          <w:rFonts w:cstheme="minorHAnsi"/>
          <w:lang w:val="en-GB"/>
        </w:rPr>
        <w:t xml:space="preserve">, </w:t>
      </w:r>
      <w:r w:rsidR="003043A5" w:rsidRPr="00C37F01">
        <w:rPr>
          <w:rFonts w:cstheme="minorHAnsi"/>
          <w:lang w:val="en-GB"/>
        </w:rPr>
        <w:t>along with</w:t>
      </w:r>
      <w:r w:rsidR="00A40913" w:rsidRPr="00C37F01">
        <w:rPr>
          <w:rFonts w:cstheme="minorHAnsi"/>
          <w:lang w:val="en-GB"/>
        </w:rPr>
        <w:t xml:space="preserve"> an</w:t>
      </w:r>
      <w:r w:rsidR="00931399" w:rsidRPr="00C37F01">
        <w:rPr>
          <w:rFonts w:cstheme="minorHAnsi"/>
          <w:lang w:val="en-GB"/>
        </w:rPr>
        <w:t xml:space="preserve"> increased mobility of artists and cultural professionals</w:t>
      </w:r>
      <w:r w:rsidR="00606FA4" w:rsidRPr="00C37F01">
        <w:rPr>
          <w:rFonts w:cstheme="minorHAnsi"/>
          <w:lang w:val="en-GB"/>
        </w:rPr>
        <w:t>,</w:t>
      </w:r>
      <w:r w:rsidR="00931399" w:rsidRPr="00C37F01">
        <w:rPr>
          <w:rFonts w:cstheme="minorHAnsi"/>
          <w:lang w:val="en-GB"/>
        </w:rPr>
        <w:t xml:space="preserve"> </w:t>
      </w:r>
      <w:r w:rsidR="009F5A1D" w:rsidRPr="00C37F01">
        <w:rPr>
          <w:rFonts w:cstheme="minorHAnsi"/>
          <w:lang w:val="en-GB"/>
        </w:rPr>
        <w:t>are</w:t>
      </w:r>
      <w:r w:rsidR="001779FB" w:rsidRPr="00C37F01">
        <w:rPr>
          <w:rFonts w:cstheme="minorHAnsi"/>
          <w:lang w:val="en-GB"/>
        </w:rPr>
        <w:t xml:space="preserve"> </w:t>
      </w:r>
      <w:r w:rsidR="00931399" w:rsidRPr="00C37F01">
        <w:rPr>
          <w:rFonts w:cstheme="minorHAnsi"/>
          <w:lang w:val="en-GB"/>
        </w:rPr>
        <w:t>key policy areas that require</w:t>
      </w:r>
      <w:r w:rsidR="009F5A1D" w:rsidRPr="00C37F01">
        <w:rPr>
          <w:rFonts w:cstheme="minorHAnsi"/>
          <w:lang w:val="en-GB"/>
        </w:rPr>
        <w:t xml:space="preserve"> </w:t>
      </w:r>
      <w:r w:rsidR="00931399" w:rsidRPr="00C37F01">
        <w:rPr>
          <w:rFonts w:cstheme="minorHAnsi"/>
          <w:lang w:val="en-GB"/>
        </w:rPr>
        <w:t>attention</w:t>
      </w:r>
      <w:r w:rsidR="00F47D43" w:rsidRPr="00C37F01">
        <w:rPr>
          <w:rFonts w:cstheme="minorHAnsi"/>
          <w:lang w:val="en-GB"/>
        </w:rPr>
        <w:t>.</w:t>
      </w:r>
      <w:r w:rsidR="00931399" w:rsidRPr="00C37F01">
        <w:rPr>
          <w:rFonts w:cstheme="minorHAnsi"/>
          <w:lang w:val="en-GB"/>
        </w:rPr>
        <w:t xml:space="preserve"> </w:t>
      </w:r>
      <w:r w:rsidR="00F47D43" w:rsidRPr="00C37F01">
        <w:rPr>
          <w:rFonts w:cstheme="minorHAnsi"/>
          <w:lang w:val="en-GB"/>
        </w:rPr>
        <w:t xml:space="preserve">This is </w:t>
      </w:r>
      <w:r w:rsidR="00931399" w:rsidRPr="00C37F01">
        <w:rPr>
          <w:rFonts w:cstheme="minorHAnsi"/>
          <w:lang w:val="en-GB"/>
        </w:rPr>
        <w:t xml:space="preserve">emphasized by the </w:t>
      </w:r>
      <w:r w:rsidR="00420649" w:rsidRPr="00C37F01">
        <w:rPr>
          <w:rFonts w:cstheme="minorHAnsi"/>
          <w:lang w:val="en-GB"/>
        </w:rPr>
        <w:t xml:space="preserve">objectives of the </w:t>
      </w:r>
      <w:r w:rsidR="00931399" w:rsidRPr="00C37F01">
        <w:rPr>
          <w:rFonts w:cstheme="minorHAnsi"/>
          <w:lang w:val="en-GB"/>
        </w:rPr>
        <w:t>UNESCO 2005 Convention</w:t>
      </w:r>
      <w:r w:rsidR="003F1B1A" w:rsidRPr="00C37F01">
        <w:rPr>
          <w:rFonts w:cstheme="minorHAnsi"/>
          <w:lang w:val="en-GB"/>
        </w:rPr>
        <w:t xml:space="preserve"> on the Protection and Promotion of the Diversity of Cultural Expressions</w:t>
      </w:r>
      <w:r w:rsidR="00931399" w:rsidRPr="00C37F01">
        <w:rPr>
          <w:rFonts w:cstheme="minorHAnsi"/>
          <w:lang w:val="en-GB"/>
        </w:rPr>
        <w:t>, which places particular emphasis on preferential treatment for developing countries, as enshrined in its Article 16.</w:t>
      </w:r>
      <w:r w:rsidR="00AC2EE3" w:rsidRPr="00C37F01">
        <w:rPr>
          <w:rFonts w:cstheme="minorHAnsi"/>
          <w:lang w:val="en-GB"/>
        </w:rPr>
        <w:t xml:space="preserve"> </w:t>
      </w:r>
      <w:r w:rsidR="007D4ED0" w:rsidRPr="00C37F01">
        <w:rPr>
          <w:rFonts w:cstheme="minorHAnsi"/>
          <w:lang w:val="en-GB"/>
        </w:rPr>
        <w:t>In this sense, p</w:t>
      </w:r>
      <w:r w:rsidR="00AC2EE3" w:rsidRPr="00C37F01">
        <w:rPr>
          <w:rFonts w:cstheme="minorHAnsi"/>
          <w:lang w:val="en-GB"/>
        </w:rPr>
        <w:t xml:space="preserve">olicy </w:t>
      </w:r>
      <w:r w:rsidR="007D4ED0" w:rsidRPr="00C37F01">
        <w:rPr>
          <w:rFonts w:cstheme="minorHAnsi"/>
          <w:lang w:val="en-GB"/>
        </w:rPr>
        <w:t>support</w:t>
      </w:r>
      <w:r w:rsidR="00AC2EE3" w:rsidRPr="00C37F01">
        <w:rPr>
          <w:rFonts w:cstheme="minorHAnsi"/>
          <w:lang w:val="en-GB"/>
        </w:rPr>
        <w:t xml:space="preserve"> is needed to encourage developed countries to refrain from systematically requesting reciprocity when negotiating trade agreements in the field of cultural goods and services with developing countries.</w:t>
      </w:r>
      <w:r w:rsidR="008502FB" w:rsidRPr="00C37F01">
        <w:rPr>
          <w:rFonts w:cstheme="minorHAnsi"/>
          <w:lang w:val="en-GB"/>
        </w:rPr>
        <w:t xml:space="preserve"> </w:t>
      </w:r>
    </w:p>
    <w:p w14:paraId="3F2EFBA3" w14:textId="6C441179" w:rsidR="00D330DE" w:rsidRPr="00832481" w:rsidRDefault="00DF476C" w:rsidP="00072295">
      <w:pPr>
        <w:jc w:val="both"/>
        <w:rPr>
          <w:rFonts w:asciiTheme="majorHAnsi" w:hAnsiTheme="majorHAnsi" w:cstheme="majorHAnsi"/>
          <w:b/>
          <w:bCs/>
          <w:sz w:val="24"/>
          <w:szCs w:val="24"/>
          <w:lang w:val="en-GB"/>
        </w:rPr>
      </w:pPr>
      <w:r w:rsidRPr="00832481">
        <w:rPr>
          <w:rFonts w:asciiTheme="majorHAnsi" w:hAnsiTheme="majorHAnsi" w:cstheme="majorHAnsi"/>
          <w:b/>
          <w:bCs/>
          <w:sz w:val="24"/>
          <w:szCs w:val="24"/>
          <w:lang w:val="en-GB"/>
        </w:rPr>
        <w:t>Systemic Issues</w:t>
      </w:r>
    </w:p>
    <w:p w14:paraId="7AFB3065" w14:textId="694DEE12" w:rsidR="00934933" w:rsidRPr="00C37F01" w:rsidRDefault="00DF476C" w:rsidP="00EF0A93">
      <w:pPr>
        <w:jc w:val="both"/>
        <w:rPr>
          <w:rFonts w:cstheme="minorHAnsi"/>
          <w:lang w:val="en-GB"/>
        </w:rPr>
      </w:pPr>
      <w:r w:rsidRPr="00C37F01">
        <w:rPr>
          <w:rFonts w:cstheme="minorHAnsi"/>
          <w:lang w:val="en-GB"/>
        </w:rPr>
        <w:t xml:space="preserve">In the quest to create a global </w:t>
      </w:r>
      <w:r w:rsidR="00643A6A" w:rsidRPr="00C37F01">
        <w:rPr>
          <w:rFonts w:cstheme="minorHAnsi"/>
          <w:lang w:val="en-GB"/>
        </w:rPr>
        <w:t>financial system</w:t>
      </w:r>
      <w:r w:rsidRPr="00C37F01">
        <w:rPr>
          <w:rFonts w:cstheme="minorHAnsi"/>
          <w:lang w:val="en-GB"/>
        </w:rPr>
        <w:t xml:space="preserve"> that supports sustainable development, it is fundamental to integrate culture, in all its diversity, into discussions aimed at achieving a more inclusive, contextual and responsive financial architecture that addresses the needs of </w:t>
      </w:r>
      <w:r w:rsidR="00496C06" w:rsidRPr="00C37F01">
        <w:rPr>
          <w:rFonts w:cstheme="minorHAnsi"/>
          <w:lang w:val="en-GB"/>
        </w:rPr>
        <w:t>individuals and communities</w:t>
      </w:r>
      <w:r w:rsidR="00387499" w:rsidRPr="00C37F01">
        <w:rPr>
          <w:rFonts w:cstheme="minorHAnsi"/>
          <w:lang w:val="en-GB"/>
        </w:rPr>
        <w:t>, particularly</w:t>
      </w:r>
      <w:r w:rsidR="00496C06" w:rsidRPr="00C37F01">
        <w:rPr>
          <w:rFonts w:cstheme="minorHAnsi"/>
          <w:lang w:val="en-GB"/>
        </w:rPr>
        <w:t xml:space="preserve"> </w:t>
      </w:r>
      <w:r w:rsidR="00120729" w:rsidRPr="00C37F01">
        <w:rPr>
          <w:rFonts w:cstheme="minorHAnsi"/>
          <w:lang w:val="en-GB"/>
        </w:rPr>
        <w:t xml:space="preserve">in </w:t>
      </w:r>
      <w:r w:rsidRPr="00C37F01">
        <w:rPr>
          <w:rFonts w:cstheme="minorHAnsi"/>
          <w:lang w:val="en-GB"/>
        </w:rPr>
        <w:t xml:space="preserve">developing countries. </w:t>
      </w:r>
      <w:r w:rsidR="00986F64" w:rsidRPr="00C37F01">
        <w:rPr>
          <w:rFonts w:cstheme="minorHAnsi"/>
          <w:lang w:val="en-GB"/>
        </w:rPr>
        <w:t xml:space="preserve">An </w:t>
      </w:r>
      <w:r w:rsidRPr="00C37F01">
        <w:rPr>
          <w:rFonts w:cstheme="minorHAnsi"/>
          <w:lang w:val="en-GB"/>
        </w:rPr>
        <w:t>example</w:t>
      </w:r>
      <w:r w:rsidR="00986F64" w:rsidRPr="00C37F01">
        <w:rPr>
          <w:rFonts w:cstheme="minorHAnsi"/>
          <w:lang w:val="en-GB"/>
        </w:rPr>
        <w:t xml:space="preserve"> </w:t>
      </w:r>
      <w:r w:rsidRPr="00C37F01">
        <w:rPr>
          <w:rFonts w:cstheme="minorHAnsi"/>
          <w:lang w:val="en-GB"/>
        </w:rPr>
        <w:t>of how culture can be integrated into global financing discussions include</w:t>
      </w:r>
      <w:r w:rsidR="00986F64" w:rsidRPr="00C37F01">
        <w:rPr>
          <w:rFonts w:cstheme="minorHAnsi"/>
          <w:lang w:val="en-GB"/>
        </w:rPr>
        <w:t>s</w:t>
      </w:r>
      <w:r w:rsidRPr="00C37F01">
        <w:rPr>
          <w:rFonts w:cstheme="minorHAnsi"/>
          <w:lang w:val="en-GB"/>
        </w:rPr>
        <w:t xml:space="preserve"> the </w:t>
      </w:r>
      <w:r w:rsidR="00577797" w:rsidRPr="00C37F01">
        <w:rPr>
          <w:rFonts w:cstheme="minorHAnsi"/>
          <w:lang w:val="en-GB"/>
        </w:rPr>
        <w:t xml:space="preserve">operationalization </w:t>
      </w:r>
      <w:r w:rsidRPr="00C37F01">
        <w:rPr>
          <w:rFonts w:cstheme="minorHAnsi"/>
          <w:lang w:val="en-GB"/>
        </w:rPr>
        <w:t xml:space="preserve">of the </w:t>
      </w:r>
      <w:r w:rsidR="00C10719" w:rsidRPr="00C37F01">
        <w:rPr>
          <w:rFonts w:cstheme="minorHAnsi"/>
          <w:lang w:val="en-GB"/>
        </w:rPr>
        <w:t>L</w:t>
      </w:r>
      <w:r w:rsidRPr="00C37F01">
        <w:rPr>
          <w:rFonts w:cstheme="minorHAnsi"/>
          <w:lang w:val="en-GB"/>
        </w:rPr>
        <w:t xml:space="preserve">oss and </w:t>
      </w:r>
      <w:r w:rsidR="00C10719" w:rsidRPr="00C37F01">
        <w:rPr>
          <w:rFonts w:cstheme="minorHAnsi"/>
          <w:lang w:val="en-GB"/>
        </w:rPr>
        <w:t>D</w:t>
      </w:r>
      <w:r w:rsidRPr="00C37F01">
        <w:rPr>
          <w:rFonts w:cstheme="minorHAnsi"/>
          <w:lang w:val="en-GB"/>
        </w:rPr>
        <w:t xml:space="preserve">amage </w:t>
      </w:r>
      <w:r w:rsidR="00C10719" w:rsidRPr="00C37F01">
        <w:rPr>
          <w:rFonts w:cstheme="minorHAnsi"/>
          <w:lang w:val="en-GB"/>
        </w:rPr>
        <w:t>F</w:t>
      </w:r>
      <w:r w:rsidRPr="00C37F01">
        <w:rPr>
          <w:rFonts w:cstheme="minorHAnsi"/>
          <w:lang w:val="en-GB"/>
        </w:rPr>
        <w:t>und at COP28</w:t>
      </w:r>
      <w:r w:rsidR="002501FF" w:rsidRPr="00C37F01">
        <w:rPr>
          <w:rFonts w:cstheme="minorHAnsi"/>
          <w:lang w:val="en-GB"/>
        </w:rPr>
        <w:t xml:space="preserve"> to address, among others, </w:t>
      </w:r>
      <w:r w:rsidRPr="00C37F01">
        <w:rPr>
          <w:rFonts w:cstheme="minorHAnsi"/>
          <w:lang w:val="en-GB"/>
        </w:rPr>
        <w:t xml:space="preserve">non-economic losses faced by developing countries, </w:t>
      </w:r>
      <w:r w:rsidR="002501FF" w:rsidRPr="00C37F01">
        <w:rPr>
          <w:rFonts w:cstheme="minorHAnsi"/>
          <w:lang w:val="en-GB"/>
        </w:rPr>
        <w:t xml:space="preserve">which include </w:t>
      </w:r>
      <w:r w:rsidRPr="00C37F01">
        <w:rPr>
          <w:rFonts w:cstheme="minorHAnsi"/>
          <w:lang w:val="en-GB"/>
        </w:rPr>
        <w:t xml:space="preserve">cultural </w:t>
      </w:r>
      <w:r w:rsidR="00ED13D6" w:rsidRPr="00C37F01">
        <w:rPr>
          <w:rFonts w:cstheme="minorHAnsi"/>
          <w:lang w:val="en-GB"/>
        </w:rPr>
        <w:t xml:space="preserve">heritage and </w:t>
      </w:r>
      <w:r w:rsidR="006D6DC7" w:rsidRPr="00C37F01">
        <w:rPr>
          <w:rFonts w:cstheme="minorHAnsi"/>
          <w:lang w:val="en-GB"/>
        </w:rPr>
        <w:t>expressions</w:t>
      </w:r>
      <w:r w:rsidR="00835547" w:rsidRPr="00C37F01">
        <w:rPr>
          <w:rFonts w:cstheme="minorHAnsi"/>
          <w:lang w:val="en-GB"/>
        </w:rPr>
        <w:t xml:space="preserve">. </w:t>
      </w:r>
      <w:r w:rsidR="008E02EB" w:rsidRPr="00C37F01">
        <w:rPr>
          <w:rFonts w:cstheme="minorHAnsi"/>
          <w:lang w:val="en-GB"/>
        </w:rPr>
        <w:t xml:space="preserve">In this context, </w:t>
      </w:r>
      <w:r w:rsidR="00C10719" w:rsidRPr="00C37F01">
        <w:rPr>
          <w:rFonts w:cstheme="minorHAnsi"/>
          <w:lang w:val="en-GB"/>
        </w:rPr>
        <w:t xml:space="preserve">Member States </w:t>
      </w:r>
      <w:r w:rsidR="00151096" w:rsidRPr="00C37F01">
        <w:rPr>
          <w:rFonts w:cstheme="minorHAnsi"/>
          <w:lang w:val="en-GB"/>
        </w:rPr>
        <w:t>c</w:t>
      </w:r>
      <w:r w:rsidR="00C10719" w:rsidRPr="00C37F01">
        <w:rPr>
          <w:rFonts w:cstheme="minorHAnsi"/>
          <w:lang w:val="en-GB"/>
        </w:rPr>
        <w:t xml:space="preserve">ould advocate for culture to </w:t>
      </w:r>
      <w:r w:rsidR="00F45F6D" w:rsidRPr="00C37F01">
        <w:rPr>
          <w:rFonts w:cstheme="minorHAnsi"/>
          <w:lang w:val="en-GB"/>
        </w:rPr>
        <w:t>be a more central consideration</w:t>
      </w:r>
      <w:r w:rsidR="00C10719" w:rsidRPr="00C37F01">
        <w:rPr>
          <w:rFonts w:cstheme="minorHAnsi"/>
          <w:lang w:val="en-GB"/>
        </w:rPr>
        <w:t xml:space="preserve"> in the Loss and Damage Fund, enabling countries to access funds in </w:t>
      </w:r>
      <w:r w:rsidR="008641B6" w:rsidRPr="00C37F01">
        <w:rPr>
          <w:rFonts w:cstheme="minorHAnsi"/>
          <w:lang w:val="en-GB"/>
        </w:rPr>
        <w:t>the face of</w:t>
      </w:r>
      <w:r w:rsidR="00C10719" w:rsidRPr="00C37F01">
        <w:rPr>
          <w:rFonts w:cstheme="minorHAnsi"/>
          <w:lang w:val="en-GB"/>
        </w:rPr>
        <w:t xml:space="preserve"> the loss of their cultural expressions and diversity</w:t>
      </w:r>
      <w:r w:rsidR="00441CAC" w:rsidRPr="00C37F01">
        <w:rPr>
          <w:rFonts w:cstheme="minorHAnsi"/>
          <w:lang w:val="en-GB"/>
        </w:rPr>
        <w:t>, as well as in other relevant existing climate-related funds</w:t>
      </w:r>
      <w:r w:rsidR="00957FA4" w:rsidRPr="00C37F01">
        <w:rPr>
          <w:rFonts w:cstheme="minorHAnsi"/>
          <w:lang w:val="en-GB"/>
        </w:rPr>
        <w:t xml:space="preserve">. </w:t>
      </w:r>
      <w:r w:rsidR="00E6608F" w:rsidRPr="00C37F01">
        <w:rPr>
          <w:rFonts w:cstheme="minorHAnsi"/>
          <w:lang w:val="en-GB"/>
        </w:rPr>
        <w:t>Other initiatives</w:t>
      </w:r>
      <w:r w:rsidR="004A253B" w:rsidRPr="00C37F01">
        <w:rPr>
          <w:rFonts w:cstheme="minorHAnsi"/>
          <w:lang w:val="en-GB"/>
        </w:rPr>
        <w:t xml:space="preserve"> </w:t>
      </w:r>
      <w:r w:rsidR="00E6608F" w:rsidRPr="00C37F01">
        <w:rPr>
          <w:rFonts w:cstheme="minorHAnsi"/>
          <w:lang w:val="en-GB"/>
        </w:rPr>
        <w:t xml:space="preserve">such as the UN Multidimensional Vulnerability Index (MVI), developed in collaboration with Small Island Developing States (SIDS), illustrate how new mechanisms can be </w:t>
      </w:r>
      <w:r w:rsidR="0060373D" w:rsidRPr="00C37F01">
        <w:rPr>
          <w:rFonts w:cstheme="minorHAnsi"/>
          <w:lang w:val="en-GB"/>
        </w:rPr>
        <w:t>designed</w:t>
      </w:r>
      <w:r w:rsidR="00E6608F" w:rsidRPr="00C37F01">
        <w:rPr>
          <w:rFonts w:cstheme="minorHAnsi"/>
          <w:lang w:val="en-GB"/>
        </w:rPr>
        <w:t xml:space="preserve"> to </w:t>
      </w:r>
      <w:r w:rsidR="000B4F87" w:rsidRPr="00C37F01">
        <w:rPr>
          <w:rFonts w:cstheme="minorHAnsi"/>
          <w:lang w:val="en-GB"/>
        </w:rPr>
        <w:t xml:space="preserve">reflect the local realities of countries and </w:t>
      </w:r>
      <w:r w:rsidR="000B4F87" w:rsidRPr="00C37F01">
        <w:rPr>
          <w:rFonts w:cstheme="minorHAnsi"/>
          <w:lang w:val="en-GB"/>
        </w:rPr>
        <w:lastRenderedPageBreak/>
        <w:t xml:space="preserve">communities </w:t>
      </w:r>
      <w:r w:rsidR="000A2780" w:rsidRPr="00C37F01">
        <w:rPr>
          <w:rFonts w:cstheme="minorHAnsi"/>
          <w:lang w:val="en-GB"/>
        </w:rPr>
        <w:t xml:space="preserve">to enhance </w:t>
      </w:r>
      <w:r w:rsidR="005C73B7" w:rsidRPr="00C37F01">
        <w:rPr>
          <w:rFonts w:cstheme="minorHAnsi"/>
          <w:lang w:val="en-GB"/>
        </w:rPr>
        <w:t>their</w:t>
      </w:r>
      <w:r w:rsidR="00E6608F" w:rsidRPr="00C37F01">
        <w:rPr>
          <w:rFonts w:cstheme="minorHAnsi"/>
          <w:lang w:val="en-GB"/>
        </w:rPr>
        <w:t xml:space="preserve"> access to development financing</w:t>
      </w:r>
      <w:r w:rsidR="00A427EE" w:rsidRPr="00C37F01">
        <w:rPr>
          <w:rFonts w:cstheme="minorHAnsi"/>
          <w:lang w:val="en-GB"/>
        </w:rPr>
        <w:t xml:space="preserve">, </w:t>
      </w:r>
      <w:proofErr w:type="gramStart"/>
      <w:r w:rsidR="000B4F87" w:rsidRPr="00C37F01">
        <w:rPr>
          <w:rFonts w:cstheme="minorHAnsi"/>
          <w:lang w:val="en-GB"/>
        </w:rPr>
        <w:t>taking into account</w:t>
      </w:r>
      <w:proofErr w:type="gramEnd"/>
      <w:r w:rsidR="000B4F87" w:rsidRPr="00C37F01">
        <w:rPr>
          <w:rFonts w:cstheme="minorHAnsi"/>
          <w:lang w:val="en-GB"/>
        </w:rPr>
        <w:t xml:space="preserve"> the world's diversity</w:t>
      </w:r>
      <w:r w:rsidR="00E6608F" w:rsidRPr="00C37F01">
        <w:rPr>
          <w:rFonts w:cstheme="minorHAnsi"/>
          <w:lang w:val="en-GB"/>
        </w:rPr>
        <w:t xml:space="preserve">. </w:t>
      </w:r>
      <w:r w:rsidR="0060373D" w:rsidRPr="00C37F01">
        <w:rPr>
          <w:rFonts w:cstheme="minorHAnsi"/>
          <w:lang w:val="en-GB"/>
        </w:rPr>
        <w:t xml:space="preserve">In this </w:t>
      </w:r>
      <w:r w:rsidR="004F0517" w:rsidRPr="00C37F01">
        <w:rPr>
          <w:rFonts w:cstheme="minorHAnsi"/>
          <w:lang w:val="en-GB"/>
        </w:rPr>
        <w:t>regard</w:t>
      </w:r>
      <w:r w:rsidR="0060373D" w:rsidRPr="00C37F01">
        <w:rPr>
          <w:rFonts w:cstheme="minorHAnsi"/>
          <w:lang w:val="en-GB"/>
        </w:rPr>
        <w:t xml:space="preserve">, </w:t>
      </w:r>
      <w:r w:rsidR="00CC70E1" w:rsidRPr="00C37F01">
        <w:rPr>
          <w:rFonts w:cstheme="minorHAnsi"/>
          <w:lang w:val="en-GB"/>
        </w:rPr>
        <w:t xml:space="preserve">Member States </w:t>
      </w:r>
      <w:r w:rsidR="00151096" w:rsidRPr="00C37F01">
        <w:rPr>
          <w:rFonts w:cstheme="minorHAnsi"/>
          <w:lang w:val="en-GB"/>
        </w:rPr>
        <w:t>c</w:t>
      </w:r>
      <w:r w:rsidR="00CC70E1" w:rsidRPr="00C37F01">
        <w:rPr>
          <w:rFonts w:cstheme="minorHAnsi"/>
          <w:lang w:val="en-GB"/>
        </w:rPr>
        <w:t xml:space="preserve">ould advocate for a more prominent integration of vulnerabilities related to the loss of cultural diversity and </w:t>
      </w:r>
      <w:r w:rsidR="007D3D75" w:rsidRPr="00C37F01">
        <w:rPr>
          <w:rFonts w:cstheme="minorHAnsi"/>
          <w:lang w:val="en-GB"/>
        </w:rPr>
        <w:t xml:space="preserve">to </w:t>
      </w:r>
      <w:r w:rsidR="00CC70E1" w:rsidRPr="00C37F01">
        <w:rPr>
          <w:rFonts w:cstheme="minorHAnsi"/>
          <w:lang w:val="en-GB"/>
        </w:rPr>
        <w:t>the risks to both tangible and intangible heritage within the MVI's conceptual framework.</w:t>
      </w:r>
      <w:r w:rsidR="007B3A9C" w:rsidRPr="00C37F01">
        <w:rPr>
          <w:rFonts w:cstheme="minorHAnsi"/>
          <w:lang w:val="en-GB"/>
        </w:rPr>
        <w:t xml:space="preserve"> </w:t>
      </w:r>
      <w:r w:rsidR="00A9271F" w:rsidRPr="00C37F01">
        <w:rPr>
          <w:rFonts w:cstheme="minorHAnsi"/>
          <w:lang w:val="en-GB"/>
        </w:rPr>
        <w:t xml:space="preserve">Additionally, integrating culture more centrally within </w:t>
      </w:r>
      <w:r w:rsidR="00DD4D3E" w:rsidRPr="00C37F01">
        <w:rPr>
          <w:rFonts w:cstheme="minorHAnsi"/>
          <w:lang w:val="en-GB"/>
        </w:rPr>
        <w:t>I</w:t>
      </w:r>
      <w:r w:rsidR="00A9271F" w:rsidRPr="00C37F01">
        <w:rPr>
          <w:rFonts w:cstheme="minorHAnsi"/>
          <w:lang w:val="en-GB"/>
        </w:rPr>
        <w:t xml:space="preserve">ntegrated </w:t>
      </w:r>
      <w:r w:rsidR="00DD4D3E" w:rsidRPr="00C37F01">
        <w:rPr>
          <w:rFonts w:cstheme="minorHAnsi"/>
          <w:lang w:val="en-GB"/>
        </w:rPr>
        <w:t>N</w:t>
      </w:r>
      <w:r w:rsidR="00A9271F" w:rsidRPr="00C37F01">
        <w:rPr>
          <w:rFonts w:cstheme="minorHAnsi"/>
          <w:lang w:val="en-GB"/>
        </w:rPr>
        <w:t xml:space="preserve">ational </w:t>
      </w:r>
      <w:r w:rsidR="00DD4D3E" w:rsidRPr="00C37F01">
        <w:rPr>
          <w:rFonts w:cstheme="minorHAnsi"/>
          <w:lang w:val="en-GB"/>
        </w:rPr>
        <w:t>F</w:t>
      </w:r>
      <w:r w:rsidR="00A9271F" w:rsidRPr="00C37F01">
        <w:rPr>
          <w:rFonts w:cstheme="minorHAnsi"/>
          <w:lang w:val="en-GB"/>
        </w:rPr>
        <w:t xml:space="preserve">inancing </w:t>
      </w:r>
      <w:r w:rsidR="00DD4D3E" w:rsidRPr="00C37F01">
        <w:rPr>
          <w:rFonts w:cstheme="minorHAnsi"/>
          <w:lang w:val="en-GB"/>
        </w:rPr>
        <w:t>F</w:t>
      </w:r>
      <w:r w:rsidR="00A9271F" w:rsidRPr="00C37F01">
        <w:rPr>
          <w:rFonts w:cstheme="minorHAnsi"/>
          <w:lang w:val="en-GB"/>
        </w:rPr>
        <w:t>rameworks (INFFs)</w:t>
      </w:r>
      <w:r w:rsidR="00792850" w:rsidRPr="00C37F01">
        <w:rPr>
          <w:rFonts w:cstheme="minorHAnsi"/>
          <w:lang w:val="en-GB"/>
        </w:rPr>
        <w:t xml:space="preserve">, </w:t>
      </w:r>
      <w:r w:rsidR="00A9271F" w:rsidRPr="00C37F01">
        <w:rPr>
          <w:rFonts w:cstheme="minorHAnsi"/>
          <w:lang w:val="en-GB"/>
        </w:rPr>
        <w:t>United Nations Sustainable Development Cooperation Frameworks (UNSDCFs)</w:t>
      </w:r>
      <w:r w:rsidR="00792850" w:rsidRPr="00C37F01">
        <w:rPr>
          <w:rFonts w:cstheme="minorHAnsi"/>
          <w:lang w:val="en-GB"/>
        </w:rPr>
        <w:t xml:space="preserve">, and other relevant </w:t>
      </w:r>
      <w:r w:rsidR="00FE03D7" w:rsidRPr="00C37F01">
        <w:rPr>
          <w:rFonts w:cstheme="minorHAnsi"/>
          <w:lang w:val="en-GB"/>
        </w:rPr>
        <w:t>multilateral mechanisms</w:t>
      </w:r>
      <w:r w:rsidR="00856454" w:rsidRPr="00C37F01">
        <w:rPr>
          <w:rFonts w:cstheme="minorHAnsi"/>
          <w:lang w:val="en-GB"/>
        </w:rPr>
        <w:t xml:space="preserve"> would enable Member States</w:t>
      </w:r>
      <w:r w:rsidR="00856454" w:rsidRPr="00C37F01">
        <w:rPr>
          <w:rFonts w:cstheme="minorHAnsi"/>
        </w:rPr>
        <w:t xml:space="preserve"> to develop strategies to increase investment</w:t>
      </w:r>
      <w:r w:rsidR="001F418A" w:rsidRPr="00C37F01">
        <w:rPr>
          <w:rFonts w:cstheme="minorHAnsi"/>
        </w:rPr>
        <w:t>s</w:t>
      </w:r>
      <w:r w:rsidR="00856454" w:rsidRPr="00C37F01">
        <w:rPr>
          <w:rFonts w:cstheme="minorHAnsi"/>
        </w:rPr>
        <w:t xml:space="preserve"> in the cultural sector </w:t>
      </w:r>
      <w:r w:rsidR="00EF0A93" w:rsidRPr="00C37F01">
        <w:rPr>
          <w:rFonts w:cstheme="minorHAnsi"/>
        </w:rPr>
        <w:t>at the country level.</w:t>
      </w:r>
    </w:p>
    <w:p w14:paraId="51DF14F9" w14:textId="48036898" w:rsidR="00934933" w:rsidRDefault="081A7F1C" w:rsidP="00832481">
      <w:pPr>
        <w:pStyle w:val="Heading2"/>
        <w:rPr>
          <w:b/>
          <w:bCs/>
        </w:rPr>
      </w:pPr>
      <w:r w:rsidRPr="00832481">
        <w:rPr>
          <w:b/>
          <w:bCs/>
        </w:rPr>
        <w:t xml:space="preserve">Specific </w:t>
      </w:r>
      <w:r w:rsidR="7BC9008D" w:rsidRPr="00832481">
        <w:rPr>
          <w:b/>
          <w:bCs/>
        </w:rPr>
        <w:t>r</w:t>
      </w:r>
      <w:r w:rsidR="00174569" w:rsidRPr="00832481">
        <w:rPr>
          <w:b/>
          <w:bCs/>
        </w:rPr>
        <w:t>ecommendations for F</w:t>
      </w:r>
      <w:r w:rsidR="00282F1E" w:rsidRPr="00832481">
        <w:rPr>
          <w:b/>
          <w:bCs/>
        </w:rPr>
        <w:t>f</w:t>
      </w:r>
      <w:r w:rsidR="00174569" w:rsidRPr="00832481">
        <w:rPr>
          <w:b/>
          <w:bCs/>
        </w:rPr>
        <w:t>D4</w:t>
      </w:r>
    </w:p>
    <w:p w14:paraId="3B6896E5" w14:textId="77777777" w:rsidR="00256B07" w:rsidRPr="00256B07" w:rsidRDefault="00256B07" w:rsidP="00256B07">
      <w:pPr>
        <w:spacing w:after="0"/>
      </w:pPr>
    </w:p>
    <w:p w14:paraId="6C270042" w14:textId="6661D2C1" w:rsidR="005B11DB" w:rsidRPr="00C37F01" w:rsidRDefault="005B11DB" w:rsidP="00256B07">
      <w:pPr>
        <w:spacing w:after="0"/>
        <w:jc w:val="both"/>
        <w:rPr>
          <w:rFonts w:cstheme="minorHAnsi"/>
          <w:lang w:val="en-GB"/>
        </w:rPr>
      </w:pPr>
      <w:r w:rsidRPr="00C37F01">
        <w:rPr>
          <w:rFonts w:cstheme="minorHAnsi"/>
          <w:lang w:val="en-GB"/>
        </w:rPr>
        <w:t xml:space="preserve">To effectively address challenges and close gaps in financing for sustainable development through culture, the following recommendations are proposed for the </w:t>
      </w:r>
      <w:r w:rsidR="00F12B0D" w:rsidRPr="00C37F01">
        <w:rPr>
          <w:rFonts w:cstheme="minorHAnsi"/>
          <w:lang w:val="en-GB"/>
        </w:rPr>
        <w:t>Conference</w:t>
      </w:r>
      <w:r w:rsidR="00CE7419" w:rsidRPr="00C37F01">
        <w:rPr>
          <w:rFonts w:cstheme="minorHAnsi"/>
          <w:lang w:val="en-GB"/>
        </w:rPr>
        <w:t xml:space="preserve">’s </w:t>
      </w:r>
      <w:r w:rsidR="00F12B0D" w:rsidRPr="00C37F01">
        <w:rPr>
          <w:rFonts w:cstheme="minorHAnsi"/>
          <w:lang w:val="en-GB"/>
        </w:rPr>
        <w:t>O</w:t>
      </w:r>
      <w:r w:rsidRPr="00C37F01">
        <w:rPr>
          <w:rFonts w:cstheme="minorHAnsi"/>
          <w:lang w:val="en-GB"/>
        </w:rPr>
        <w:t xml:space="preserve">utcome </w:t>
      </w:r>
      <w:r w:rsidR="00F12B0D" w:rsidRPr="00C37F01">
        <w:rPr>
          <w:rFonts w:cstheme="minorHAnsi"/>
          <w:lang w:val="en-GB"/>
        </w:rPr>
        <w:t>D</w:t>
      </w:r>
      <w:r w:rsidRPr="00C37F01">
        <w:rPr>
          <w:rFonts w:cstheme="minorHAnsi"/>
          <w:lang w:val="en-GB"/>
        </w:rPr>
        <w:t>ocument:</w:t>
      </w:r>
    </w:p>
    <w:p w14:paraId="2F41E18F" w14:textId="6CD0161F" w:rsidR="005B11DB" w:rsidRPr="00C37F01" w:rsidRDefault="00FD75B8" w:rsidP="00EB5D85">
      <w:pPr>
        <w:numPr>
          <w:ilvl w:val="0"/>
          <w:numId w:val="14"/>
        </w:numPr>
        <w:jc w:val="both"/>
        <w:rPr>
          <w:rFonts w:cstheme="minorHAnsi"/>
          <w:lang w:val="en-GB"/>
        </w:rPr>
      </w:pPr>
      <w:r w:rsidRPr="00C37F01">
        <w:rPr>
          <w:rFonts w:cstheme="minorHAnsi"/>
          <w:lang w:val="en-GB"/>
        </w:rPr>
        <w:t>Call</w:t>
      </w:r>
      <w:r w:rsidR="005B11DB" w:rsidRPr="00C37F01">
        <w:rPr>
          <w:rFonts w:cstheme="minorHAnsi"/>
          <w:lang w:val="en-GB"/>
        </w:rPr>
        <w:t xml:space="preserve"> </w:t>
      </w:r>
      <w:r w:rsidR="00272A93" w:rsidRPr="00C37F01">
        <w:rPr>
          <w:rFonts w:cstheme="minorHAnsi"/>
          <w:lang w:val="en-GB"/>
        </w:rPr>
        <w:t>on Member States</w:t>
      </w:r>
      <w:r w:rsidR="00A279A1" w:rsidRPr="00C37F01">
        <w:rPr>
          <w:rFonts w:cstheme="minorHAnsi"/>
          <w:lang w:val="en-GB"/>
        </w:rPr>
        <w:t>, in close collaboration with the UN system and the private sector,</w:t>
      </w:r>
      <w:r w:rsidR="00272A93" w:rsidRPr="00C37F01">
        <w:rPr>
          <w:rFonts w:cstheme="minorHAnsi"/>
          <w:lang w:val="en-GB"/>
        </w:rPr>
        <w:t xml:space="preserve"> to </w:t>
      </w:r>
      <w:r w:rsidR="004156FE" w:rsidRPr="00C37F01">
        <w:rPr>
          <w:rFonts w:cstheme="minorHAnsi"/>
          <w:b/>
          <w:bCs/>
          <w:lang w:val="en-GB"/>
        </w:rPr>
        <w:t>firmly</w:t>
      </w:r>
      <w:r w:rsidR="00F1314E" w:rsidRPr="00C37F01">
        <w:rPr>
          <w:rFonts w:cstheme="minorHAnsi"/>
          <w:b/>
          <w:bCs/>
          <w:lang w:val="en-GB"/>
        </w:rPr>
        <w:t xml:space="preserve"> </w:t>
      </w:r>
      <w:r w:rsidR="00272A93" w:rsidRPr="00C37F01">
        <w:rPr>
          <w:rFonts w:cstheme="minorHAnsi"/>
          <w:b/>
          <w:bCs/>
          <w:lang w:val="en-GB"/>
        </w:rPr>
        <w:t>integrat</w:t>
      </w:r>
      <w:r w:rsidR="004156FE" w:rsidRPr="00C37F01">
        <w:rPr>
          <w:rFonts w:cstheme="minorHAnsi"/>
          <w:b/>
          <w:bCs/>
          <w:lang w:val="en-GB"/>
        </w:rPr>
        <w:t>e</w:t>
      </w:r>
      <w:r w:rsidR="003115A8" w:rsidRPr="00C37F01">
        <w:rPr>
          <w:rFonts w:cstheme="minorHAnsi"/>
          <w:lang w:val="en-GB"/>
        </w:rPr>
        <w:t xml:space="preserve"> </w:t>
      </w:r>
      <w:r w:rsidR="005B11DB" w:rsidRPr="00C37F01">
        <w:rPr>
          <w:rFonts w:cstheme="minorHAnsi"/>
          <w:b/>
          <w:bCs/>
          <w:lang w:val="en-GB"/>
        </w:rPr>
        <w:t xml:space="preserve">culture </w:t>
      </w:r>
      <w:r w:rsidR="003115A8" w:rsidRPr="00C37F01">
        <w:rPr>
          <w:rFonts w:cstheme="minorHAnsi"/>
          <w:b/>
          <w:bCs/>
          <w:lang w:val="en-GB"/>
        </w:rPr>
        <w:t>as a</w:t>
      </w:r>
      <w:r w:rsidR="005B11DB" w:rsidRPr="00C37F01">
        <w:rPr>
          <w:rFonts w:cstheme="minorHAnsi"/>
          <w:b/>
          <w:bCs/>
          <w:lang w:val="en-GB"/>
        </w:rPr>
        <w:t xml:space="preserve"> central </w:t>
      </w:r>
      <w:r w:rsidR="000943ED" w:rsidRPr="00C37F01">
        <w:rPr>
          <w:rFonts w:cstheme="minorHAnsi"/>
          <w:b/>
          <w:bCs/>
          <w:lang w:val="en-GB"/>
        </w:rPr>
        <w:t xml:space="preserve">consideration </w:t>
      </w:r>
      <w:r w:rsidR="005B11DB" w:rsidRPr="00C37F01">
        <w:rPr>
          <w:rFonts w:cstheme="minorHAnsi"/>
          <w:b/>
          <w:bCs/>
          <w:lang w:val="en-GB"/>
        </w:rPr>
        <w:t xml:space="preserve">in </w:t>
      </w:r>
      <w:r w:rsidRPr="00C37F01">
        <w:rPr>
          <w:rFonts w:cstheme="minorHAnsi"/>
          <w:b/>
          <w:bCs/>
          <w:lang w:val="en-GB"/>
        </w:rPr>
        <w:t xml:space="preserve">sustainable </w:t>
      </w:r>
      <w:r w:rsidR="005B11DB" w:rsidRPr="00C37F01">
        <w:rPr>
          <w:rFonts w:cstheme="minorHAnsi"/>
          <w:b/>
          <w:bCs/>
          <w:lang w:val="en-GB"/>
        </w:rPr>
        <w:t>development discussions</w:t>
      </w:r>
      <w:r w:rsidR="005B11DB" w:rsidRPr="00C37F01">
        <w:rPr>
          <w:rFonts w:cstheme="minorHAnsi"/>
          <w:lang w:val="en-GB"/>
        </w:rPr>
        <w:t xml:space="preserve"> </w:t>
      </w:r>
      <w:r w:rsidR="005B11DB" w:rsidRPr="00C37F01">
        <w:rPr>
          <w:rFonts w:cstheme="minorHAnsi"/>
          <w:b/>
          <w:bCs/>
          <w:lang w:val="en-GB"/>
        </w:rPr>
        <w:t xml:space="preserve">at the UN </w:t>
      </w:r>
      <w:r w:rsidR="00F410DE" w:rsidRPr="00C37F01">
        <w:rPr>
          <w:rFonts w:cstheme="minorHAnsi"/>
          <w:b/>
          <w:bCs/>
          <w:lang w:val="en-GB"/>
        </w:rPr>
        <w:t xml:space="preserve">and other </w:t>
      </w:r>
      <w:r w:rsidR="00636456" w:rsidRPr="00C37F01">
        <w:rPr>
          <w:rFonts w:cstheme="minorHAnsi"/>
          <w:b/>
          <w:bCs/>
          <w:lang w:val="en-GB"/>
        </w:rPr>
        <w:t xml:space="preserve">relevant </w:t>
      </w:r>
      <w:r w:rsidR="00F410DE" w:rsidRPr="00C37F01">
        <w:rPr>
          <w:rFonts w:cstheme="minorHAnsi"/>
          <w:b/>
          <w:bCs/>
          <w:lang w:val="en-GB"/>
        </w:rPr>
        <w:t>international fora</w:t>
      </w:r>
      <w:r w:rsidR="005B11DB" w:rsidRPr="00C37F01">
        <w:rPr>
          <w:rFonts w:cstheme="minorHAnsi"/>
          <w:lang w:val="en-GB"/>
        </w:rPr>
        <w:t xml:space="preserve">, </w:t>
      </w:r>
      <w:r w:rsidR="005B11DB" w:rsidRPr="00C37F01">
        <w:rPr>
          <w:rFonts w:cstheme="minorHAnsi"/>
          <w:b/>
          <w:bCs/>
          <w:lang w:val="en-GB"/>
        </w:rPr>
        <w:t>including its financing</w:t>
      </w:r>
      <w:r w:rsidR="005B11DB" w:rsidRPr="00C37F01">
        <w:rPr>
          <w:rFonts w:cstheme="minorHAnsi"/>
          <w:lang w:val="en-GB"/>
        </w:rPr>
        <w:t xml:space="preserve">, </w:t>
      </w:r>
      <w:proofErr w:type="gramStart"/>
      <w:r w:rsidR="00CF41E0" w:rsidRPr="00C37F01">
        <w:rPr>
          <w:rFonts w:cstheme="minorHAnsi"/>
          <w:lang w:val="en-GB"/>
        </w:rPr>
        <w:t xml:space="preserve">in order </w:t>
      </w:r>
      <w:r w:rsidR="005B11DB" w:rsidRPr="00C37F01">
        <w:rPr>
          <w:rFonts w:cstheme="minorHAnsi"/>
          <w:lang w:val="en-GB"/>
        </w:rPr>
        <w:t>to</w:t>
      </w:r>
      <w:proofErr w:type="gramEnd"/>
      <w:r w:rsidR="005B11DB" w:rsidRPr="00C37F01">
        <w:rPr>
          <w:rFonts w:cstheme="minorHAnsi"/>
          <w:lang w:val="en-GB"/>
        </w:rPr>
        <w:t xml:space="preserve"> enhance its visibility and importance in global development agendas</w:t>
      </w:r>
      <w:r w:rsidR="00EE423B" w:rsidRPr="00C37F01">
        <w:rPr>
          <w:rFonts w:cstheme="minorHAnsi"/>
          <w:lang w:val="en-GB"/>
        </w:rPr>
        <w:t>, including</w:t>
      </w:r>
      <w:r w:rsidR="00322A5C" w:rsidRPr="00C37F01">
        <w:rPr>
          <w:rFonts w:cstheme="minorHAnsi"/>
          <w:lang w:val="en-GB"/>
        </w:rPr>
        <w:t xml:space="preserve"> </w:t>
      </w:r>
      <w:r w:rsidR="000F797D" w:rsidRPr="00C37F01">
        <w:rPr>
          <w:rFonts w:cstheme="minorHAnsi"/>
          <w:lang w:val="en-GB"/>
        </w:rPr>
        <w:t xml:space="preserve">through </w:t>
      </w:r>
      <w:r w:rsidR="00322A5C" w:rsidRPr="00C37F01">
        <w:rPr>
          <w:rFonts w:cstheme="minorHAnsi"/>
          <w:lang w:val="en-GB"/>
        </w:rPr>
        <w:t>culture as a stand-alone goal</w:t>
      </w:r>
      <w:r w:rsidR="00EE423B" w:rsidRPr="00C37F01">
        <w:rPr>
          <w:rFonts w:cstheme="minorHAnsi"/>
          <w:lang w:val="en-GB"/>
        </w:rPr>
        <w:t xml:space="preserve"> in the </w:t>
      </w:r>
      <w:r w:rsidR="00EF1DDC" w:rsidRPr="00C37F01">
        <w:rPr>
          <w:rFonts w:cstheme="minorHAnsi"/>
          <w:lang w:val="en-GB"/>
        </w:rPr>
        <w:t>post-2030 Agenda</w:t>
      </w:r>
      <w:r w:rsidR="005B11DB" w:rsidRPr="00C37F01">
        <w:rPr>
          <w:rFonts w:cstheme="minorHAnsi"/>
          <w:lang w:val="en-GB"/>
        </w:rPr>
        <w:t>.</w:t>
      </w:r>
    </w:p>
    <w:p w14:paraId="0D76EEEA" w14:textId="525DA659" w:rsidR="005B11DB" w:rsidRPr="00C37F01" w:rsidRDefault="00967A3B" w:rsidP="00E27B9B">
      <w:pPr>
        <w:numPr>
          <w:ilvl w:val="0"/>
          <w:numId w:val="14"/>
        </w:numPr>
        <w:jc w:val="both"/>
        <w:rPr>
          <w:rFonts w:cstheme="minorHAnsi"/>
          <w:lang w:val="en-GB"/>
        </w:rPr>
      </w:pPr>
      <w:r w:rsidRPr="00C37F01">
        <w:rPr>
          <w:rFonts w:cstheme="minorHAnsi"/>
          <w:lang w:val="en-GB"/>
        </w:rPr>
        <w:t xml:space="preserve">Call on </w:t>
      </w:r>
      <w:r w:rsidR="00F1314E" w:rsidRPr="00C37F01">
        <w:rPr>
          <w:rFonts w:cstheme="minorHAnsi"/>
          <w:lang w:val="en-GB"/>
        </w:rPr>
        <w:t xml:space="preserve">Member States </w:t>
      </w:r>
      <w:r w:rsidR="005B11DB" w:rsidRPr="00C37F01">
        <w:rPr>
          <w:rFonts w:cstheme="minorHAnsi"/>
          <w:lang w:val="en-GB"/>
        </w:rPr>
        <w:t>to</w:t>
      </w:r>
      <w:r w:rsidR="005B11DB" w:rsidRPr="00C37F01">
        <w:rPr>
          <w:rFonts w:cstheme="minorHAnsi"/>
          <w:b/>
          <w:bCs/>
          <w:lang w:val="en-GB"/>
        </w:rPr>
        <w:t xml:space="preserve"> increase </w:t>
      </w:r>
      <w:r w:rsidR="0070794E" w:rsidRPr="00C37F01">
        <w:rPr>
          <w:rFonts w:cstheme="minorHAnsi"/>
          <w:b/>
          <w:bCs/>
          <w:lang w:val="en-GB"/>
        </w:rPr>
        <w:t xml:space="preserve">their </w:t>
      </w:r>
      <w:r w:rsidR="005B11DB" w:rsidRPr="00C37F01">
        <w:rPr>
          <w:rFonts w:cstheme="minorHAnsi"/>
          <w:b/>
          <w:bCs/>
          <w:lang w:val="en-GB"/>
        </w:rPr>
        <w:t>dialogue with the private sector</w:t>
      </w:r>
      <w:r w:rsidR="002952C4" w:rsidRPr="00C37F01">
        <w:rPr>
          <w:rFonts w:cstheme="minorHAnsi"/>
          <w:b/>
          <w:bCs/>
          <w:lang w:val="en-GB"/>
        </w:rPr>
        <w:t xml:space="preserve"> and</w:t>
      </w:r>
      <w:r w:rsidR="00060444" w:rsidRPr="00C37F01">
        <w:rPr>
          <w:rFonts w:cstheme="minorHAnsi"/>
          <w:b/>
          <w:bCs/>
          <w:lang w:val="en-GB"/>
        </w:rPr>
        <w:t xml:space="preserve"> </w:t>
      </w:r>
      <w:r w:rsidR="00E27B9B" w:rsidRPr="00C37F01">
        <w:rPr>
          <w:rFonts w:cstheme="minorHAnsi"/>
          <w:b/>
          <w:bCs/>
          <w:lang w:val="en-GB"/>
        </w:rPr>
        <w:t>international financ</w:t>
      </w:r>
      <w:r w:rsidR="00150503" w:rsidRPr="00C37F01">
        <w:rPr>
          <w:rFonts w:cstheme="minorHAnsi"/>
          <w:b/>
          <w:bCs/>
          <w:lang w:val="en-GB"/>
        </w:rPr>
        <w:t>ial</w:t>
      </w:r>
      <w:r w:rsidR="00E27B9B" w:rsidRPr="00C37F01">
        <w:rPr>
          <w:rFonts w:cstheme="minorHAnsi"/>
          <w:b/>
          <w:bCs/>
          <w:lang w:val="en-GB"/>
        </w:rPr>
        <w:t xml:space="preserve"> institutions </w:t>
      </w:r>
      <w:r w:rsidR="00D70C9E" w:rsidRPr="00C37F01">
        <w:rPr>
          <w:rFonts w:cstheme="minorHAnsi"/>
          <w:lang w:val="en-GB"/>
        </w:rPr>
        <w:t xml:space="preserve">to more structurally and systematically integrate culture into their </w:t>
      </w:r>
      <w:r w:rsidR="000F4BC1" w:rsidRPr="00C37F01">
        <w:rPr>
          <w:rFonts w:cstheme="minorHAnsi"/>
          <w:lang w:val="en-GB"/>
        </w:rPr>
        <w:t xml:space="preserve">sustainable development financing </w:t>
      </w:r>
      <w:r w:rsidR="00D70C9E" w:rsidRPr="00C37F01">
        <w:rPr>
          <w:rFonts w:cstheme="minorHAnsi"/>
          <w:lang w:val="en-GB"/>
        </w:rPr>
        <w:t>frameworks</w:t>
      </w:r>
      <w:r w:rsidR="00407EE7" w:rsidRPr="00C37F01">
        <w:rPr>
          <w:rFonts w:cstheme="minorHAnsi"/>
          <w:lang w:val="en-GB"/>
        </w:rPr>
        <w:t>, projects and programs</w:t>
      </w:r>
      <w:r w:rsidR="005B11DB" w:rsidRPr="00C37F01">
        <w:rPr>
          <w:rFonts w:cstheme="minorHAnsi"/>
          <w:lang w:val="en-GB"/>
        </w:rPr>
        <w:t>.</w:t>
      </w:r>
      <w:r w:rsidR="00EF1DDC" w:rsidRPr="00C37F01">
        <w:rPr>
          <w:rFonts w:cstheme="minorHAnsi"/>
          <w:lang w:val="en-GB"/>
        </w:rPr>
        <w:t xml:space="preserve"> </w:t>
      </w:r>
    </w:p>
    <w:p w14:paraId="318611EF" w14:textId="437290FE" w:rsidR="00F36C03" w:rsidRPr="00C37F01" w:rsidRDefault="0086496C" w:rsidP="00EB5D85">
      <w:pPr>
        <w:numPr>
          <w:ilvl w:val="0"/>
          <w:numId w:val="14"/>
        </w:numPr>
        <w:jc w:val="both"/>
        <w:rPr>
          <w:rFonts w:cstheme="minorHAnsi"/>
          <w:lang w:val="en-GB"/>
        </w:rPr>
      </w:pPr>
      <w:r w:rsidRPr="00C37F01">
        <w:rPr>
          <w:rFonts w:cstheme="minorHAnsi"/>
          <w:lang w:val="en-GB"/>
        </w:rPr>
        <w:t>Call on</w:t>
      </w:r>
      <w:r w:rsidR="005B11DB" w:rsidRPr="00C37F01">
        <w:rPr>
          <w:rFonts w:cstheme="minorHAnsi"/>
          <w:lang w:val="en-GB"/>
        </w:rPr>
        <w:t xml:space="preserve"> </w:t>
      </w:r>
      <w:r w:rsidR="00060444" w:rsidRPr="00C37F01">
        <w:rPr>
          <w:rFonts w:cstheme="minorHAnsi"/>
          <w:lang w:val="en-GB"/>
        </w:rPr>
        <w:t>Member States</w:t>
      </w:r>
      <w:r w:rsidR="00F67F10" w:rsidRPr="00C37F01">
        <w:rPr>
          <w:rFonts w:cstheme="minorHAnsi"/>
          <w:lang w:val="en-GB"/>
        </w:rPr>
        <w:t>, with the support of the UN System and the private sector,</w:t>
      </w:r>
      <w:r w:rsidR="00060444" w:rsidRPr="00C37F01">
        <w:rPr>
          <w:rFonts w:cstheme="minorHAnsi"/>
          <w:lang w:val="en-GB"/>
        </w:rPr>
        <w:t xml:space="preserve"> </w:t>
      </w:r>
      <w:r w:rsidR="005B11DB" w:rsidRPr="00C37F01">
        <w:rPr>
          <w:rFonts w:cstheme="minorHAnsi"/>
          <w:lang w:val="en-GB"/>
        </w:rPr>
        <w:t>to</w:t>
      </w:r>
      <w:r w:rsidR="005B11DB" w:rsidRPr="00C37F01">
        <w:rPr>
          <w:rFonts w:cstheme="minorHAnsi"/>
          <w:b/>
          <w:bCs/>
          <w:lang w:val="en-GB"/>
        </w:rPr>
        <w:t xml:space="preserve"> establish enabling environments</w:t>
      </w:r>
      <w:r w:rsidR="005B11DB" w:rsidRPr="00C37F01">
        <w:rPr>
          <w:rFonts w:cstheme="minorHAnsi"/>
          <w:lang w:val="en-GB"/>
        </w:rPr>
        <w:t xml:space="preserve"> </w:t>
      </w:r>
      <w:r w:rsidR="005B11DB" w:rsidRPr="00C37F01">
        <w:rPr>
          <w:rFonts w:cstheme="minorHAnsi"/>
          <w:b/>
          <w:bCs/>
          <w:lang w:val="en-GB"/>
        </w:rPr>
        <w:t>that incentivize private businesses to invest in sustainable development through culture</w:t>
      </w:r>
      <w:r w:rsidRPr="00C37F01">
        <w:rPr>
          <w:rFonts w:cstheme="minorHAnsi"/>
          <w:lang w:val="en-GB"/>
        </w:rPr>
        <w:t xml:space="preserve">, </w:t>
      </w:r>
      <w:r w:rsidR="005B11DB" w:rsidRPr="00C37F01">
        <w:rPr>
          <w:rFonts w:cstheme="minorHAnsi"/>
          <w:lang w:val="en-GB"/>
        </w:rPr>
        <w:t>includ</w:t>
      </w:r>
      <w:r w:rsidRPr="00C37F01">
        <w:rPr>
          <w:rFonts w:cstheme="minorHAnsi"/>
          <w:lang w:val="en-GB"/>
        </w:rPr>
        <w:t xml:space="preserve">ing through </w:t>
      </w:r>
      <w:r w:rsidR="00FE2516" w:rsidRPr="00C37F01">
        <w:rPr>
          <w:rFonts w:cstheme="minorHAnsi"/>
          <w:lang w:val="en-GB"/>
        </w:rPr>
        <w:t xml:space="preserve">the </w:t>
      </w:r>
      <w:r w:rsidR="004729BC" w:rsidRPr="00C37F01">
        <w:rPr>
          <w:rFonts w:cstheme="minorHAnsi"/>
          <w:lang w:val="en-GB"/>
        </w:rPr>
        <w:t>establishment of</w:t>
      </w:r>
      <w:r w:rsidR="005B11DB" w:rsidRPr="00C37F01">
        <w:rPr>
          <w:rFonts w:cstheme="minorHAnsi"/>
          <w:lang w:val="en-GB"/>
        </w:rPr>
        <w:t xml:space="preserve"> </w:t>
      </w:r>
      <w:r w:rsidR="00876A31" w:rsidRPr="00C37F01">
        <w:rPr>
          <w:rFonts w:cstheme="minorHAnsi"/>
          <w:lang w:val="en-GB"/>
        </w:rPr>
        <w:t xml:space="preserve">effective </w:t>
      </w:r>
      <w:r w:rsidR="00F36C03" w:rsidRPr="00C37F01">
        <w:rPr>
          <w:rFonts w:cstheme="minorHAnsi"/>
          <w:lang w:val="en-GB"/>
        </w:rPr>
        <w:t xml:space="preserve">guarantee schemes, </w:t>
      </w:r>
      <w:r w:rsidR="004729BC" w:rsidRPr="00C37F01">
        <w:rPr>
          <w:rFonts w:cstheme="minorHAnsi"/>
          <w:lang w:val="en-GB"/>
        </w:rPr>
        <w:t xml:space="preserve">the </w:t>
      </w:r>
      <w:r w:rsidR="00F36C03" w:rsidRPr="00C37F01">
        <w:rPr>
          <w:rFonts w:cstheme="minorHAnsi"/>
          <w:lang w:val="en-GB"/>
        </w:rPr>
        <w:t>integration of culture into ESG investment criteria</w:t>
      </w:r>
      <w:r w:rsidR="003779A2" w:rsidRPr="00C37F01">
        <w:rPr>
          <w:rFonts w:cstheme="minorHAnsi"/>
          <w:lang w:val="en-GB"/>
        </w:rPr>
        <w:t>, including</w:t>
      </w:r>
      <w:r w:rsidR="00B048E9" w:rsidRPr="00C37F01">
        <w:rPr>
          <w:rFonts w:cstheme="minorHAnsi"/>
          <w:lang w:val="en-GB"/>
        </w:rPr>
        <w:t xml:space="preserve"> in dialogue with the UN Principles for Responsible Investment</w:t>
      </w:r>
      <w:r w:rsidR="003335FE" w:rsidRPr="00C37F01">
        <w:rPr>
          <w:rFonts w:cstheme="minorHAnsi"/>
          <w:lang w:val="en-GB"/>
        </w:rPr>
        <w:t xml:space="preserve"> network</w:t>
      </w:r>
      <w:r w:rsidR="00F36C03" w:rsidRPr="00C37F01">
        <w:rPr>
          <w:rFonts w:cstheme="minorHAnsi"/>
          <w:lang w:val="en-GB"/>
        </w:rPr>
        <w:t xml:space="preserve">, or </w:t>
      </w:r>
      <w:r w:rsidR="007B3112" w:rsidRPr="00C37F01">
        <w:rPr>
          <w:rFonts w:cstheme="minorHAnsi"/>
          <w:lang w:val="en-GB"/>
        </w:rPr>
        <w:t>the</w:t>
      </w:r>
      <w:r w:rsidR="00A51A6E" w:rsidRPr="00C37F01">
        <w:rPr>
          <w:rFonts w:cstheme="minorHAnsi"/>
          <w:lang w:val="en-GB"/>
        </w:rPr>
        <w:t xml:space="preserve"> development of </w:t>
      </w:r>
      <w:r w:rsidR="00F36C03" w:rsidRPr="00C37F01">
        <w:rPr>
          <w:rFonts w:cstheme="minorHAnsi"/>
          <w:lang w:val="en-GB"/>
        </w:rPr>
        <w:t xml:space="preserve">capacity building initiatives to develop more </w:t>
      </w:r>
      <w:r w:rsidR="00AE7F59" w:rsidRPr="00C37F01">
        <w:rPr>
          <w:rFonts w:cstheme="minorHAnsi"/>
          <w:lang w:val="en-GB"/>
        </w:rPr>
        <w:t xml:space="preserve">professionalized </w:t>
      </w:r>
      <w:r w:rsidR="00B241EF" w:rsidRPr="00C37F01">
        <w:rPr>
          <w:rFonts w:cstheme="minorHAnsi"/>
          <w:lang w:val="en-GB"/>
        </w:rPr>
        <w:t>CCIs</w:t>
      </w:r>
      <w:r w:rsidR="00B241EF" w:rsidRPr="00C37F01" w:rsidDel="00B241EF">
        <w:rPr>
          <w:rFonts w:cstheme="minorHAnsi"/>
          <w:lang w:val="en-GB"/>
        </w:rPr>
        <w:t xml:space="preserve"> </w:t>
      </w:r>
      <w:r w:rsidR="00A05816" w:rsidRPr="00C37F01">
        <w:rPr>
          <w:rFonts w:cstheme="minorHAnsi"/>
          <w:lang w:val="en-GB"/>
        </w:rPr>
        <w:t>to</w:t>
      </w:r>
      <w:r w:rsidR="00FE2516" w:rsidRPr="00C37F01">
        <w:rPr>
          <w:rFonts w:cstheme="minorHAnsi"/>
          <w:lang w:val="en-GB"/>
        </w:rPr>
        <w:t xml:space="preserve"> attract increased private investment</w:t>
      </w:r>
      <w:r w:rsidR="00A81C29" w:rsidRPr="00C37F01">
        <w:rPr>
          <w:rFonts w:cstheme="minorHAnsi"/>
          <w:lang w:val="en-GB"/>
        </w:rPr>
        <w:t xml:space="preserve"> and lending</w:t>
      </w:r>
      <w:r w:rsidR="00F36C03" w:rsidRPr="00C37F01">
        <w:rPr>
          <w:rFonts w:cstheme="minorHAnsi"/>
          <w:lang w:val="en-GB"/>
        </w:rPr>
        <w:t>.</w:t>
      </w:r>
    </w:p>
    <w:p w14:paraId="0335A968" w14:textId="7C06EBA6" w:rsidR="005B11DB" w:rsidRPr="00C37F01" w:rsidRDefault="005B11DB" w:rsidP="00FC20AD">
      <w:pPr>
        <w:numPr>
          <w:ilvl w:val="0"/>
          <w:numId w:val="14"/>
        </w:numPr>
        <w:jc w:val="both"/>
        <w:rPr>
          <w:rFonts w:cstheme="minorHAnsi"/>
          <w:lang w:val="en-GB"/>
        </w:rPr>
      </w:pPr>
      <w:r w:rsidRPr="00C37F01">
        <w:rPr>
          <w:rFonts w:cstheme="minorHAnsi"/>
          <w:lang w:val="en-GB"/>
        </w:rPr>
        <w:t xml:space="preserve">Call </w:t>
      </w:r>
      <w:r w:rsidR="002236B9" w:rsidRPr="00C37F01">
        <w:rPr>
          <w:rFonts w:cstheme="minorHAnsi"/>
          <w:lang w:val="en-GB"/>
        </w:rPr>
        <w:t xml:space="preserve">on Member States and the private sector </w:t>
      </w:r>
      <w:bookmarkStart w:id="1" w:name="_Hlk178160207"/>
      <w:r w:rsidR="002236B9" w:rsidRPr="00C37F01">
        <w:rPr>
          <w:rFonts w:cstheme="minorHAnsi"/>
          <w:lang w:val="en-GB"/>
        </w:rPr>
        <w:t xml:space="preserve">to </w:t>
      </w:r>
      <w:r w:rsidRPr="00C37F01">
        <w:rPr>
          <w:rFonts w:cstheme="minorHAnsi"/>
          <w:b/>
          <w:bCs/>
          <w:lang w:val="en-GB"/>
        </w:rPr>
        <w:t xml:space="preserve">enhance </w:t>
      </w:r>
      <w:r w:rsidR="00322A5C" w:rsidRPr="00C37F01">
        <w:rPr>
          <w:rFonts w:cstheme="minorHAnsi"/>
          <w:b/>
          <w:bCs/>
          <w:lang w:val="en-GB"/>
        </w:rPr>
        <w:t>systematic</w:t>
      </w:r>
      <w:r w:rsidR="00D2589D" w:rsidRPr="00C37F01">
        <w:rPr>
          <w:rFonts w:cstheme="minorHAnsi"/>
          <w:b/>
          <w:bCs/>
          <w:lang w:val="en-GB"/>
        </w:rPr>
        <w:t>, coordinated</w:t>
      </w:r>
      <w:r w:rsidR="00322A5C" w:rsidRPr="00C37F01">
        <w:rPr>
          <w:rFonts w:cstheme="minorHAnsi"/>
          <w:b/>
          <w:bCs/>
          <w:lang w:val="en-GB"/>
        </w:rPr>
        <w:t xml:space="preserve"> </w:t>
      </w:r>
      <w:r w:rsidRPr="00C37F01">
        <w:rPr>
          <w:rFonts w:cstheme="minorHAnsi"/>
          <w:b/>
          <w:bCs/>
          <w:lang w:val="en-GB"/>
        </w:rPr>
        <w:t>data collection related to culture</w:t>
      </w:r>
      <w:bookmarkEnd w:id="1"/>
      <w:r w:rsidRPr="00C37F01">
        <w:rPr>
          <w:rFonts w:cstheme="minorHAnsi"/>
          <w:lang w:val="en-GB"/>
        </w:rPr>
        <w:t xml:space="preserve">, </w:t>
      </w:r>
      <w:r w:rsidR="00243221" w:rsidRPr="00C37F01">
        <w:rPr>
          <w:rFonts w:cstheme="minorHAnsi"/>
          <w:lang w:val="en-GB"/>
        </w:rPr>
        <w:t>incorporating both</w:t>
      </w:r>
      <w:r w:rsidR="00BE68E3" w:rsidRPr="00C37F01">
        <w:rPr>
          <w:rFonts w:cstheme="minorHAnsi"/>
          <w:lang w:val="en-GB"/>
        </w:rPr>
        <w:t xml:space="preserve"> quantitative and qualitative metrics</w:t>
      </w:r>
      <w:r w:rsidR="00243221" w:rsidRPr="00C37F01">
        <w:rPr>
          <w:rFonts w:cstheme="minorHAnsi"/>
          <w:lang w:val="en-GB"/>
        </w:rPr>
        <w:t xml:space="preserve">, </w:t>
      </w:r>
      <w:r w:rsidR="00FC20AD" w:rsidRPr="00C37F01">
        <w:rPr>
          <w:rFonts w:cstheme="minorHAnsi"/>
          <w:lang w:val="en-GB"/>
        </w:rPr>
        <w:t>with a focus on results measurement and impact assessment,</w:t>
      </w:r>
      <w:r w:rsidR="00FC20AD" w:rsidRPr="00C37F01" w:rsidDel="00FC20AD">
        <w:rPr>
          <w:rFonts w:cstheme="minorHAnsi"/>
          <w:lang w:val="en-GB"/>
        </w:rPr>
        <w:t xml:space="preserve"> </w:t>
      </w:r>
      <w:proofErr w:type="gramStart"/>
      <w:r w:rsidR="00BE68E3" w:rsidRPr="00C37F01">
        <w:rPr>
          <w:rFonts w:cstheme="minorHAnsi"/>
          <w:lang w:val="en-GB"/>
        </w:rPr>
        <w:t xml:space="preserve">in order </w:t>
      </w:r>
      <w:r w:rsidR="006B40C9" w:rsidRPr="00C37F01">
        <w:rPr>
          <w:rFonts w:cstheme="minorHAnsi"/>
          <w:lang w:val="en-GB"/>
        </w:rPr>
        <w:t>to</w:t>
      </w:r>
      <w:proofErr w:type="gramEnd"/>
      <w:r w:rsidRPr="00C37F01">
        <w:rPr>
          <w:rFonts w:cstheme="minorHAnsi"/>
          <w:lang w:val="en-GB"/>
        </w:rPr>
        <w:t xml:space="preserve"> inform </w:t>
      </w:r>
      <w:r w:rsidR="0014365B" w:rsidRPr="00C37F01">
        <w:rPr>
          <w:rFonts w:cstheme="minorHAnsi"/>
          <w:lang w:val="en-GB"/>
        </w:rPr>
        <w:t>policymaking</w:t>
      </w:r>
      <w:r w:rsidRPr="00C37F01">
        <w:rPr>
          <w:rFonts w:cstheme="minorHAnsi"/>
          <w:lang w:val="en-GB"/>
        </w:rPr>
        <w:t xml:space="preserve"> and </w:t>
      </w:r>
      <w:r w:rsidR="0014365B" w:rsidRPr="00C37F01">
        <w:rPr>
          <w:rFonts w:cstheme="minorHAnsi"/>
          <w:lang w:val="en-GB"/>
        </w:rPr>
        <w:t xml:space="preserve">increase </w:t>
      </w:r>
      <w:r w:rsidRPr="00C37F01">
        <w:rPr>
          <w:rFonts w:cstheme="minorHAnsi"/>
          <w:lang w:val="en-GB"/>
        </w:rPr>
        <w:t>investmen</w:t>
      </w:r>
      <w:r w:rsidR="0014365B" w:rsidRPr="00C37F01">
        <w:rPr>
          <w:rFonts w:cstheme="minorHAnsi"/>
          <w:lang w:val="en-GB"/>
        </w:rPr>
        <w:t>ts in the cultural sector</w:t>
      </w:r>
      <w:r w:rsidRPr="00C37F01">
        <w:rPr>
          <w:rFonts w:cstheme="minorHAnsi"/>
          <w:lang w:val="en-GB"/>
        </w:rPr>
        <w:t>.</w:t>
      </w:r>
    </w:p>
    <w:p w14:paraId="6AFCABA1" w14:textId="12F84340" w:rsidR="00A40CC7" w:rsidRPr="00192DEB" w:rsidRDefault="00A40CC7" w:rsidP="00192DEB">
      <w:pPr>
        <w:pStyle w:val="ListParagraph"/>
        <w:numPr>
          <w:ilvl w:val="0"/>
          <w:numId w:val="14"/>
        </w:numPr>
        <w:rPr>
          <w:rFonts w:cstheme="minorHAnsi"/>
          <w:lang w:val="en-GB"/>
        </w:rPr>
      </w:pPr>
      <w:r w:rsidRPr="00C37F01">
        <w:rPr>
          <w:rFonts w:cstheme="minorHAnsi"/>
          <w:lang w:val="en-GB"/>
        </w:rPr>
        <w:t xml:space="preserve">Call on </w:t>
      </w:r>
      <w:r w:rsidR="00C80050" w:rsidRPr="00C37F01">
        <w:rPr>
          <w:rFonts w:cstheme="minorHAnsi"/>
          <w:lang w:val="en-GB"/>
        </w:rPr>
        <w:t xml:space="preserve">the </w:t>
      </w:r>
      <w:r w:rsidR="00C80050" w:rsidRPr="00C37F01">
        <w:rPr>
          <w:rFonts w:cstheme="minorHAnsi"/>
          <w:b/>
          <w:bCs/>
          <w:lang w:val="en-GB"/>
        </w:rPr>
        <w:t>UN Secretary-General</w:t>
      </w:r>
      <w:r w:rsidRPr="00C37F01">
        <w:rPr>
          <w:rFonts w:cstheme="minorHAnsi"/>
          <w:b/>
          <w:bCs/>
          <w:lang w:val="en-GB"/>
        </w:rPr>
        <w:t xml:space="preserve"> </w:t>
      </w:r>
      <w:r w:rsidR="00C80050" w:rsidRPr="00C37F01">
        <w:rPr>
          <w:rFonts w:cstheme="minorHAnsi"/>
          <w:b/>
          <w:bCs/>
          <w:lang w:val="en-GB"/>
        </w:rPr>
        <w:t>to report</w:t>
      </w:r>
      <w:r w:rsidR="00C80050" w:rsidRPr="00C37F01">
        <w:rPr>
          <w:rFonts w:cstheme="minorHAnsi"/>
          <w:lang w:val="en-GB"/>
        </w:rPr>
        <w:t xml:space="preserve"> </w:t>
      </w:r>
      <w:r w:rsidRPr="00C37F01">
        <w:rPr>
          <w:rFonts w:cstheme="minorHAnsi"/>
          <w:b/>
          <w:bCs/>
          <w:lang w:val="en-GB"/>
        </w:rPr>
        <w:t xml:space="preserve">on the above recommendations and </w:t>
      </w:r>
      <w:r w:rsidR="00C80050" w:rsidRPr="00C37F01">
        <w:rPr>
          <w:rFonts w:cstheme="minorHAnsi"/>
          <w:b/>
          <w:bCs/>
          <w:lang w:val="en-GB"/>
        </w:rPr>
        <w:t xml:space="preserve">on Member States to </w:t>
      </w:r>
      <w:r w:rsidRPr="00C37F01">
        <w:rPr>
          <w:rFonts w:cstheme="minorHAnsi"/>
          <w:b/>
          <w:bCs/>
          <w:lang w:val="en-GB"/>
        </w:rPr>
        <w:t>integrate these</w:t>
      </w:r>
      <w:r w:rsidRPr="00C37F01">
        <w:rPr>
          <w:rFonts w:cstheme="minorHAnsi"/>
          <w:lang w:val="en-GB"/>
        </w:rPr>
        <w:t xml:space="preserve"> </w:t>
      </w:r>
      <w:r w:rsidRPr="00C37F01">
        <w:rPr>
          <w:rFonts w:cstheme="minorHAnsi"/>
          <w:b/>
          <w:bCs/>
          <w:lang w:val="en-GB"/>
        </w:rPr>
        <w:t>in discussions at MONDIACULT 2025</w:t>
      </w:r>
      <w:r w:rsidRPr="00C37F01">
        <w:rPr>
          <w:rFonts w:cstheme="minorHAnsi"/>
          <w:lang w:val="en-GB"/>
        </w:rPr>
        <w:t xml:space="preserve">, as appropriate. </w:t>
      </w:r>
    </w:p>
    <w:p w14:paraId="5438EE20" w14:textId="086880C6" w:rsidR="00934933" w:rsidRDefault="003D3F54" w:rsidP="00A40CC7">
      <w:pPr>
        <w:jc w:val="both"/>
        <w:rPr>
          <w:rFonts w:cstheme="minorHAnsi"/>
          <w:lang w:val="en-GB"/>
        </w:rPr>
      </w:pPr>
      <w:r w:rsidRPr="00C37F01">
        <w:rPr>
          <w:rFonts w:cstheme="minorHAnsi"/>
          <w:lang w:val="en-GB"/>
        </w:rPr>
        <w:t>These specific recommendations for the Conference would increase the necessary policy attention to strengthen the financing of the cultural sector, thereby enhancing culture’s role in achieving inclusive, sustainable development. This is an essential step not only for accelerating the implementation of the 2030 Agenda but also for shaping a robust post-2030 development agenda</w:t>
      </w:r>
      <w:r w:rsidR="0047487A" w:rsidRPr="00C37F01">
        <w:rPr>
          <w:rFonts w:cstheme="minorHAnsi"/>
          <w:lang w:val="en-GB"/>
        </w:rPr>
        <w:t>,</w:t>
      </w:r>
      <w:r w:rsidRPr="00C37F01">
        <w:rPr>
          <w:rFonts w:cstheme="minorHAnsi"/>
          <w:lang w:val="en-GB"/>
        </w:rPr>
        <w:t xml:space="preserve"> </w:t>
      </w:r>
      <w:r w:rsidR="0047487A" w:rsidRPr="00C37F01">
        <w:rPr>
          <w:rFonts w:cstheme="minorHAnsi"/>
          <w:lang w:val="en-GB"/>
        </w:rPr>
        <w:t xml:space="preserve">including </w:t>
      </w:r>
      <w:r w:rsidRPr="00C37F01">
        <w:rPr>
          <w:rFonts w:cstheme="minorHAnsi"/>
          <w:lang w:val="en-GB"/>
        </w:rPr>
        <w:t>with culture as a stand-alone goal.</w:t>
      </w:r>
    </w:p>
    <w:p w14:paraId="03F4759D" w14:textId="77777777" w:rsidR="00832481" w:rsidRDefault="00832481" w:rsidP="00A40CC7">
      <w:pPr>
        <w:jc w:val="both"/>
        <w:rPr>
          <w:rFonts w:cstheme="minorHAnsi"/>
          <w:lang w:val="en-GB"/>
        </w:rPr>
      </w:pPr>
    </w:p>
    <w:p w14:paraId="382802E9" w14:textId="77777777" w:rsidR="00832481" w:rsidRPr="00C37F01" w:rsidRDefault="00832481" w:rsidP="00A40CC7">
      <w:pPr>
        <w:jc w:val="both"/>
        <w:rPr>
          <w:rFonts w:cstheme="minorHAnsi"/>
          <w:lang w:val="en-GB"/>
        </w:rPr>
      </w:pPr>
    </w:p>
    <w:p w14:paraId="4B73DEA0" w14:textId="77777777" w:rsidR="00934933" w:rsidRPr="00C37F01" w:rsidRDefault="00934933" w:rsidP="003D3F54">
      <w:pPr>
        <w:jc w:val="both"/>
        <w:rPr>
          <w:rFonts w:cstheme="minorHAnsi"/>
          <w:lang w:val="en-GB"/>
        </w:rPr>
      </w:pPr>
    </w:p>
    <w:tbl>
      <w:tblPr>
        <w:tblStyle w:val="TableGrid"/>
        <w:tblW w:w="9445" w:type="dxa"/>
        <w:tblLook w:val="04A0" w:firstRow="1" w:lastRow="0" w:firstColumn="1" w:lastColumn="0" w:noHBand="0" w:noVBand="1"/>
      </w:tblPr>
      <w:tblGrid>
        <w:gridCol w:w="9445"/>
      </w:tblGrid>
      <w:tr w:rsidR="00907F6A" w:rsidRPr="00C37F01" w14:paraId="7038DEFD" w14:textId="77777777" w:rsidTr="004E1712">
        <w:trPr>
          <w:trHeight w:val="327"/>
        </w:trPr>
        <w:tc>
          <w:tcPr>
            <w:tcW w:w="9445" w:type="dxa"/>
          </w:tcPr>
          <w:p w14:paraId="165C5BC2" w14:textId="697893B6" w:rsidR="00907F6A" w:rsidRPr="00192DEB" w:rsidRDefault="00907F6A" w:rsidP="003D3F54">
            <w:pPr>
              <w:jc w:val="both"/>
              <w:rPr>
                <w:rFonts w:cstheme="minorHAnsi"/>
                <w:lang w:val="en-GB"/>
              </w:rPr>
            </w:pPr>
            <w:r w:rsidRPr="00192DEB">
              <w:rPr>
                <w:rFonts w:cstheme="minorHAnsi"/>
                <w:b/>
                <w:bCs/>
                <w:lang w:val="en-GB"/>
              </w:rPr>
              <w:lastRenderedPageBreak/>
              <w:t>75-word summary of the policy brief</w:t>
            </w:r>
          </w:p>
        </w:tc>
      </w:tr>
      <w:tr w:rsidR="00907F6A" w:rsidRPr="00C37F01" w14:paraId="469351CD" w14:textId="77777777" w:rsidTr="004E1712">
        <w:trPr>
          <w:trHeight w:val="1399"/>
        </w:trPr>
        <w:tc>
          <w:tcPr>
            <w:tcW w:w="9445" w:type="dxa"/>
          </w:tcPr>
          <w:p w14:paraId="1B0793D6" w14:textId="77777777" w:rsidR="00907F6A" w:rsidRPr="00192DEB" w:rsidRDefault="00907F6A" w:rsidP="003D3F54">
            <w:pPr>
              <w:jc w:val="both"/>
              <w:rPr>
                <w:rFonts w:cstheme="minorHAnsi"/>
                <w:lang w:val="en-GB"/>
              </w:rPr>
            </w:pPr>
          </w:p>
          <w:p w14:paraId="067EA9BB" w14:textId="07FDE8F3" w:rsidR="0020370E" w:rsidRPr="00192DEB" w:rsidRDefault="00F325F2" w:rsidP="00F90DD4">
            <w:pPr>
              <w:spacing w:line="276" w:lineRule="auto"/>
              <w:jc w:val="both"/>
              <w:rPr>
                <w:rFonts w:cstheme="minorHAnsi"/>
                <w:lang w:val="en-GB"/>
              </w:rPr>
            </w:pPr>
            <w:r w:rsidRPr="00192DEB">
              <w:rPr>
                <w:rFonts w:cstheme="minorHAnsi"/>
                <w:lang w:val="en-GB"/>
              </w:rPr>
              <w:t>C</w:t>
            </w:r>
            <w:r w:rsidR="003807F4" w:rsidRPr="00192DEB">
              <w:rPr>
                <w:rFonts w:cstheme="minorHAnsi"/>
                <w:lang w:val="en-GB"/>
              </w:rPr>
              <w:t xml:space="preserve">ulture </w:t>
            </w:r>
            <w:r w:rsidR="00FA2350" w:rsidRPr="00192DEB">
              <w:rPr>
                <w:rFonts w:cstheme="minorHAnsi"/>
                <w:lang w:val="en-GB"/>
              </w:rPr>
              <w:t xml:space="preserve">is now recognized as a key driver of inclusive </w:t>
            </w:r>
            <w:r w:rsidR="00ED2CD7" w:rsidRPr="00192DEB">
              <w:rPr>
                <w:rFonts w:cstheme="minorHAnsi"/>
                <w:lang w:val="en-GB"/>
              </w:rPr>
              <w:t xml:space="preserve">sustainable </w:t>
            </w:r>
            <w:r w:rsidR="00FA2350" w:rsidRPr="00192DEB">
              <w:rPr>
                <w:rFonts w:cstheme="minorHAnsi"/>
                <w:lang w:val="en-GB"/>
              </w:rPr>
              <w:t>development</w:t>
            </w:r>
            <w:r w:rsidR="004E1712" w:rsidRPr="00192DEB">
              <w:rPr>
                <w:rFonts w:cstheme="minorHAnsi"/>
                <w:lang w:val="en-GB"/>
              </w:rPr>
              <w:t>, as</w:t>
            </w:r>
            <w:r w:rsidR="00E747C4" w:rsidRPr="00192DEB">
              <w:rPr>
                <w:rFonts w:cstheme="minorHAnsi"/>
                <w:lang w:val="en-GB"/>
              </w:rPr>
              <w:t xml:space="preserve"> recently </w:t>
            </w:r>
            <w:r w:rsidRPr="00192DEB">
              <w:rPr>
                <w:rFonts w:cstheme="minorHAnsi"/>
                <w:lang w:val="en-GB"/>
              </w:rPr>
              <w:t>evidenced</w:t>
            </w:r>
            <w:r w:rsidR="00FA2350" w:rsidRPr="00192DEB">
              <w:rPr>
                <w:rFonts w:cstheme="minorHAnsi"/>
                <w:lang w:val="en-GB"/>
              </w:rPr>
              <w:t xml:space="preserve"> in the UN Pact for the Future. </w:t>
            </w:r>
            <w:r w:rsidR="00E747C4" w:rsidRPr="00192DEB">
              <w:rPr>
                <w:rFonts w:cstheme="minorHAnsi"/>
                <w:lang w:val="en-GB"/>
              </w:rPr>
              <w:t xml:space="preserve">However, culture remains sidelined in discussions and policies on the financing of sustainable development. </w:t>
            </w:r>
            <w:r w:rsidR="00FA2350" w:rsidRPr="00192DEB">
              <w:rPr>
                <w:rFonts w:cstheme="minorHAnsi"/>
                <w:lang w:val="en-GB"/>
              </w:rPr>
              <w:t>A more systematic integration of culture into financing frameworks</w:t>
            </w:r>
            <w:r w:rsidR="003807F4" w:rsidRPr="00192DEB">
              <w:rPr>
                <w:rFonts w:cstheme="minorHAnsi"/>
                <w:lang w:val="en-GB"/>
              </w:rPr>
              <w:t xml:space="preserve"> – </w:t>
            </w:r>
            <w:r w:rsidR="00E848FD" w:rsidRPr="00192DEB">
              <w:rPr>
                <w:rFonts w:cstheme="minorHAnsi"/>
                <w:lang w:val="en-GB"/>
              </w:rPr>
              <w:t>spanning</w:t>
            </w:r>
            <w:r w:rsidR="00FA2350" w:rsidRPr="00192DEB">
              <w:rPr>
                <w:rFonts w:cstheme="minorHAnsi"/>
                <w:lang w:val="en-GB"/>
              </w:rPr>
              <w:t xml:space="preserve"> domestic public resources, private sector investments, </w:t>
            </w:r>
            <w:r w:rsidR="00BD771E" w:rsidRPr="00192DEB">
              <w:rPr>
                <w:rFonts w:cstheme="minorHAnsi"/>
                <w:lang w:val="en-GB"/>
              </w:rPr>
              <w:t>development</w:t>
            </w:r>
            <w:r w:rsidR="00FA2350" w:rsidRPr="00192DEB">
              <w:rPr>
                <w:rFonts w:cstheme="minorHAnsi"/>
                <w:lang w:val="en-GB"/>
              </w:rPr>
              <w:t xml:space="preserve"> cooperation and trade</w:t>
            </w:r>
            <w:r w:rsidR="003807F4" w:rsidRPr="00192DEB">
              <w:rPr>
                <w:rFonts w:cstheme="minorHAnsi"/>
                <w:lang w:val="en-GB"/>
              </w:rPr>
              <w:t xml:space="preserve"> – </w:t>
            </w:r>
            <w:r w:rsidR="00FA2350" w:rsidRPr="00192DEB">
              <w:rPr>
                <w:rFonts w:cstheme="minorHAnsi"/>
                <w:lang w:val="en-GB"/>
              </w:rPr>
              <w:t xml:space="preserve">is </w:t>
            </w:r>
            <w:r w:rsidR="00BD771E" w:rsidRPr="00192DEB">
              <w:rPr>
                <w:rFonts w:cstheme="minorHAnsi"/>
                <w:lang w:val="en-GB"/>
              </w:rPr>
              <w:t>fundamental</w:t>
            </w:r>
            <w:r w:rsidR="00FA2350" w:rsidRPr="00192DEB">
              <w:rPr>
                <w:rFonts w:cstheme="minorHAnsi"/>
                <w:lang w:val="en-GB"/>
              </w:rPr>
              <w:t xml:space="preserve"> for accelerating the </w:t>
            </w:r>
            <w:r w:rsidR="00192DEB">
              <w:rPr>
                <w:rFonts w:cstheme="minorHAnsi"/>
                <w:lang w:val="en-GB"/>
              </w:rPr>
              <w:t xml:space="preserve">implementation of </w:t>
            </w:r>
            <w:r w:rsidR="00FA2350" w:rsidRPr="00192DEB">
              <w:rPr>
                <w:rFonts w:cstheme="minorHAnsi"/>
                <w:lang w:val="en-GB"/>
              </w:rPr>
              <w:t>2030 Agenda</w:t>
            </w:r>
            <w:r w:rsidR="00192DEB">
              <w:rPr>
                <w:rFonts w:cstheme="minorHAnsi"/>
                <w:lang w:val="en-GB"/>
              </w:rPr>
              <w:t xml:space="preserve"> </w:t>
            </w:r>
            <w:r w:rsidR="00C262AE" w:rsidRPr="00192DEB">
              <w:rPr>
                <w:rFonts w:cstheme="minorHAnsi"/>
                <w:lang w:val="en-GB"/>
              </w:rPr>
              <w:t xml:space="preserve">and </w:t>
            </w:r>
            <w:r w:rsidR="00FA2350" w:rsidRPr="00192DEB">
              <w:rPr>
                <w:rFonts w:cstheme="minorHAnsi"/>
                <w:lang w:val="en-GB"/>
              </w:rPr>
              <w:t>for advancing sustainable development in the post-2030 agenda, including through culture as a stand-alone goal.</w:t>
            </w:r>
          </w:p>
          <w:p w14:paraId="50CF94FB" w14:textId="0EA7CE8C" w:rsidR="00F90DD4" w:rsidRPr="00192DEB" w:rsidRDefault="00F90DD4" w:rsidP="004E1712">
            <w:pPr>
              <w:spacing w:line="276" w:lineRule="auto"/>
              <w:jc w:val="both"/>
              <w:rPr>
                <w:rFonts w:cstheme="minorHAnsi"/>
                <w:lang w:val="en-GB"/>
              </w:rPr>
            </w:pPr>
          </w:p>
        </w:tc>
      </w:tr>
    </w:tbl>
    <w:p w14:paraId="775198E4" w14:textId="77777777" w:rsidR="00907F6A" w:rsidRPr="00C37F01" w:rsidRDefault="00907F6A" w:rsidP="003D3F54">
      <w:pPr>
        <w:jc w:val="both"/>
        <w:rPr>
          <w:rFonts w:asciiTheme="majorHAnsi" w:hAnsiTheme="majorHAnsi" w:cstheme="majorHAnsi"/>
        </w:rPr>
      </w:pPr>
    </w:p>
    <w:sectPr w:rsidR="00907F6A" w:rsidRPr="00C37F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48D1" w14:textId="77777777" w:rsidR="00713979" w:rsidRDefault="00713979" w:rsidP="003A03B5">
      <w:pPr>
        <w:spacing w:after="0" w:line="240" w:lineRule="auto"/>
      </w:pPr>
      <w:r>
        <w:separator/>
      </w:r>
    </w:p>
  </w:endnote>
  <w:endnote w:type="continuationSeparator" w:id="0">
    <w:p w14:paraId="42CD6C91" w14:textId="77777777" w:rsidR="00713979" w:rsidRDefault="00713979" w:rsidP="003A03B5">
      <w:pPr>
        <w:spacing w:after="0" w:line="240" w:lineRule="auto"/>
      </w:pPr>
      <w:r>
        <w:continuationSeparator/>
      </w:r>
    </w:p>
  </w:endnote>
  <w:endnote w:type="continuationNotice" w:id="1">
    <w:p w14:paraId="49B0DDFC" w14:textId="77777777" w:rsidR="00713979" w:rsidRDefault="00713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333492"/>
      <w:docPartObj>
        <w:docPartGallery w:val="Page Numbers (Bottom of Page)"/>
        <w:docPartUnique/>
      </w:docPartObj>
    </w:sdtPr>
    <w:sdtEndPr>
      <w:rPr>
        <w:rFonts w:asciiTheme="minorBidi" w:hAnsiTheme="minorBidi"/>
        <w:noProof/>
        <w:sz w:val="18"/>
        <w:szCs w:val="18"/>
      </w:rPr>
    </w:sdtEndPr>
    <w:sdtContent>
      <w:p w14:paraId="313D6D55" w14:textId="00B974A1" w:rsidR="002B51CA" w:rsidRPr="002B51CA" w:rsidRDefault="002B51CA">
        <w:pPr>
          <w:pStyle w:val="Footer"/>
          <w:jc w:val="right"/>
          <w:rPr>
            <w:rFonts w:asciiTheme="minorBidi" w:hAnsiTheme="minorBidi"/>
            <w:sz w:val="18"/>
            <w:szCs w:val="18"/>
          </w:rPr>
        </w:pPr>
        <w:r w:rsidRPr="002B51CA">
          <w:rPr>
            <w:rFonts w:asciiTheme="minorBidi" w:hAnsiTheme="minorBidi"/>
            <w:sz w:val="18"/>
            <w:szCs w:val="18"/>
          </w:rPr>
          <w:fldChar w:fldCharType="begin"/>
        </w:r>
        <w:r w:rsidRPr="002B51CA">
          <w:rPr>
            <w:rFonts w:asciiTheme="minorBidi" w:hAnsiTheme="minorBidi"/>
            <w:sz w:val="18"/>
            <w:szCs w:val="18"/>
          </w:rPr>
          <w:instrText xml:space="preserve"> PAGE   \* MERGEFORMAT </w:instrText>
        </w:r>
        <w:r w:rsidRPr="002B51CA">
          <w:rPr>
            <w:rFonts w:asciiTheme="minorBidi" w:hAnsiTheme="minorBidi"/>
            <w:sz w:val="18"/>
            <w:szCs w:val="18"/>
          </w:rPr>
          <w:fldChar w:fldCharType="separate"/>
        </w:r>
        <w:r w:rsidRPr="002B51CA">
          <w:rPr>
            <w:rFonts w:asciiTheme="minorBidi" w:hAnsiTheme="minorBidi"/>
            <w:noProof/>
            <w:sz w:val="18"/>
            <w:szCs w:val="18"/>
          </w:rPr>
          <w:t>2</w:t>
        </w:r>
        <w:r w:rsidRPr="002B51CA">
          <w:rPr>
            <w:rFonts w:asciiTheme="minorBidi" w:hAnsiTheme="minorBidi"/>
            <w:noProof/>
            <w:sz w:val="18"/>
            <w:szCs w:val="18"/>
          </w:rPr>
          <w:fldChar w:fldCharType="end"/>
        </w:r>
      </w:p>
    </w:sdtContent>
  </w:sdt>
  <w:p w14:paraId="2BD5C314" w14:textId="77777777" w:rsidR="002B51CA" w:rsidRDefault="002B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61DD" w14:textId="77777777" w:rsidR="00713979" w:rsidRDefault="00713979" w:rsidP="003A03B5">
      <w:pPr>
        <w:spacing w:after="0" w:line="240" w:lineRule="auto"/>
      </w:pPr>
      <w:r>
        <w:separator/>
      </w:r>
    </w:p>
  </w:footnote>
  <w:footnote w:type="continuationSeparator" w:id="0">
    <w:p w14:paraId="7313949C" w14:textId="77777777" w:rsidR="00713979" w:rsidRDefault="00713979" w:rsidP="003A03B5">
      <w:pPr>
        <w:spacing w:after="0" w:line="240" w:lineRule="auto"/>
      </w:pPr>
      <w:r>
        <w:continuationSeparator/>
      </w:r>
    </w:p>
  </w:footnote>
  <w:footnote w:type="continuationNotice" w:id="1">
    <w:p w14:paraId="18E3B024" w14:textId="77777777" w:rsidR="00713979" w:rsidRDefault="00713979">
      <w:pPr>
        <w:spacing w:after="0" w:line="240" w:lineRule="auto"/>
      </w:pPr>
    </w:p>
  </w:footnote>
  <w:footnote w:id="2">
    <w:p w14:paraId="4CFBF682" w14:textId="58AC4B23" w:rsidR="00C259FB" w:rsidRPr="006845FC" w:rsidRDefault="00C259FB" w:rsidP="00C259FB">
      <w:pPr>
        <w:pStyle w:val="FootnoteText"/>
        <w:rPr>
          <w:rFonts w:asciiTheme="minorBidi" w:hAnsiTheme="minorBidi"/>
        </w:rPr>
      </w:pPr>
      <w:r w:rsidRPr="006845FC">
        <w:rPr>
          <w:rStyle w:val="FootnoteReference"/>
          <w:rFonts w:asciiTheme="minorBidi" w:hAnsiTheme="minorBidi"/>
        </w:rPr>
        <w:footnoteRef/>
      </w:r>
      <w:r w:rsidR="00BB39CA">
        <w:rPr>
          <w:rFonts w:asciiTheme="minorBidi" w:hAnsiTheme="minorBidi"/>
        </w:rPr>
        <w:t xml:space="preserve"> </w:t>
      </w:r>
      <w:r w:rsidRPr="006845FC">
        <w:rPr>
          <w:rFonts w:asciiTheme="minorBidi" w:hAnsiTheme="minorBidi"/>
          <w:sz w:val="16"/>
          <w:szCs w:val="16"/>
        </w:rPr>
        <w:t xml:space="preserve">Report of the Secretary-General (2023). </w:t>
      </w:r>
      <w:hyperlink r:id="rId1" w:history="1">
        <w:r w:rsidRPr="006845FC">
          <w:rPr>
            <w:rStyle w:val="Hyperlink"/>
            <w:rFonts w:asciiTheme="minorBidi" w:hAnsiTheme="minorBidi"/>
            <w:sz w:val="16"/>
            <w:szCs w:val="16"/>
          </w:rPr>
          <w:t>Progress towards the Sustainable Development Goals: Rescue Plan for People and Planet</w:t>
        </w:r>
      </w:hyperlink>
    </w:p>
  </w:footnote>
  <w:footnote w:id="3">
    <w:p w14:paraId="71927E75" w14:textId="72C6FA38" w:rsidR="000A3439" w:rsidRPr="006845FC" w:rsidRDefault="000A3439" w:rsidP="00BB39CA">
      <w:pPr>
        <w:pStyle w:val="FootnoteText"/>
        <w:rPr>
          <w:rFonts w:asciiTheme="minorBidi" w:hAnsiTheme="minorBidi"/>
        </w:rPr>
      </w:pPr>
      <w:r w:rsidRPr="006845FC">
        <w:rPr>
          <w:rStyle w:val="FootnoteReference"/>
          <w:rFonts w:asciiTheme="minorBidi" w:hAnsiTheme="minorBidi"/>
        </w:rPr>
        <w:footnoteRef/>
      </w:r>
      <w:r w:rsidRPr="006845FC">
        <w:rPr>
          <w:rFonts w:asciiTheme="minorBidi" w:hAnsiTheme="minorBidi"/>
        </w:rPr>
        <w:t xml:space="preserve"> </w:t>
      </w:r>
      <w:r w:rsidR="00BB39CA" w:rsidRPr="006845FC">
        <w:rPr>
          <w:rFonts w:asciiTheme="minorBidi" w:hAnsiTheme="minorBidi"/>
          <w:sz w:val="16"/>
          <w:szCs w:val="16"/>
        </w:rPr>
        <w:t xml:space="preserve">SDG 11 Synthesis Report (2023). </w:t>
      </w:r>
      <w:hyperlink r:id="rId2" w:history="1">
        <w:r w:rsidRPr="006845FC">
          <w:rPr>
            <w:rStyle w:val="Hyperlink"/>
            <w:rFonts w:asciiTheme="minorBidi" w:hAnsiTheme="minorBidi"/>
            <w:sz w:val="16"/>
            <w:szCs w:val="16"/>
          </w:rPr>
          <w:t>Rescuing SDG 11 for a Resilient Urban Planet</w:t>
        </w:r>
      </w:hyperlink>
      <w:r w:rsidR="00BB39CA" w:rsidRPr="006845FC">
        <w:rPr>
          <w:rFonts w:asciiTheme="minorBidi" w:hAnsiTheme="minorBidi"/>
          <w:sz w:val="16"/>
          <w:szCs w:val="16"/>
        </w:rPr>
        <w:t>.</w:t>
      </w:r>
    </w:p>
  </w:footnote>
  <w:footnote w:id="4">
    <w:p w14:paraId="42E00259" w14:textId="77777777" w:rsidR="00D44D3E" w:rsidRPr="006845FC" w:rsidRDefault="00D44D3E" w:rsidP="00D44D3E">
      <w:pPr>
        <w:pStyle w:val="FootnoteText"/>
        <w:rPr>
          <w:rFonts w:asciiTheme="minorBidi" w:hAnsiTheme="minorBidi"/>
          <w:sz w:val="16"/>
          <w:szCs w:val="16"/>
        </w:rPr>
      </w:pPr>
      <w:r w:rsidRPr="006845FC">
        <w:rPr>
          <w:rStyle w:val="FootnoteReference"/>
          <w:rFonts w:asciiTheme="minorBidi" w:hAnsiTheme="minorBidi"/>
        </w:rPr>
        <w:footnoteRef/>
      </w:r>
      <w:r w:rsidRPr="006845FC">
        <w:rPr>
          <w:rFonts w:asciiTheme="minorBidi" w:hAnsiTheme="minorBidi"/>
          <w:sz w:val="16"/>
          <w:szCs w:val="16"/>
        </w:rPr>
        <w:t xml:space="preserve"> UNESCO (2022). Re-shaping policies for creativity: addressing culture as a global public good.</w:t>
      </w:r>
    </w:p>
  </w:footnote>
  <w:footnote w:id="5">
    <w:p w14:paraId="748B3435" w14:textId="6EE5E032" w:rsidR="003E2BD6" w:rsidRPr="00BB39CA" w:rsidRDefault="003E2BD6" w:rsidP="003E2BD6">
      <w:pPr>
        <w:pStyle w:val="FootnoteText"/>
        <w:rPr>
          <w:rFonts w:asciiTheme="minorBidi" w:hAnsiTheme="minorBidi"/>
        </w:rPr>
      </w:pPr>
      <w:r w:rsidRPr="00BB39CA">
        <w:rPr>
          <w:rStyle w:val="FootnoteReference"/>
          <w:rFonts w:asciiTheme="minorBidi" w:hAnsiTheme="minorBidi"/>
        </w:rPr>
        <w:footnoteRef/>
      </w:r>
      <w:r w:rsidRPr="00BB39CA">
        <w:rPr>
          <w:rFonts w:asciiTheme="minorBidi" w:hAnsiTheme="minorBidi"/>
        </w:rPr>
        <w:t xml:space="preserve"> </w:t>
      </w:r>
      <w:r w:rsidRPr="00BB39CA">
        <w:rPr>
          <w:rFonts w:asciiTheme="minorBidi" w:hAnsiTheme="minorBidi"/>
          <w:sz w:val="16"/>
          <w:szCs w:val="16"/>
        </w:rPr>
        <w:t>UNESCO (2021).</w:t>
      </w:r>
      <w:r w:rsidR="00952C38">
        <w:rPr>
          <w:rFonts w:asciiTheme="minorBidi" w:hAnsiTheme="minorBidi"/>
          <w:sz w:val="16"/>
          <w:szCs w:val="16"/>
        </w:rPr>
        <w:t xml:space="preserve"> </w:t>
      </w:r>
      <w:r w:rsidRPr="00BB39CA">
        <w:rPr>
          <w:rFonts w:asciiTheme="minorBidi" w:hAnsiTheme="minorBidi"/>
          <w:sz w:val="16"/>
          <w:szCs w:val="16"/>
        </w:rPr>
        <w:t>Cultural and creative industries in the face of COVID-19: an economic impact outlook</w:t>
      </w:r>
    </w:p>
  </w:footnote>
  <w:footnote w:id="6">
    <w:p w14:paraId="1B5EC1AD" w14:textId="77777777" w:rsidR="003E2BD6" w:rsidRPr="00FA55D7" w:rsidRDefault="003E2BD6" w:rsidP="003E2BD6">
      <w:pPr>
        <w:pStyle w:val="FootnoteText"/>
        <w:rPr>
          <w:rFonts w:asciiTheme="minorBidi" w:hAnsiTheme="minorBidi"/>
          <w:sz w:val="16"/>
          <w:szCs w:val="16"/>
        </w:rPr>
      </w:pPr>
      <w:r w:rsidRPr="00BB39CA">
        <w:rPr>
          <w:rStyle w:val="FootnoteReference"/>
          <w:rFonts w:asciiTheme="minorBidi" w:hAnsiTheme="minorBidi"/>
        </w:rPr>
        <w:footnoteRef/>
      </w:r>
      <w:r w:rsidRPr="00BB39CA">
        <w:rPr>
          <w:rFonts w:asciiTheme="minorBidi" w:hAnsiTheme="minorBidi"/>
        </w:rPr>
        <w:t xml:space="preserve"> </w:t>
      </w:r>
      <w:r w:rsidRPr="00BB39CA">
        <w:rPr>
          <w:rFonts w:asciiTheme="minorBidi" w:hAnsiTheme="minorBidi"/>
          <w:sz w:val="16"/>
          <w:szCs w:val="16"/>
        </w:rPr>
        <w:t>UNESCO (2022). Re-shaping policies for creativity: addressing culture as a global public good.</w:t>
      </w:r>
    </w:p>
  </w:footnote>
  <w:footnote w:id="7">
    <w:p w14:paraId="1ACA7B6B" w14:textId="77777777" w:rsidR="005009E0" w:rsidRPr="004E1712" w:rsidRDefault="005009E0" w:rsidP="005009E0">
      <w:pPr>
        <w:pStyle w:val="FootnoteText"/>
        <w:rPr>
          <w:rFonts w:asciiTheme="minorBidi" w:hAnsiTheme="minorBidi"/>
          <w:sz w:val="16"/>
          <w:szCs w:val="16"/>
        </w:rPr>
      </w:pPr>
      <w:r w:rsidRPr="004E1712">
        <w:rPr>
          <w:rStyle w:val="FootnoteReference"/>
          <w:rFonts w:asciiTheme="minorBidi" w:hAnsiTheme="minorBidi"/>
          <w:sz w:val="18"/>
          <w:szCs w:val="18"/>
        </w:rPr>
        <w:footnoteRef/>
      </w:r>
      <w:r w:rsidRPr="004E1712">
        <w:rPr>
          <w:rFonts w:asciiTheme="minorBidi" w:hAnsiTheme="minorBidi"/>
          <w:sz w:val="18"/>
          <w:szCs w:val="18"/>
        </w:rPr>
        <w:t xml:space="preserve"> </w:t>
      </w:r>
      <w:r w:rsidRPr="008C50A7">
        <w:rPr>
          <w:rFonts w:asciiTheme="minorBidi" w:hAnsiTheme="minorBidi"/>
          <w:sz w:val="16"/>
          <w:szCs w:val="16"/>
        </w:rPr>
        <w:t>European Investment Fund’s Cultural and Creative Sectors Guarantee Facility (CCS GF) – Information for businesses</w:t>
      </w:r>
    </w:p>
  </w:footnote>
  <w:footnote w:id="8">
    <w:p w14:paraId="3C73D120" w14:textId="563E5606" w:rsidR="00FF2D15" w:rsidRPr="004E1712" w:rsidRDefault="00FF2D15">
      <w:pPr>
        <w:pStyle w:val="FootnoteText"/>
        <w:rPr>
          <w:rFonts w:asciiTheme="minorBidi" w:hAnsiTheme="minorBidi"/>
          <w:sz w:val="16"/>
          <w:szCs w:val="16"/>
        </w:rPr>
      </w:pPr>
      <w:r w:rsidRPr="004E1712">
        <w:rPr>
          <w:rStyle w:val="FootnoteReference"/>
          <w:rFonts w:asciiTheme="minorBidi" w:hAnsiTheme="minorBidi"/>
          <w:sz w:val="18"/>
          <w:szCs w:val="18"/>
        </w:rPr>
        <w:footnoteRef/>
      </w:r>
      <w:r w:rsidRPr="004E1712">
        <w:rPr>
          <w:rFonts w:asciiTheme="minorBidi" w:hAnsiTheme="minorBidi"/>
          <w:sz w:val="18"/>
          <w:szCs w:val="18"/>
        </w:rPr>
        <w:t xml:space="preserve"> </w:t>
      </w:r>
      <w:r w:rsidR="00642AA0" w:rsidRPr="00B23106">
        <w:rPr>
          <w:rFonts w:asciiTheme="minorBidi" w:hAnsiTheme="minorBidi"/>
          <w:sz w:val="16"/>
          <w:szCs w:val="16"/>
        </w:rPr>
        <w:t>P</w:t>
      </w:r>
      <w:r w:rsidR="006C0DEB" w:rsidRPr="00B23106">
        <w:rPr>
          <w:rFonts w:asciiTheme="minorBidi" w:hAnsiTheme="minorBidi"/>
          <w:sz w:val="16"/>
          <w:szCs w:val="16"/>
        </w:rPr>
        <w:t>WC</w:t>
      </w:r>
      <w:r w:rsidR="004B12F0" w:rsidRPr="00B23106">
        <w:rPr>
          <w:rFonts w:asciiTheme="minorBidi" w:hAnsiTheme="minorBidi"/>
          <w:sz w:val="16"/>
          <w:szCs w:val="16"/>
        </w:rPr>
        <w:t xml:space="preserve"> (2022).</w:t>
      </w:r>
      <w:r w:rsidR="00642AA0" w:rsidRPr="00B23106">
        <w:rPr>
          <w:rFonts w:asciiTheme="minorBidi" w:hAnsiTheme="minorBidi"/>
          <w:sz w:val="16"/>
          <w:szCs w:val="16"/>
        </w:rPr>
        <w:t xml:space="preserve"> </w:t>
      </w:r>
      <w:r w:rsidR="00305467" w:rsidRPr="00B23106">
        <w:rPr>
          <w:rFonts w:asciiTheme="minorBidi" w:hAnsiTheme="minorBidi"/>
          <w:sz w:val="16"/>
          <w:szCs w:val="16"/>
        </w:rPr>
        <w:t>Asset and wealth management revolution 2022 – Exponential expectations for ESG</w:t>
      </w:r>
    </w:p>
  </w:footnote>
  <w:footnote w:id="9">
    <w:p w14:paraId="610AFD0E" w14:textId="642E2FBF" w:rsidR="008574B3" w:rsidRPr="004E1712" w:rsidRDefault="008574B3">
      <w:pPr>
        <w:pStyle w:val="FootnoteText"/>
        <w:rPr>
          <w:rFonts w:asciiTheme="minorBidi" w:hAnsiTheme="minorBidi"/>
          <w:sz w:val="16"/>
          <w:szCs w:val="16"/>
        </w:rPr>
      </w:pPr>
      <w:r w:rsidRPr="004E1712">
        <w:rPr>
          <w:rStyle w:val="FootnoteReference"/>
          <w:rFonts w:asciiTheme="minorBidi" w:hAnsiTheme="minorBidi"/>
          <w:sz w:val="18"/>
          <w:szCs w:val="18"/>
        </w:rPr>
        <w:footnoteRef/>
      </w:r>
      <w:r w:rsidRPr="004E1712">
        <w:rPr>
          <w:rFonts w:asciiTheme="minorBidi" w:hAnsiTheme="minorBidi"/>
          <w:sz w:val="18"/>
          <w:szCs w:val="18"/>
        </w:rPr>
        <w:t xml:space="preserve"> </w:t>
      </w:r>
      <w:r w:rsidR="006F4191" w:rsidRPr="00B23106">
        <w:rPr>
          <w:rFonts w:asciiTheme="minorBidi" w:hAnsiTheme="minorBidi"/>
          <w:sz w:val="16"/>
          <w:szCs w:val="16"/>
        </w:rPr>
        <w:t>Addis Ababa Action Agenda of the Third International Conference on Financing for Development</w:t>
      </w:r>
      <w:r w:rsidR="00D6527B" w:rsidRPr="00B23106">
        <w:rPr>
          <w:rFonts w:asciiTheme="minorBidi" w:hAnsiTheme="minorBidi"/>
          <w:sz w:val="16"/>
          <w:szCs w:val="16"/>
        </w:rPr>
        <w:t>, para. 117</w:t>
      </w:r>
    </w:p>
  </w:footnote>
  <w:footnote w:id="10">
    <w:p w14:paraId="77009A16" w14:textId="2D439481" w:rsidR="0015684F" w:rsidRPr="0015684F" w:rsidRDefault="0015684F">
      <w:pPr>
        <w:pStyle w:val="FootnoteText"/>
      </w:pPr>
      <w:r w:rsidRPr="004E1712">
        <w:rPr>
          <w:rStyle w:val="FootnoteReference"/>
          <w:rFonts w:asciiTheme="minorBidi" w:hAnsiTheme="minorBidi"/>
          <w:sz w:val="18"/>
          <w:szCs w:val="18"/>
        </w:rPr>
        <w:footnoteRef/>
      </w:r>
      <w:r w:rsidRPr="004E1712">
        <w:rPr>
          <w:rFonts w:asciiTheme="minorBidi" w:hAnsiTheme="minorBidi"/>
          <w:sz w:val="16"/>
          <w:szCs w:val="16"/>
        </w:rPr>
        <w:t xml:space="preserve"> </w:t>
      </w:r>
      <w:hyperlink r:id="rId3" w:history="1">
        <w:r w:rsidRPr="00B23106">
          <w:rPr>
            <w:rStyle w:val="Hyperlink"/>
            <w:rFonts w:asciiTheme="minorBidi" w:hAnsiTheme="minorBidi"/>
            <w:sz w:val="16"/>
            <w:szCs w:val="16"/>
          </w:rPr>
          <w:t>Coalition for Sustainable Development through Culture and Arts</w:t>
        </w:r>
      </w:hyperlink>
      <w:r w:rsidR="008C50A7" w:rsidRPr="00B23106">
        <w:rPr>
          <w:rFonts w:asciiTheme="minorBidi" w:hAnsiTheme="minorBidi"/>
          <w:sz w:val="16"/>
          <w:szCs w:val="16"/>
        </w:rPr>
        <w:t>, Finance in Common</w:t>
      </w:r>
    </w:p>
  </w:footnote>
  <w:footnote w:id="11">
    <w:p w14:paraId="5A7664C4" w14:textId="4D27DFE1" w:rsidR="009E2DAF" w:rsidRPr="00BD2D55" w:rsidRDefault="009E2DAF" w:rsidP="009E2DAF">
      <w:pPr>
        <w:pStyle w:val="FootnoteText"/>
      </w:pPr>
      <w:r w:rsidRPr="00026A96">
        <w:rPr>
          <w:rStyle w:val="FootnoteReference"/>
          <w:rFonts w:asciiTheme="minorBidi" w:hAnsiTheme="minorBidi"/>
        </w:rPr>
        <w:footnoteRef/>
      </w:r>
      <w:r w:rsidRPr="00026A96">
        <w:rPr>
          <w:rFonts w:asciiTheme="minorBidi" w:hAnsiTheme="minorBidi"/>
        </w:rPr>
        <w:t xml:space="preserve"> </w:t>
      </w:r>
      <w:r>
        <w:rPr>
          <w:rFonts w:asciiTheme="minorBidi" w:hAnsiTheme="minorBidi"/>
          <w:sz w:val="16"/>
          <w:szCs w:val="16"/>
        </w:rPr>
        <w:t>UNCTAD (202</w:t>
      </w:r>
      <w:r w:rsidR="009F00DD">
        <w:rPr>
          <w:rFonts w:asciiTheme="minorBidi" w:hAnsiTheme="minorBidi"/>
          <w:sz w:val="16"/>
          <w:szCs w:val="16"/>
        </w:rPr>
        <w:t>4</w:t>
      </w:r>
      <w:r>
        <w:rPr>
          <w:rFonts w:asciiTheme="minorBidi" w:hAnsiTheme="minorBidi"/>
          <w:sz w:val="16"/>
          <w:szCs w:val="16"/>
        </w:rPr>
        <w:t xml:space="preserve">). </w:t>
      </w:r>
      <w:r w:rsidRPr="00BD2D55">
        <w:rPr>
          <w:rFonts w:asciiTheme="minorBidi" w:hAnsiTheme="minorBidi"/>
          <w:sz w:val="16"/>
          <w:szCs w:val="16"/>
        </w:rPr>
        <w:t>Creative economy outlook 202</w:t>
      </w:r>
      <w:r w:rsidR="009F00DD">
        <w:rPr>
          <w:rFonts w:asciiTheme="minorBidi" w:hAnsiTheme="minorBidi"/>
          <w:sz w:val="16"/>
          <w:szCs w:val="16"/>
        </w:rPr>
        <w:t>4</w:t>
      </w:r>
      <w:r w:rsidRPr="00BD2D55">
        <w:rPr>
          <w:rFonts w:asciiTheme="minorBidi" w:hAnsiTheme="minorBidi"/>
          <w:sz w:val="16"/>
          <w:szCs w:val="16"/>
        </w:rPr>
        <w:t xml:space="preserve">: </w:t>
      </w:r>
      <w:r w:rsidR="004D1211">
        <w:rPr>
          <w:rFonts w:asciiTheme="minorBidi" w:hAnsiTheme="minorBidi"/>
          <w:sz w:val="16"/>
          <w:szCs w:val="16"/>
        </w:rPr>
        <w:t>t</w:t>
      </w:r>
      <w:r w:rsidR="004D1211" w:rsidRPr="004D1211">
        <w:rPr>
          <w:rFonts w:asciiTheme="minorBidi" w:hAnsiTheme="minorBidi"/>
          <w:sz w:val="16"/>
          <w:szCs w:val="16"/>
        </w:rPr>
        <w:t>echnical and statistical report</w:t>
      </w:r>
      <w:r w:rsidR="004D1211" w:rsidRPr="004D1211" w:rsidDel="004D1211">
        <w:rPr>
          <w:rFonts w:asciiTheme="minorBidi" w:hAnsiTheme="minorBidi"/>
          <w:sz w:val="16"/>
          <w:szCs w:val="16"/>
        </w:rPr>
        <w:t xml:space="preserve"> </w:t>
      </w:r>
      <w:r>
        <w:rPr>
          <w:rFonts w:asciiTheme="minorBidi" w:hAnsiTheme="minorBidi"/>
          <w:sz w:val="16"/>
          <w:szCs w:val="16"/>
        </w:rPr>
        <w:t xml:space="preserve"> </w:t>
      </w:r>
    </w:p>
  </w:footnote>
  <w:footnote w:id="12">
    <w:p w14:paraId="2F431CDA" w14:textId="5F06E3E5" w:rsidR="00D755FD" w:rsidRPr="00D755FD" w:rsidRDefault="00D755FD">
      <w:pPr>
        <w:pStyle w:val="FootnoteText"/>
      </w:pPr>
      <w:r w:rsidRPr="004E1712">
        <w:rPr>
          <w:rStyle w:val="FootnoteReference"/>
          <w:rFonts w:asciiTheme="minorBidi" w:hAnsiTheme="minorBidi"/>
          <w:sz w:val="18"/>
          <w:szCs w:val="18"/>
        </w:rPr>
        <w:footnoteRef/>
      </w:r>
      <w:r w:rsidRPr="004E1712">
        <w:rPr>
          <w:rFonts w:asciiTheme="minorBidi" w:hAnsiTheme="minorBidi"/>
          <w:sz w:val="18"/>
          <w:szCs w:val="18"/>
        </w:rPr>
        <w:t xml:space="preserve"> </w:t>
      </w:r>
      <w:r w:rsidRPr="006845FC">
        <w:rPr>
          <w:rFonts w:asciiTheme="minorBidi" w:hAnsiTheme="minorBidi"/>
          <w:sz w:val="16"/>
          <w:szCs w:val="16"/>
        </w:rPr>
        <w:t>UNESCO (2022). Re-shaping policies for creativity: addressing culture as a global public good.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E5A4" w14:textId="4DAC70B2" w:rsidR="004406B9" w:rsidRDefault="004406B9">
    <w:pPr>
      <w:pStyle w:val="Header"/>
    </w:pPr>
    <w:r>
      <w:rPr>
        <w:noProof/>
      </w:rPr>
      <w:drawing>
        <wp:anchor distT="0" distB="0" distL="114300" distR="114300" simplePos="0" relativeHeight="251658240" behindDoc="0" locked="0" layoutInCell="1" allowOverlap="1" wp14:anchorId="6B6C312E" wp14:editId="2A1F71BD">
          <wp:simplePos x="0" y="0"/>
          <wp:positionH relativeFrom="margin">
            <wp:align>left</wp:align>
          </wp:positionH>
          <wp:positionV relativeFrom="paragraph">
            <wp:posOffset>-190500</wp:posOffset>
          </wp:positionV>
          <wp:extent cx="1437640" cy="457036"/>
          <wp:effectExtent l="0" t="0" r="0" b="635"/>
          <wp:wrapSquare wrapText="bothSides"/>
          <wp:docPr id="2" name="Picture 2" descr="UNESCO (United Nations Educational, Scientific and Cultu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 (United Nations Educational, Scientific and Cultural ..."/>
                  <pic:cNvPicPr>
                    <a:picLocks noChangeAspect="1" noChangeArrowheads="1"/>
                  </pic:cNvPicPr>
                </pic:nvPicPr>
                <pic:blipFill rotWithShape="1">
                  <a:blip r:embed="rId1">
                    <a:extLst>
                      <a:ext uri="{28A0092B-C50C-407E-A947-70E740481C1C}">
                        <a14:useLocalDpi xmlns:a14="http://schemas.microsoft.com/office/drawing/2010/main" val="0"/>
                      </a:ext>
                    </a:extLst>
                  </a:blip>
                  <a:srcRect t="20276" b="22496"/>
                  <a:stretch/>
                </pic:blipFill>
                <pic:spPr bwMode="auto">
                  <a:xfrm>
                    <a:off x="0" y="0"/>
                    <a:ext cx="1437640" cy="4570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65EE"/>
    <w:multiLevelType w:val="hybridMultilevel"/>
    <w:tmpl w:val="5EE4BA12"/>
    <w:lvl w:ilvl="0" w:tplc="90382A08">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12D"/>
    <w:multiLevelType w:val="multilevel"/>
    <w:tmpl w:val="412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5E3B"/>
    <w:multiLevelType w:val="hybridMultilevel"/>
    <w:tmpl w:val="A23A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37F61"/>
    <w:multiLevelType w:val="hybridMultilevel"/>
    <w:tmpl w:val="006A226C"/>
    <w:lvl w:ilvl="0" w:tplc="90382A08">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C07E2"/>
    <w:multiLevelType w:val="hybridMultilevel"/>
    <w:tmpl w:val="F7008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74012E1"/>
    <w:multiLevelType w:val="hybridMultilevel"/>
    <w:tmpl w:val="30BAAA4C"/>
    <w:lvl w:ilvl="0" w:tplc="90382A08">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0621D"/>
    <w:multiLevelType w:val="hybridMultilevel"/>
    <w:tmpl w:val="959C13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7138B6"/>
    <w:multiLevelType w:val="hybridMultilevel"/>
    <w:tmpl w:val="5A9C83B6"/>
    <w:lvl w:ilvl="0" w:tplc="90382A08">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72779"/>
    <w:multiLevelType w:val="hybridMultilevel"/>
    <w:tmpl w:val="29C257BC"/>
    <w:lvl w:ilvl="0" w:tplc="B3DA45A8">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147CDD"/>
    <w:multiLevelType w:val="hybridMultilevel"/>
    <w:tmpl w:val="10DAF7A2"/>
    <w:lvl w:ilvl="0" w:tplc="90382A08">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F3207"/>
    <w:multiLevelType w:val="multilevel"/>
    <w:tmpl w:val="FCCA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B231C"/>
    <w:multiLevelType w:val="hybridMultilevel"/>
    <w:tmpl w:val="DED8C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517A55"/>
    <w:multiLevelType w:val="hybridMultilevel"/>
    <w:tmpl w:val="DED8C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F58F1"/>
    <w:multiLevelType w:val="multilevel"/>
    <w:tmpl w:val="B3E872E8"/>
    <w:lvl w:ilvl="0">
      <w:start w:val="3"/>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7A3C1E44"/>
    <w:multiLevelType w:val="hybridMultilevel"/>
    <w:tmpl w:val="8708D6C8"/>
    <w:lvl w:ilvl="0" w:tplc="90382A08">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A26EC"/>
    <w:multiLevelType w:val="multilevel"/>
    <w:tmpl w:val="F9584A2E"/>
    <w:lvl w:ilvl="0">
      <w:start w:val="1"/>
      <w:numFmt w:val="decimal"/>
      <w:lvlText w:val="%1."/>
      <w:lvlJc w:val="left"/>
      <w:pPr>
        <w:tabs>
          <w:tab w:val="num" w:pos="720"/>
        </w:tabs>
        <w:ind w:left="720" w:hanging="360"/>
      </w:pPr>
      <w:rPr>
        <w:rFonts w:hint="default"/>
        <w:b/>
        <w:bCs/>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014310">
    <w:abstractNumId w:val="0"/>
  </w:num>
  <w:num w:numId="2" w16cid:durableId="705714083">
    <w:abstractNumId w:val="10"/>
  </w:num>
  <w:num w:numId="3" w16cid:durableId="1224489899">
    <w:abstractNumId w:val="7"/>
  </w:num>
  <w:num w:numId="4" w16cid:durableId="839007420">
    <w:abstractNumId w:val="8"/>
  </w:num>
  <w:num w:numId="5" w16cid:durableId="1795057800">
    <w:abstractNumId w:val="9"/>
  </w:num>
  <w:num w:numId="6" w16cid:durableId="1539704886">
    <w:abstractNumId w:val="6"/>
  </w:num>
  <w:num w:numId="7" w16cid:durableId="1965765382">
    <w:abstractNumId w:val="5"/>
  </w:num>
  <w:num w:numId="8" w16cid:durableId="340933775">
    <w:abstractNumId w:val="16"/>
  </w:num>
  <w:num w:numId="9" w16cid:durableId="835222920">
    <w:abstractNumId w:val="3"/>
  </w:num>
  <w:num w:numId="10" w16cid:durableId="1979920646">
    <w:abstractNumId w:val="18"/>
  </w:num>
  <w:num w:numId="11" w16cid:durableId="817918637">
    <w:abstractNumId w:val="17"/>
  </w:num>
  <w:num w:numId="12" w16cid:durableId="340012436">
    <w:abstractNumId w:val="13"/>
  </w:num>
  <w:num w:numId="13" w16cid:durableId="1417480578">
    <w:abstractNumId w:val="2"/>
  </w:num>
  <w:num w:numId="14" w16cid:durableId="1660813329">
    <w:abstractNumId w:val="21"/>
  </w:num>
  <w:num w:numId="15" w16cid:durableId="663053021">
    <w:abstractNumId w:val="20"/>
  </w:num>
  <w:num w:numId="16" w16cid:durableId="2115786578">
    <w:abstractNumId w:val="4"/>
  </w:num>
  <w:num w:numId="17" w16cid:durableId="860162263">
    <w:abstractNumId w:val="11"/>
  </w:num>
  <w:num w:numId="18" w16cid:durableId="1274938071">
    <w:abstractNumId w:val="19"/>
  </w:num>
  <w:num w:numId="19" w16cid:durableId="1583906590">
    <w:abstractNumId w:val="1"/>
  </w:num>
  <w:num w:numId="20" w16cid:durableId="808743455">
    <w:abstractNumId w:val="15"/>
  </w:num>
  <w:num w:numId="21" w16cid:durableId="369721147">
    <w:abstractNumId w:val="14"/>
  </w:num>
  <w:num w:numId="22" w16cid:durableId="868643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653A"/>
    <w:rsid w:val="000069DF"/>
    <w:rsid w:val="00007DCF"/>
    <w:rsid w:val="000112BC"/>
    <w:rsid w:val="00011423"/>
    <w:rsid w:val="00011BC3"/>
    <w:rsid w:val="000126B2"/>
    <w:rsid w:val="0001787C"/>
    <w:rsid w:val="00026A96"/>
    <w:rsid w:val="000307D5"/>
    <w:rsid w:val="00030E3E"/>
    <w:rsid w:val="00041046"/>
    <w:rsid w:val="0004166D"/>
    <w:rsid w:val="00042644"/>
    <w:rsid w:val="00042F51"/>
    <w:rsid w:val="00044A0E"/>
    <w:rsid w:val="0004570D"/>
    <w:rsid w:val="0005280C"/>
    <w:rsid w:val="00060239"/>
    <w:rsid w:val="000603EF"/>
    <w:rsid w:val="00060444"/>
    <w:rsid w:val="00064200"/>
    <w:rsid w:val="00067086"/>
    <w:rsid w:val="000706AA"/>
    <w:rsid w:val="00071553"/>
    <w:rsid w:val="00071805"/>
    <w:rsid w:val="00072295"/>
    <w:rsid w:val="00080A51"/>
    <w:rsid w:val="0008271C"/>
    <w:rsid w:val="000915D3"/>
    <w:rsid w:val="0009425A"/>
    <w:rsid w:val="000943ED"/>
    <w:rsid w:val="00096B3B"/>
    <w:rsid w:val="000A05F0"/>
    <w:rsid w:val="000A2780"/>
    <w:rsid w:val="000A335C"/>
    <w:rsid w:val="000A3439"/>
    <w:rsid w:val="000A6601"/>
    <w:rsid w:val="000B1490"/>
    <w:rsid w:val="000B2D9E"/>
    <w:rsid w:val="000B3361"/>
    <w:rsid w:val="000B4F87"/>
    <w:rsid w:val="000B5FE7"/>
    <w:rsid w:val="000C7E94"/>
    <w:rsid w:val="000D07BD"/>
    <w:rsid w:val="000D2A5D"/>
    <w:rsid w:val="000D35E5"/>
    <w:rsid w:val="000D38CE"/>
    <w:rsid w:val="000E0260"/>
    <w:rsid w:val="000E1EAA"/>
    <w:rsid w:val="000E5F43"/>
    <w:rsid w:val="000F1743"/>
    <w:rsid w:val="000F4BC1"/>
    <w:rsid w:val="000F61D8"/>
    <w:rsid w:val="000F797D"/>
    <w:rsid w:val="00100EA6"/>
    <w:rsid w:val="00107F1A"/>
    <w:rsid w:val="001122E6"/>
    <w:rsid w:val="00112333"/>
    <w:rsid w:val="00114071"/>
    <w:rsid w:val="00120729"/>
    <w:rsid w:val="00121BFE"/>
    <w:rsid w:val="00122ECC"/>
    <w:rsid w:val="00126D61"/>
    <w:rsid w:val="001314DD"/>
    <w:rsid w:val="00133BD7"/>
    <w:rsid w:val="0013553F"/>
    <w:rsid w:val="00136C78"/>
    <w:rsid w:val="001373E4"/>
    <w:rsid w:val="0013777F"/>
    <w:rsid w:val="00140609"/>
    <w:rsid w:val="0014365B"/>
    <w:rsid w:val="0015004A"/>
    <w:rsid w:val="00150503"/>
    <w:rsid w:val="00151096"/>
    <w:rsid w:val="0015684F"/>
    <w:rsid w:val="00157ADF"/>
    <w:rsid w:val="00160F46"/>
    <w:rsid w:val="00161423"/>
    <w:rsid w:val="00164737"/>
    <w:rsid w:val="001677DA"/>
    <w:rsid w:val="00167968"/>
    <w:rsid w:val="001725A4"/>
    <w:rsid w:val="0017340E"/>
    <w:rsid w:val="001737BC"/>
    <w:rsid w:val="00173B0C"/>
    <w:rsid w:val="00174569"/>
    <w:rsid w:val="0017727E"/>
    <w:rsid w:val="001779FB"/>
    <w:rsid w:val="00182BE5"/>
    <w:rsid w:val="00183A19"/>
    <w:rsid w:val="00192DEB"/>
    <w:rsid w:val="001953DA"/>
    <w:rsid w:val="0019554D"/>
    <w:rsid w:val="0019726D"/>
    <w:rsid w:val="001A055B"/>
    <w:rsid w:val="001A5692"/>
    <w:rsid w:val="001A71B9"/>
    <w:rsid w:val="001B386B"/>
    <w:rsid w:val="001B46B4"/>
    <w:rsid w:val="001B474C"/>
    <w:rsid w:val="001C1D93"/>
    <w:rsid w:val="001C2482"/>
    <w:rsid w:val="001C4D62"/>
    <w:rsid w:val="001C5C24"/>
    <w:rsid w:val="001C5FC0"/>
    <w:rsid w:val="001C7332"/>
    <w:rsid w:val="001C7F22"/>
    <w:rsid w:val="001D00F3"/>
    <w:rsid w:val="001D044E"/>
    <w:rsid w:val="001D0B2C"/>
    <w:rsid w:val="001D152F"/>
    <w:rsid w:val="001E102E"/>
    <w:rsid w:val="001E22F3"/>
    <w:rsid w:val="001E4B54"/>
    <w:rsid w:val="001E65DE"/>
    <w:rsid w:val="001F1290"/>
    <w:rsid w:val="001F140F"/>
    <w:rsid w:val="001F418A"/>
    <w:rsid w:val="001F46EF"/>
    <w:rsid w:val="001F5AF2"/>
    <w:rsid w:val="001F5B2D"/>
    <w:rsid w:val="0020370E"/>
    <w:rsid w:val="00204C01"/>
    <w:rsid w:val="002236B9"/>
    <w:rsid w:val="00223B96"/>
    <w:rsid w:val="0022453F"/>
    <w:rsid w:val="00226612"/>
    <w:rsid w:val="00226DDE"/>
    <w:rsid w:val="00227EA3"/>
    <w:rsid w:val="002303BD"/>
    <w:rsid w:val="00230CC0"/>
    <w:rsid w:val="00230FBD"/>
    <w:rsid w:val="00231F50"/>
    <w:rsid w:val="00237C9B"/>
    <w:rsid w:val="00240656"/>
    <w:rsid w:val="00243221"/>
    <w:rsid w:val="00246670"/>
    <w:rsid w:val="002466AC"/>
    <w:rsid w:val="0024723D"/>
    <w:rsid w:val="002501FF"/>
    <w:rsid w:val="00251A33"/>
    <w:rsid w:val="00254C54"/>
    <w:rsid w:val="00256658"/>
    <w:rsid w:val="00256B07"/>
    <w:rsid w:val="00257CEC"/>
    <w:rsid w:val="00260FAD"/>
    <w:rsid w:val="0026422B"/>
    <w:rsid w:val="00264832"/>
    <w:rsid w:val="00264FA6"/>
    <w:rsid w:val="002723FF"/>
    <w:rsid w:val="00272A93"/>
    <w:rsid w:val="00275650"/>
    <w:rsid w:val="00280A5A"/>
    <w:rsid w:val="00282F1E"/>
    <w:rsid w:val="0029174F"/>
    <w:rsid w:val="00294F40"/>
    <w:rsid w:val="002952C4"/>
    <w:rsid w:val="00297268"/>
    <w:rsid w:val="002A208E"/>
    <w:rsid w:val="002A5CDE"/>
    <w:rsid w:val="002A5FAF"/>
    <w:rsid w:val="002A77A9"/>
    <w:rsid w:val="002B0B06"/>
    <w:rsid w:val="002B1C13"/>
    <w:rsid w:val="002B30D5"/>
    <w:rsid w:val="002B4CF6"/>
    <w:rsid w:val="002B51CA"/>
    <w:rsid w:val="002C0733"/>
    <w:rsid w:val="002C1427"/>
    <w:rsid w:val="002C2470"/>
    <w:rsid w:val="002C255D"/>
    <w:rsid w:val="002C58D8"/>
    <w:rsid w:val="002C5984"/>
    <w:rsid w:val="002C6D77"/>
    <w:rsid w:val="002D1E53"/>
    <w:rsid w:val="002D281A"/>
    <w:rsid w:val="002D4520"/>
    <w:rsid w:val="002E130A"/>
    <w:rsid w:val="002E1C12"/>
    <w:rsid w:val="002E25F6"/>
    <w:rsid w:val="002E31D3"/>
    <w:rsid w:val="002E6D8D"/>
    <w:rsid w:val="002E7E94"/>
    <w:rsid w:val="002F34DF"/>
    <w:rsid w:val="002F4A33"/>
    <w:rsid w:val="002F5047"/>
    <w:rsid w:val="002F6B6C"/>
    <w:rsid w:val="002F7A34"/>
    <w:rsid w:val="003015B7"/>
    <w:rsid w:val="0030417B"/>
    <w:rsid w:val="003043A5"/>
    <w:rsid w:val="00305467"/>
    <w:rsid w:val="00310480"/>
    <w:rsid w:val="00311447"/>
    <w:rsid w:val="003115A8"/>
    <w:rsid w:val="0031347B"/>
    <w:rsid w:val="00313957"/>
    <w:rsid w:val="003151D7"/>
    <w:rsid w:val="0031598C"/>
    <w:rsid w:val="00316586"/>
    <w:rsid w:val="00317113"/>
    <w:rsid w:val="00322A5C"/>
    <w:rsid w:val="00322F25"/>
    <w:rsid w:val="00326557"/>
    <w:rsid w:val="00327642"/>
    <w:rsid w:val="003277C8"/>
    <w:rsid w:val="003335FE"/>
    <w:rsid w:val="003372D0"/>
    <w:rsid w:val="003374C4"/>
    <w:rsid w:val="00337712"/>
    <w:rsid w:val="00340E86"/>
    <w:rsid w:val="0034282A"/>
    <w:rsid w:val="00343BA5"/>
    <w:rsid w:val="00344BED"/>
    <w:rsid w:val="00345C92"/>
    <w:rsid w:val="003468F0"/>
    <w:rsid w:val="00351D66"/>
    <w:rsid w:val="00356163"/>
    <w:rsid w:val="003604D9"/>
    <w:rsid w:val="00360C83"/>
    <w:rsid w:val="00361A7D"/>
    <w:rsid w:val="00365D55"/>
    <w:rsid w:val="00367948"/>
    <w:rsid w:val="003705C0"/>
    <w:rsid w:val="00371DB0"/>
    <w:rsid w:val="00372AD4"/>
    <w:rsid w:val="00374713"/>
    <w:rsid w:val="003779A2"/>
    <w:rsid w:val="003807F4"/>
    <w:rsid w:val="00381401"/>
    <w:rsid w:val="00381558"/>
    <w:rsid w:val="00387499"/>
    <w:rsid w:val="00390DCA"/>
    <w:rsid w:val="0039239D"/>
    <w:rsid w:val="00392DEA"/>
    <w:rsid w:val="003963B8"/>
    <w:rsid w:val="00397627"/>
    <w:rsid w:val="003A03B5"/>
    <w:rsid w:val="003A1819"/>
    <w:rsid w:val="003A1EF7"/>
    <w:rsid w:val="003A1F15"/>
    <w:rsid w:val="003A209C"/>
    <w:rsid w:val="003A2A1E"/>
    <w:rsid w:val="003A759D"/>
    <w:rsid w:val="003A7C32"/>
    <w:rsid w:val="003B1305"/>
    <w:rsid w:val="003B1CA1"/>
    <w:rsid w:val="003B3092"/>
    <w:rsid w:val="003B359C"/>
    <w:rsid w:val="003B3D32"/>
    <w:rsid w:val="003B4800"/>
    <w:rsid w:val="003B6236"/>
    <w:rsid w:val="003B7E8C"/>
    <w:rsid w:val="003C0DBD"/>
    <w:rsid w:val="003C198F"/>
    <w:rsid w:val="003C36A5"/>
    <w:rsid w:val="003C7D61"/>
    <w:rsid w:val="003D17B7"/>
    <w:rsid w:val="003D220D"/>
    <w:rsid w:val="003D3F54"/>
    <w:rsid w:val="003D5820"/>
    <w:rsid w:val="003E1F0C"/>
    <w:rsid w:val="003E2BD6"/>
    <w:rsid w:val="003E3AC0"/>
    <w:rsid w:val="003E453F"/>
    <w:rsid w:val="003E4DAF"/>
    <w:rsid w:val="003F00B5"/>
    <w:rsid w:val="003F1B1A"/>
    <w:rsid w:val="003F23BB"/>
    <w:rsid w:val="003F7F55"/>
    <w:rsid w:val="00406CE9"/>
    <w:rsid w:val="00406E19"/>
    <w:rsid w:val="0040746F"/>
    <w:rsid w:val="00407EE7"/>
    <w:rsid w:val="004126AF"/>
    <w:rsid w:val="004156FE"/>
    <w:rsid w:val="004167F2"/>
    <w:rsid w:val="0042016D"/>
    <w:rsid w:val="00420649"/>
    <w:rsid w:val="0042199C"/>
    <w:rsid w:val="004224EE"/>
    <w:rsid w:val="004261DC"/>
    <w:rsid w:val="00427844"/>
    <w:rsid w:val="004278CD"/>
    <w:rsid w:val="004322A7"/>
    <w:rsid w:val="00432F4A"/>
    <w:rsid w:val="0043378E"/>
    <w:rsid w:val="004406B9"/>
    <w:rsid w:val="00440B7E"/>
    <w:rsid w:val="00441CAC"/>
    <w:rsid w:val="0044504C"/>
    <w:rsid w:val="0045302C"/>
    <w:rsid w:val="00456ABB"/>
    <w:rsid w:val="00463095"/>
    <w:rsid w:val="0046666B"/>
    <w:rsid w:val="00466A72"/>
    <w:rsid w:val="0046758D"/>
    <w:rsid w:val="00471DBC"/>
    <w:rsid w:val="00472595"/>
    <w:rsid w:val="004729BC"/>
    <w:rsid w:val="0047487A"/>
    <w:rsid w:val="00477A35"/>
    <w:rsid w:val="00484F69"/>
    <w:rsid w:val="00485D31"/>
    <w:rsid w:val="00487EEA"/>
    <w:rsid w:val="004902B5"/>
    <w:rsid w:val="00493449"/>
    <w:rsid w:val="00496C06"/>
    <w:rsid w:val="004A1584"/>
    <w:rsid w:val="004A253B"/>
    <w:rsid w:val="004A36F7"/>
    <w:rsid w:val="004A4CE5"/>
    <w:rsid w:val="004A6CBF"/>
    <w:rsid w:val="004A784B"/>
    <w:rsid w:val="004B0F99"/>
    <w:rsid w:val="004B12F0"/>
    <w:rsid w:val="004B2FF4"/>
    <w:rsid w:val="004B5F58"/>
    <w:rsid w:val="004C5A9A"/>
    <w:rsid w:val="004D1211"/>
    <w:rsid w:val="004E1712"/>
    <w:rsid w:val="004F0517"/>
    <w:rsid w:val="004F05CB"/>
    <w:rsid w:val="004F4DE7"/>
    <w:rsid w:val="004F4DF5"/>
    <w:rsid w:val="005009E0"/>
    <w:rsid w:val="005014C8"/>
    <w:rsid w:val="00501EE1"/>
    <w:rsid w:val="00502C88"/>
    <w:rsid w:val="00502F18"/>
    <w:rsid w:val="00507ED6"/>
    <w:rsid w:val="00511E81"/>
    <w:rsid w:val="00514839"/>
    <w:rsid w:val="0051656B"/>
    <w:rsid w:val="00516E2F"/>
    <w:rsid w:val="00520D00"/>
    <w:rsid w:val="00523652"/>
    <w:rsid w:val="005277AB"/>
    <w:rsid w:val="005302D3"/>
    <w:rsid w:val="00530E05"/>
    <w:rsid w:val="00531D49"/>
    <w:rsid w:val="00534052"/>
    <w:rsid w:val="0053781B"/>
    <w:rsid w:val="0054711A"/>
    <w:rsid w:val="005471B2"/>
    <w:rsid w:val="00551452"/>
    <w:rsid w:val="005555D3"/>
    <w:rsid w:val="00555C17"/>
    <w:rsid w:val="00560E68"/>
    <w:rsid w:val="00565426"/>
    <w:rsid w:val="00566486"/>
    <w:rsid w:val="00571F2A"/>
    <w:rsid w:val="005745C0"/>
    <w:rsid w:val="005758B7"/>
    <w:rsid w:val="00577797"/>
    <w:rsid w:val="005778A7"/>
    <w:rsid w:val="00582C0E"/>
    <w:rsid w:val="0058690E"/>
    <w:rsid w:val="005910B8"/>
    <w:rsid w:val="005951F5"/>
    <w:rsid w:val="005A0071"/>
    <w:rsid w:val="005A23D5"/>
    <w:rsid w:val="005A5020"/>
    <w:rsid w:val="005B11DB"/>
    <w:rsid w:val="005B7853"/>
    <w:rsid w:val="005C5863"/>
    <w:rsid w:val="005C73B7"/>
    <w:rsid w:val="005D18A7"/>
    <w:rsid w:val="005D34F4"/>
    <w:rsid w:val="005D74F5"/>
    <w:rsid w:val="005E109C"/>
    <w:rsid w:val="005E2D03"/>
    <w:rsid w:val="005E3209"/>
    <w:rsid w:val="005F0556"/>
    <w:rsid w:val="005F06D9"/>
    <w:rsid w:val="005F1A00"/>
    <w:rsid w:val="005F7088"/>
    <w:rsid w:val="005F736C"/>
    <w:rsid w:val="005F742B"/>
    <w:rsid w:val="00601963"/>
    <w:rsid w:val="0060373D"/>
    <w:rsid w:val="006049C4"/>
    <w:rsid w:val="00604FD7"/>
    <w:rsid w:val="00606FA4"/>
    <w:rsid w:val="00611317"/>
    <w:rsid w:val="00613B6D"/>
    <w:rsid w:val="00613C1B"/>
    <w:rsid w:val="006162E5"/>
    <w:rsid w:val="00617DBB"/>
    <w:rsid w:val="006202D5"/>
    <w:rsid w:val="00621C1A"/>
    <w:rsid w:val="00623EC0"/>
    <w:rsid w:val="00633993"/>
    <w:rsid w:val="0063460B"/>
    <w:rsid w:val="0063536E"/>
    <w:rsid w:val="00636456"/>
    <w:rsid w:val="0064118B"/>
    <w:rsid w:val="00642AA0"/>
    <w:rsid w:val="00643A6A"/>
    <w:rsid w:val="00646A17"/>
    <w:rsid w:val="0065533A"/>
    <w:rsid w:val="00655669"/>
    <w:rsid w:val="006611A2"/>
    <w:rsid w:val="00661D61"/>
    <w:rsid w:val="00671DE4"/>
    <w:rsid w:val="006728AC"/>
    <w:rsid w:val="00676174"/>
    <w:rsid w:val="006845FC"/>
    <w:rsid w:val="00685DBD"/>
    <w:rsid w:val="00692742"/>
    <w:rsid w:val="00693B88"/>
    <w:rsid w:val="006959A1"/>
    <w:rsid w:val="006A2593"/>
    <w:rsid w:val="006A343D"/>
    <w:rsid w:val="006A5621"/>
    <w:rsid w:val="006A7D2F"/>
    <w:rsid w:val="006B24C0"/>
    <w:rsid w:val="006B2F5F"/>
    <w:rsid w:val="006B40C9"/>
    <w:rsid w:val="006B45D1"/>
    <w:rsid w:val="006B5922"/>
    <w:rsid w:val="006C0DEB"/>
    <w:rsid w:val="006C52B0"/>
    <w:rsid w:val="006D0765"/>
    <w:rsid w:val="006D1082"/>
    <w:rsid w:val="006D2666"/>
    <w:rsid w:val="006D28AD"/>
    <w:rsid w:val="006D2CF0"/>
    <w:rsid w:val="006D4D4C"/>
    <w:rsid w:val="006D4EAF"/>
    <w:rsid w:val="006D6DC7"/>
    <w:rsid w:val="006D736B"/>
    <w:rsid w:val="006E1301"/>
    <w:rsid w:val="006E2FD2"/>
    <w:rsid w:val="006E3A2C"/>
    <w:rsid w:val="006F02E4"/>
    <w:rsid w:val="006F33BD"/>
    <w:rsid w:val="006F4191"/>
    <w:rsid w:val="006F47FF"/>
    <w:rsid w:val="006F5000"/>
    <w:rsid w:val="006F5232"/>
    <w:rsid w:val="006F5D94"/>
    <w:rsid w:val="00701960"/>
    <w:rsid w:val="00702455"/>
    <w:rsid w:val="0070794E"/>
    <w:rsid w:val="00710ED4"/>
    <w:rsid w:val="0071249D"/>
    <w:rsid w:val="0071317B"/>
    <w:rsid w:val="00713979"/>
    <w:rsid w:val="00715FA8"/>
    <w:rsid w:val="00717612"/>
    <w:rsid w:val="00722763"/>
    <w:rsid w:val="00723A18"/>
    <w:rsid w:val="007255DA"/>
    <w:rsid w:val="007403FD"/>
    <w:rsid w:val="00744895"/>
    <w:rsid w:val="00747E4C"/>
    <w:rsid w:val="007514DE"/>
    <w:rsid w:val="00751E9D"/>
    <w:rsid w:val="00752B58"/>
    <w:rsid w:val="00753C61"/>
    <w:rsid w:val="007559B2"/>
    <w:rsid w:val="00763AD2"/>
    <w:rsid w:val="00766FC6"/>
    <w:rsid w:val="00770121"/>
    <w:rsid w:val="007702A7"/>
    <w:rsid w:val="0077138E"/>
    <w:rsid w:val="00772425"/>
    <w:rsid w:val="0077561B"/>
    <w:rsid w:val="007814DE"/>
    <w:rsid w:val="007828E5"/>
    <w:rsid w:val="00783D4F"/>
    <w:rsid w:val="007860DA"/>
    <w:rsid w:val="00786A79"/>
    <w:rsid w:val="0078799E"/>
    <w:rsid w:val="00790E59"/>
    <w:rsid w:val="00792850"/>
    <w:rsid w:val="00793C98"/>
    <w:rsid w:val="00795D21"/>
    <w:rsid w:val="007A004E"/>
    <w:rsid w:val="007A2343"/>
    <w:rsid w:val="007A49C2"/>
    <w:rsid w:val="007B1B6D"/>
    <w:rsid w:val="007B1E34"/>
    <w:rsid w:val="007B3112"/>
    <w:rsid w:val="007B31A0"/>
    <w:rsid w:val="007B3A9C"/>
    <w:rsid w:val="007B42B2"/>
    <w:rsid w:val="007B5089"/>
    <w:rsid w:val="007B5E6F"/>
    <w:rsid w:val="007B6828"/>
    <w:rsid w:val="007C221A"/>
    <w:rsid w:val="007C2572"/>
    <w:rsid w:val="007C6253"/>
    <w:rsid w:val="007D1216"/>
    <w:rsid w:val="007D3D75"/>
    <w:rsid w:val="007D3DFD"/>
    <w:rsid w:val="007D4ED0"/>
    <w:rsid w:val="007E5895"/>
    <w:rsid w:val="007E6EC3"/>
    <w:rsid w:val="007E74F1"/>
    <w:rsid w:val="007F075C"/>
    <w:rsid w:val="007F621D"/>
    <w:rsid w:val="007F6BAA"/>
    <w:rsid w:val="00802C40"/>
    <w:rsid w:val="00804DD8"/>
    <w:rsid w:val="00806505"/>
    <w:rsid w:val="008122A4"/>
    <w:rsid w:val="00812F0E"/>
    <w:rsid w:val="00814CA5"/>
    <w:rsid w:val="00817599"/>
    <w:rsid w:val="00823A65"/>
    <w:rsid w:val="00824CA8"/>
    <w:rsid w:val="00825D70"/>
    <w:rsid w:val="008276BC"/>
    <w:rsid w:val="00830BF6"/>
    <w:rsid w:val="00832481"/>
    <w:rsid w:val="0083358F"/>
    <w:rsid w:val="00835547"/>
    <w:rsid w:val="00836E68"/>
    <w:rsid w:val="008422FD"/>
    <w:rsid w:val="00844781"/>
    <w:rsid w:val="00846C8C"/>
    <w:rsid w:val="008502FB"/>
    <w:rsid w:val="0085166A"/>
    <w:rsid w:val="008534E0"/>
    <w:rsid w:val="00856454"/>
    <w:rsid w:val="008574B3"/>
    <w:rsid w:val="00857DEB"/>
    <w:rsid w:val="008641B6"/>
    <w:rsid w:val="0086496C"/>
    <w:rsid w:val="00870375"/>
    <w:rsid w:val="00871631"/>
    <w:rsid w:val="008718C3"/>
    <w:rsid w:val="00871A97"/>
    <w:rsid w:val="00876A31"/>
    <w:rsid w:val="00876A91"/>
    <w:rsid w:val="00880CDF"/>
    <w:rsid w:val="00897045"/>
    <w:rsid w:val="008A154E"/>
    <w:rsid w:val="008A1A72"/>
    <w:rsid w:val="008A2554"/>
    <w:rsid w:val="008A5442"/>
    <w:rsid w:val="008B1DC8"/>
    <w:rsid w:val="008B3C7C"/>
    <w:rsid w:val="008C1C3B"/>
    <w:rsid w:val="008C2C6E"/>
    <w:rsid w:val="008C50A7"/>
    <w:rsid w:val="008C557E"/>
    <w:rsid w:val="008D4AB4"/>
    <w:rsid w:val="008D53DF"/>
    <w:rsid w:val="008E02EB"/>
    <w:rsid w:val="008E074E"/>
    <w:rsid w:val="008E0A45"/>
    <w:rsid w:val="008E2CEF"/>
    <w:rsid w:val="008E5CE5"/>
    <w:rsid w:val="008E7365"/>
    <w:rsid w:val="008F0BBF"/>
    <w:rsid w:val="008F3CC9"/>
    <w:rsid w:val="008F44E6"/>
    <w:rsid w:val="00900D45"/>
    <w:rsid w:val="00906A3B"/>
    <w:rsid w:val="00907F6A"/>
    <w:rsid w:val="00910129"/>
    <w:rsid w:val="00912098"/>
    <w:rsid w:val="00913A8D"/>
    <w:rsid w:val="009163B2"/>
    <w:rsid w:val="009172D5"/>
    <w:rsid w:val="009206E5"/>
    <w:rsid w:val="00920F9E"/>
    <w:rsid w:val="00926DC5"/>
    <w:rsid w:val="00927771"/>
    <w:rsid w:val="00931399"/>
    <w:rsid w:val="00934933"/>
    <w:rsid w:val="009365CA"/>
    <w:rsid w:val="00936F5C"/>
    <w:rsid w:val="00941682"/>
    <w:rsid w:val="0094218E"/>
    <w:rsid w:val="00952C38"/>
    <w:rsid w:val="00957659"/>
    <w:rsid w:val="00957FA4"/>
    <w:rsid w:val="00962033"/>
    <w:rsid w:val="0096428B"/>
    <w:rsid w:val="00967A3B"/>
    <w:rsid w:val="00970AE6"/>
    <w:rsid w:val="0098405E"/>
    <w:rsid w:val="00986F64"/>
    <w:rsid w:val="00987654"/>
    <w:rsid w:val="00994EF4"/>
    <w:rsid w:val="009A0242"/>
    <w:rsid w:val="009A03DC"/>
    <w:rsid w:val="009A51E9"/>
    <w:rsid w:val="009A7ECC"/>
    <w:rsid w:val="009B3843"/>
    <w:rsid w:val="009C126D"/>
    <w:rsid w:val="009C179E"/>
    <w:rsid w:val="009D5A93"/>
    <w:rsid w:val="009D6678"/>
    <w:rsid w:val="009D6D2F"/>
    <w:rsid w:val="009E16C2"/>
    <w:rsid w:val="009E2DAF"/>
    <w:rsid w:val="009E33F9"/>
    <w:rsid w:val="009E3435"/>
    <w:rsid w:val="009E5B51"/>
    <w:rsid w:val="009E64E8"/>
    <w:rsid w:val="009E661A"/>
    <w:rsid w:val="009E7F3F"/>
    <w:rsid w:val="009F00DD"/>
    <w:rsid w:val="009F18F0"/>
    <w:rsid w:val="009F322A"/>
    <w:rsid w:val="009F5A1D"/>
    <w:rsid w:val="00A04989"/>
    <w:rsid w:val="00A05816"/>
    <w:rsid w:val="00A10E27"/>
    <w:rsid w:val="00A1536D"/>
    <w:rsid w:val="00A15DEC"/>
    <w:rsid w:val="00A250EC"/>
    <w:rsid w:val="00A252C5"/>
    <w:rsid w:val="00A25ED9"/>
    <w:rsid w:val="00A279A1"/>
    <w:rsid w:val="00A30954"/>
    <w:rsid w:val="00A309B2"/>
    <w:rsid w:val="00A3740C"/>
    <w:rsid w:val="00A40913"/>
    <w:rsid w:val="00A40CC7"/>
    <w:rsid w:val="00A40E14"/>
    <w:rsid w:val="00A427EE"/>
    <w:rsid w:val="00A45062"/>
    <w:rsid w:val="00A4516A"/>
    <w:rsid w:val="00A451A6"/>
    <w:rsid w:val="00A461D0"/>
    <w:rsid w:val="00A4644C"/>
    <w:rsid w:val="00A51A6E"/>
    <w:rsid w:val="00A736F2"/>
    <w:rsid w:val="00A745E9"/>
    <w:rsid w:val="00A752E1"/>
    <w:rsid w:val="00A75F13"/>
    <w:rsid w:val="00A80230"/>
    <w:rsid w:val="00A81C29"/>
    <w:rsid w:val="00A91DAB"/>
    <w:rsid w:val="00A920F4"/>
    <w:rsid w:val="00A9271F"/>
    <w:rsid w:val="00A92CBB"/>
    <w:rsid w:val="00A9372E"/>
    <w:rsid w:val="00A93F2D"/>
    <w:rsid w:val="00AA0016"/>
    <w:rsid w:val="00AA0698"/>
    <w:rsid w:val="00AA0C72"/>
    <w:rsid w:val="00AA37AB"/>
    <w:rsid w:val="00AA3A44"/>
    <w:rsid w:val="00AA7868"/>
    <w:rsid w:val="00AA79A5"/>
    <w:rsid w:val="00AA7C9D"/>
    <w:rsid w:val="00AA7C9F"/>
    <w:rsid w:val="00AA7F7C"/>
    <w:rsid w:val="00AB1FF6"/>
    <w:rsid w:val="00AC1903"/>
    <w:rsid w:val="00AC2EE3"/>
    <w:rsid w:val="00AC5120"/>
    <w:rsid w:val="00AC635D"/>
    <w:rsid w:val="00AD1EA1"/>
    <w:rsid w:val="00AD7AF3"/>
    <w:rsid w:val="00AE115F"/>
    <w:rsid w:val="00AE2B30"/>
    <w:rsid w:val="00AE7F59"/>
    <w:rsid w:val="00AF507A"/>
    <w:rsid w:val="00AF67DC"/>
    <w:rsid w:val="00B048E9"/>
    <w:rsid w:val="00B13456"/>
    <w:rsid w:val="00B144F8"/>
    <w:rsid w:val="00B14EF4"/>
    <w:rsid w:val="00B16F5C"/>
    <w:rsid w:val="00B17ECD"/>
    <w:rsid w:val="00B20254"/>
    <w:rsid w:val="00B21CC5"/>
    <w:rsid w:val="00B23106"/>
    <w:rsid w:val="00B23982"/>
    <w:rsid w:val="00B241EF"/>
    <w:rsid w:val="00B303BA"/>
    <w:rsid w:val="00B327E8"/>
    <w:rsid w:val="00B35BF0"/>
    <w:rsid w:val="00B3637A"/>
    <w:rsid w:val="00B37263"/>
    <w:rsid w:val="00B37572"/>
    <w:rsid w:val="00B438C3"/>
    <w:rsid w:val="00B43B06"/>
    <w:rsid w:val="00B446DC"/>
    <w:rsid w:val="00B52F12"/>
    <w:rsid w:val="00B536D5"/>
    <w:rsid w:val="00B541F4"/>
    <w:rsid w:val="00B54EAD"/>
    <w:rsid w:val="00B5542E"/>
    <w:rsid w:val="00B56900"/>
    <w:rsid w:val="00B6291C"/>
    <w:rsid w:val="00B62D66"/>
    <w:rsid w:val="00B6364F"/>
    <w:rsid w:val="00B75026"/>
    <w:rsid w:val="00B77A95"/>
    <w:rsid w:val="00B77C8C"/>
    <w:rsid w:val="00B80C7E"/>
    <w:rsid w:val="00B84069"/>
    <w:rsid w:val="00B90691"/>
    <w:rsid w:val="00B9214B"/>
    <w:rsid w:val="00B96F8F"/>
    <w:rsid w:val="00BA1F5D"/>
    <w:rsid w:val="00BA37CE"/>
    <w:rsid w:val="00BA7033"/>
    <w:rsid w:val="00BB2581"/>
    <w:rsid w:val="00BB39CA"/>
    <w:rsid w:val="00BC181C"/>
    <w:rsid w:val="00BC5908"/>
    <w:rsid w:val="00BC5E3F"/>
    <w:rsid w:val="00BD1E2F"/>
    <w:rsid w:val="00BD2D55"/>
    <w:rsid w:val="00BD3FDB"/>
    <w:rsid w:val="00BD771E"/>
    <w:rsid w:val="00BE2FBC"/>
    <w:rsid w:val="00BE38F9"/>
    <w:rsid w:val="00BE49A5"/>
    <w:rsid w:val="00BE57BC"/>
    <w:rsid w:val="00BE68E3"/>
    <w:rsid w:val="00BE7043"/>
    <w:rsid w:val="00BE79A0"/>
    <w:rsid w:val="00BE7B37"/>
    <w:rsid w:val="00BF64DC"/>
    <w:rsid w:val="00BF7F0C"/>
    <w:rsid w:val="00C02B63"/>
    <w:rsid w:val="00C10719"/>
    <w:rsid w:val="00C12195"/>
    <w:rsid w:val="00C14832"/>
    <w:rsid w:val="00C15077"/>
    <w:rsid w:val="00C15F4E"/>
    <w:rsid w:val="00C165BE"/>
    <w:rsid w:val="00C20F87"/>
    <w:rsid w:val="00C2210D"/>
    <w:rsid w:val="00C259FB"/>
    <w:rsid w:val="00C262AE"/>
    <w:rsid w:val="00C26E3C"/>
    <w:rsid w:val="00C270DF"/>
    <w:rsid w:val="00C332A2"/>
    <w:rsid w:val="00C33969"/>
    <w:rsid w:val="00C349B4"/>
    <w:rsid w:val="00C37F01"/>
    <w:rsid w:val="00C401B3"/>
    <w:rsid w:val="00C41039"/>
    <w:rsid w:val="00C4299B"/>
    <w:rsid w:val="00C44FE7"/>
    <w:rsid w:val="00C45C44"/>
    <w:rsid w:val="00C47547"/>
    <w:rsid w:val="00C635F3"/>
    <w:rsid w:val="00C67DDF"/>
    <w:rsid w:val="00C70F61"/>
    <w:rsid w:val="00C72FA3"/>
    <w:rsid w:val="00C73097"/>
    <w:rsid w:val="00C73AAB"/>
    <w:rsid w:val="00C75B8E"/>
    <w:rsid w:val="00C7701B"/>
    <w:rsid w:val="00C80050"/>
    <w:rsid w:val="00C82816"/>
    <w:rsid w:val="00C84ED3"/>
    <w:rsid w:val="00C86B91"/>
    <w:rsid w:val="00C9126F"/>
    <w:rsid w:val="00C9157B"/>
    <w:rsid w:val="00C92453"/>
    <w:rsid w:val="00C96617"/>
    <w:rsid w:val="00C96F01"/>
    <w:rsid w:val="00CA5A28"/>
    <w:rsid w:val="00CB00A4"/>
    <w:rsid w:val="00CB2ACA"/>
    <w:rsid w:val="00CB38B0"/>
    <w:rsid w:val="00CB6730"/>
    <w:rsid w:val="00CB7FDE"/>
    <w:rsid w:val="00CC137C"/>
    <w:rsid w:val="00CC454C"/>
    <w:rsid w:val="00CC63EC"/>
    <w:rsid w:val="00CC70E1"/>
    <w:rsid w:val="00CD071F"/>
    <w:rsid w:val="00CD31EA"/>
    <w:rsid w:val="00CD4C46"/>
    <w:rsid w:val="00CD5237"/>
    <w:rsid w:val="00CE04D4"/>
    <w:rsid w:val="00CE1F00"/>
    <w:rsid w:val="00CE7419"/>
    <w:rsid w:val="00CE751A"/>
    <w:rsid w:val="00CF3F61"/>
    <w:rsid w:val="00CF41E0"/>
    <w:rsid w:val="00CF5932"/>
    <w:rsid w:val="00D01821"/>
    <w:rsid w:val="00D05ED4"/>
    <w:rsid w:val="00D13ED4"/>
    <w:rsid w:val="00D14383"/>
    <w:rsid w:val="00D172EA"/>
    <w:rsid w:val="00D173BA"/>
    <w:rsid w:val="00D21E31"/>
    <w:rsid w:val="00D22056"/>
    <w:rsid w:val="00D2251C"/>
    <w:rsid w:val="00D237D9"/>
    <w:rsid w:val="00D2589D"/>
    <w:rsid w:val="00D25C85"/>
    <w:rsid w:val="00D313FF"/>
    <w:rsid w:val="00D31EEF"/>
    <w:rsid w:val="00D330DE"/>
    <w:rsid w:val="00D356F6"/>
    <w:rsid w:val="00D37A75"/>
    <w:rsid w:val="00D416A0"/>
    <w:rsid w:val="00D42874"/>
    <w:rsid w:val="00D437DD"/>
    <w:rsid w:val="00D4393C"/>
    <w:rsid w:val="00D43F1A"/>
    <w:rsid w:val="00D44364"/>
    <w:rsid w:val="00D44D3E"/>
    <w:rsid w:val="00D46468"/>
    <w:rsid w:val="00D5534A"/>
    <w:rsid w:val="00D57ACF"/>
    <w:rsid w:val="00D62888"/>
    <w:rsid w:val="00D62C6C"/>
    <w:rsid w:val="00D6347F"/>
    <w:rsid w:val="00D6527B"/>
    <w:rsid w:val="00D65DD5"/>
    <w:rsid w:val="00D70C9E"/>
    <w:rsid w:val="00D71873"/>
    <w:rsid w:val="00D73152"/>
    <w:rsid w:val="00D750DA"/>
    <w:rsid w:val="00D755FD"/>
    <w:rsid w:val="00D75726"/>
    <w:rsid w:val="00D76AA7"/>
    <w:rsid w:val="00D848D3"/>
    <w:rsid w:val="00D853D3"/>
    <w:rsid w:val="00D96B9B"/>
    <w:rsid w:val="00DA61B7"/>
    <w:rsid w:val="00DB3744"/>
    <w:rsid w:val="00DB40DC"/>
    <w:rsid w:val="00DD4D3E"/>
    <w:rsid w:val="00DD50AB"/>
    <w:rsid w:val="00DE0444"/>
    <w:rsid w:val="00DE72BA"/>
    <w:rsid w:val="00DF0C70"/>
    <w:rsid w:val="00DF12FF"/>
    <w:rsid w:val="00DF20DC"/>
    <w:rsid w:val="00DF4542"/>
    <w:rsid w:val="00DF476C"/>
    <w:rsid w:val="00DF548D"/>
    <w:rsid w:val="00DF7680"/>
    <w:rsid w:val="00E00DEF"/>
    <w:rsid w:val="00E06499"/>
    <w:rsid w:val="00E07132"/>
    <w:rsid w:val="00E10368"/>
    <w:rsid w:val="00E1307A"/>
    <w:rsid w:val="00E13376"/>
    <w:rsid w:val="00E14CA8"/>
    <w:rsid w:val="00E179E1"/>
    <w:rsid w:val="00E20FFD"/>
    <w:rsid w:val="00E2239E"/>
    <w:rsid w:val="00E2289C"/>
    <w:rsid w:val="00E26FD8"/>
    <w:rsid w:val="00E27B9B"/>
    <w:rsid w:val="00E37B6C"/>
    <w:rsid w:val="00E413FD"/>
    <w:rsid w:val="00E4145D"/>
    <w:rsid w:val="00E414C0"/>
    <w:rsid w:val="00E52E8B"/>
    <w:rsid w:val="00E54066"/>
    <w:rsid w:val="00E54ED8"/>
    <w:rsid w:val="00E55A51"/>
    <w:rsid w:val="00E611E7"/>
    <w:rsid w:val="00E6241A"/>
    <w:rsid w:val="00E62EA0"/>
    <w:rsid w:val="00E65F3B"/>
    <w:rsid w:val="00E6608F"/>
    <w:rsid w:val="00E72605"/>
    <w:rsid w:val="00E747C4"/>
    <w:rsid w:val="00E75418"/>
    <w:rsid w:val="00E76A9F"/>
    <w:rsid w:val="00E80D43"/>
    <w:rsid w:val="00E813C9"/>
    <w:rsid w:val="00E81AE6"/>
    <w:rsid w:val="00E82747"/>
    <w:rsid w:val="00E828DB"/>
    <w:rsid w:val="00E848FD"/>
    <w:rsid w:val="00E90454"/>
    <w:rsid w:val="00E925D2"/>
    <w:rsid w:val="00E930E9"/>
    <w:rsid w:val="00E936DF"/>
    <w:rsid w:val="00E93CB3"/>
    <w:rsid w:val="00E9490A"/>
    <w:rsid w:val="00E9522F"/>
    <w:rsid w:val="00EA0B9B"/>
    <w:rsid w:val="00EA1997"/>
    <w:rsid w:val="00EA4358"/>
    <w:rsid w:val="00EA51E6"/>
    <w:rsid w:val="00EA5F27"/>
    <w:rsid w:val="00EB04C1"/>
    <w:rsid w:val="00EB44E9"/>
    <w:rsid w:val="00EB5D85"/>
    <w:rsid w:val="00EB6106"/>
    <w:rsid w:val="00EC50FA"/>
    <w:rsid w:val="00EC70AE"/>
    <w:rsid w:val="00ED13D6"/>
    <w:rsid w:val="00ED22F5"/>
    <w:rsid w:val="00ED256D"/>
    <w:rsid w:val="00ED2CD7"/>
    <w:rsid w:val="00ED5EC5"/>
    <w:rsid w:val="00EE1012"/>
    <w:rsid w:val="00EE3923"/>
    <w:rsid w:val="00EE423B"/>
    <w:rsid w:val="00EE7B70"/>
    <w:rsid w:val="00EF0A93"/>
    <w:rsid w:val="00EF1C6F"/>
    <w:rsid w:val="00EF1DDC"/>
    <w:rsid w:val="00EF629B"/>
    <w:rsid w:val="00EF6A09"/>
    <w:rsid w:val="00EF7F54"/>
    <w:rsid w:val="00F0085E"/>
    <w:rsid w:val="00F00D8E"/>
    <w:rsid w:val="00F04310"/>
    <w:rsid w:val="00F05C7C"/>
    <w:rsid w:val="00F12B0D"/>
    <w:rsid w:val="00F12D73"/>
    <w:rsid w:val="00F1314E"/>
    <w:rsid w:val="00F15CFA"/>
    <w:rsid w:val="00F15E5B"/>
    <w:rsid w:val="00F17888"/>
    <w:rsid w:val="00F17A1E"/>
    <w:rsid w:val="00F205D7"/>
    <w:rsid w:val="00F218FF"/>
    <w:rsid w:val="00F24545"/>
    <w:rsid w:val="00F31841"/>
    <w:rsid w:val="00F31DF6"/>
    <w:rsid w:val="00F325F2"/>
    <w:rsid w:val="00F33C2E"/>
    <w:rsid w:val="00F3493E"/>
    <w:rsid w:val="00F35634"/>
    <w:rsid w:val="00F356B0"/>
    <w:rsid w:val="00F35C0C"/>
    <w:rsid w:val="00F36C03"/>
    <w:rsid w:val="00F410DE"/>
    <w:rsid w:val="00F45F6D"/>
    <w:rsid w:val="00F477C4"/>
    <w:rsid w:val="00F47D43"/>
    <w:rsid w:val="00F50ACD"/>
    <w:rsid w:val="00F512B4"/>
    <w:rsid w:val="00F55FBE"/>
    <w:rsid w:val="00F5784E"/>
    <w:rsid w:val="00F601F4"/>
    <w:rsid w:val="00F61F35"/>
    <w:rsid w:val="00F63348"/>
    <w:rsid w:val="00F67F10"/>
    <w:rsid w:val="00F8344F"/>
    <w:rsid w:val="00F83DBF"/>
    <w:rsid w:val="00F86452"/>
    <w:rsid w:val="00F90DD4"/>
    <w:rsid w:val="00F91971"/>
    <w:rsid w:val="00F9198C"/>
    <w:rsid w:val="00F93B01"/>
    <w:rsid w:val="00F9489E"/>
    <w:rsid w:val="00F95446"/>
    <w:rsid w:val="00FA0DF0"/>
    <w:rsid w:val="00FA0FEE"/>
    <w:rsid w:val="00FA216A"/>
    <w:rsid w:val="00FA2350"/>
    <w:rsid w:val="00FA49FA"/>
    <w:rsid w:val="00FB6E24"/>
    <w:rsid w:val="00FC12E8"/>
    <w:rsid w:val="00FC20AD"/>
    <w:rsid w:val="00FC3315"/>
    <w:rsid w:val="00FC6D9C"/>
    <w:rsid w:val="00FD1C89"/>
    <w:rsid w:val="00FD2CA6"/>
    <w:rsid w:val="00FD3426"/>
    <w:rsid w:val="00FD4268"/>
    <w:rsid w:val="00FD4AB1"/>
    <w:rsid w:val="00FD75B8"/>
    <w:rsid w:val="00FD7726"/>
    <w:rsid w:val="00FD7E6C"/>
    <w:rsid w:val="00FE03D7"/>
    <w:rsid w:val="00FE23E7"/>
    <w:rsid w:val="00FE2516"/>
    <w:rsid w:val="00FE2942"/>
    <w:rsid w:val="00FE524A"/>
    <w:rsid w:val="00FF00D9"/>
    <w:rsid w:val="00FF29CC"/>
    <w:rsid w:val="00FF2D15"/>
    <w:rsid w:val="00FF2D68"/>
    <w:rsid w:val="00FF68BB"/>
    <w:rsid w:val="00FF7574"/>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629DF343-FCD5-49D7-BD0C-F64BE7EC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173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FollowedHyperlink">
    <w:name w:val="FollowedHyperlink"/>
    <w:basedOn w:val="DefaultParagraphFont"/>
    <w:uiPriority w:val="99"/>
    <w:semiHidden/>
    <w:unhideWhenUsed/>
    <w:rsid w:val="000915D3"/>
    <w:rPr>
      <w:color w:val="954F72" w:themeColor="followedHyperlink"/>
      <w:u w:val="single"/>
    </w:rPr>
  </w:style>
  <w:style w:type="character" w:styleId="UnresolvedMention">
    <w:name w:val="Unresolved Mention"/>
    <w:basedOn w:val="DefaultParagraphFont"/>
    <w:uiPriority w:val="99"/>
    <w:semiHidden/>
    <w:unhideWhenUsed/>
    <w:rsid w:val="005F736C"/>
    <w:rPr>
      <w:color w:val="605E5C"/>
      <w:shd w:val="clear" w:color="auto" w:fill="E1DFDD"/>
    </w:rPr>
  </w:style>
  <w:style w:type="character" w:customStyle="1" w:styleId="Heading3Char">
    <w:name w:val="Heading 3 Char"/>
    <w:basedOn w:val="DefaultParagraphFont"/>
    <w:link w:val="Heading3"/>
    <w:uiPriority w:val="9"/>
    <w:semiHidden/>
    <w:rsid w:val="00D173BA"/>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3D5820"/>
    <w:rPr>
      <w:color w:val="2B579A"/>
      <w:shd w:val="clear" w:color="auto" w:fill="E1DFDD"/>
    </w:rPr>
  </w:style>
  <w:style w:type="paragraph" w:styleId="NormalWeb">
    <w:name w:val="Normal (Web)"/>
    <w:basedOn w:val="Normal"/>
    <w:uiPriority w:val="99"/>
    <w:unhideWhenUsed/>
    <w:rsid w:val="00ED2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ED256D"/>
    <w:rPr>
      <w:rFonts w:ascii="Segoe UI" w:hAnsi="Segoe UI" w:cs="Segoe UI" w:hint="default"/>
      <w:sz w:val="18"/>
      <w:szCs w:val="18"/>
    </w:rPr>
  </w:style>
  <w:style w:type="table" w:styleId="TableGrid">
    <w:name w:val="Table Grid"/>
    <w:basedOn w:val="TableNormal"/>
    <w:uiPriority w:val="39"/>
    <w:rsid w:val="0090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226">
      <w:bodyDiv w:val="1"/>
      <w:marLeft w:val="0"/>
      <w:marRight w:val="0"/>
      <w:marTop w:val="0"/>
      <w:marBottom w:val="0"/>
      <w:divBdr>
        <w:top w:val="none" w:sz="0" w:space="0" w:color="auto"/>
        <w:left w:val="none" w:sz="0" w:space="0" w:color="auto"/>
        <w:bottom w:val="none" w:sz="0" w:space="0" w:color="auto"/>
        <w:right w:val="none" w:sz="0" w:space="0" w:color="auto"/>
      </w:divBdr>
      <w:divsChild>
        <w:div w:id="466706422">
          <w:marLeft w:val="0"/>
          <w:marRight w:val="0"/>
          <w:marTop w:val="0"/>
          <w:marBottom w:val="0"/>
          <w:divBdr>
            <w:top w:val="none" w:sz="0" w:space="0" w:color="auto"/>
            <w:left w:val="none" w:sz="0" w:space="0" w:color="auto"/>
            <w:bottom w:val="none" w:sz="0" w:space="0" w:color="auto"/>
            <w:right w:val="none" w:sz="0" w:space="0" w:color="auto"/>
          </w:divBdr>
          <w:divsChild>
            <w:div w:id="1701393199">
              <w:marLeft w:val="0"/>
              <w:marRight w:val="0"/>
              <w:marTop w:val="0"/>
              <w:marBottom w:val="0"/>
              <w:divBdr>
                <w:top w:val="none" w:sz="0" w:space="0" w:color="auto"/>
                <w:left w:val="none" w:sz="0" w:space="0" w:color="auto"/>
                <w:bottom w:val="none" w:sz="0" w:space="0" w:color="auto"/>
                <w:right w:val="none" w:sz="0" w:space="0" w:color="auto"/>
              </w:divBdr>
              <w:divsChild>
                <w:div w:id="1136799633">
                  <w:marLeft w:val="0"/>
                  <w:marRight w:val="0"/>
                  <w:marTop w:val="0"/>
                  <w:marBottom w:val="0"/>
                  <w:divBdr>
                    <w:top w:val="none" w:sz="0" w:space="0" w:color="auto"/>
                    <w:left w:val="none" w:sz="0" w:space="0" w:color="auto"/>
                    <w:bottom w:val="none" w:sz="0" w:space="0" w:color="auto"/>
                    <w:right w:val="none" w:sz="0" w:space="0" w:color="auto"/>
                  </w:divBdr>
                  <w:divsChild>
                    <w:div w:id="208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9905">
      <w:bodyDiv w:val="1"/>
      <w:marLeft w:val="0"/>
      <w:marRight w:val="0"/>
      <w:marTop w:val="0"/>
      <w:marBottom w:val="0"/>
      <w:divBdr>
        <w:top w:val="none" w:sz="0" w:space="0" w:color="auto"/>
        <w:left w:val="none" w:sz="0" w:space="0" w:color="auto"/>
        <w:bottom w:val="none" w:sz="0" w:space="0" w:color="auto"/>
        <w:right w:val="none" w:sz="0" w:space="0" w:color="auto"/>
      </w:divBdr>
    </w:div>
    <w:div w:id="163014071">
      <w:bodyDiv w:val="1"/>
      <w:marLeft w:val="0"/>
      <w:marRight w:val="0"/>
      <w:marTop w:val="0"/>
      <w:marBottom w:val="0"/>
      <w:divBdr>
        <w:top w:val="none" w:sz="0" w:space="0" w:color="auto"/>
        <w:left w:val="none" w:sz="0" w:space="0" w:color="auto"/>
        <w:bottom w:val="none" w:sz="0" w:space="0" w:color="auto"/>
        <w:right w:val="none" w:sz="0" w:space="0" w:color="auto"/>
      </w:divBdr>
    </w:div>
    <w:div w:id="186214924">
      <w:bodyDiv w:val="1"/>
      <w:marLeft w:val="0"/>
      <w:marRight w:val="0"/>
      <w:marTop w:val="0"/>
      <w:marBottom w:val="0"/>
      <w:divBdr>
        <w:top w:val="none" w:sz="0" w:space="0" w:color="auto"/>
        <w:left w:val="none" w:sz="0" w:space="0" w:color="auto"/>
        <w:bottom w:val="none" w:sz="0" w:space="0" w:color="auto"/>
        <w:right w:val="none" w:sz="0" w:space="0" w:color="auto"/>
      </w:divBdr>
    </w:div>
    <w:div w:id="470563999">
      <w:bodyDiv w:val="1"/>
      <w:marLeft w:val="0"/>
      <w:marRight w:val="0"/>
      <w:marTop w:val="0"/>
      <w:marBottom w:val="0"/>
      <w:divBdr>
        <w:top w:val="none" w:sz="0" w:space="0" w:color="auto"/>
        <w:left w:val="none" w:sz="0" w:space="0" w:color="auto"/>
        <w:bottom w:val="none" w:sz="0" w:space="0" w:color="auto"/>
        <w:right w:val="none" w:sz="0" w:space="0" w:color="auto"/>
      </w:divBdr>
    </w:div>
    <w:div w:id="537669086">
      <w:bodyDiv w:val="1"/>
      <w:marLeft w:val="0"/>
      <w:marRight w:val="0"/>
      <w:marTop w:val="0"/>
      <w:marBottom w:val="0"/>
      <w:divBdr>
        <w:top w:val="none" w:sz="0" w:space="0" w:color="auto"/>
        <w:left w:val="none" w:sz="0" w:space="0" w:color="auto"/>
        <w:bottom w:val="none" w:sz="0" w:space="0" w:color="auto"/>
        <w:right w:val="none" w:sz="0" w:space="0" w:color="auto"/>
      </w:divBdr>
    </w:div>
    <w:div w:id="664237461">
      <w:bodyDiv w:val="1"/>
      <w:marLeft w:val="0"/>
      <w:marRight w:val="0"/>
      <w:marTop w:val="0"/>
      <w:marBottom w:val="0"/>
      <w:divBdr>
        <w:top w:val="none" w:sz="0" w:space="0" w:color="auto"/>
        <w:left w:val="none" w:sz="0" w:space="0" w:color="auto"/>
        <w:bottom w:val="none" w:sz="0" w:space="0" w:color="auto"/>
        <w:right w:val="none" w:sz="0" w:space="0" w:color="auto"/>
      </w:divBdr>
    </w:div>
    <w:div w:id="698701162">
      <w:bodyDiv w:val="1"/>
      <w:marLeft w:val="0"/>
      <w:marRight w:val="0"/>
      <w:marTop w:val="0"/>
      <w:marBottom w:val="0"/>
      <w:divBdr>
        <w:top w:val="none" w:sz="0" w:space="0" w:color="auto"/>
        <w:left w:val="none" w:sz="0" w:space="0" w:color="auto"/>
        <w:bottom w:val="none" w:sz="0" w:space="0" w:color="auto"/>
        <w:right w:val="none" w:sz="0" w:space="0" w:color="auto"/>
      </w:divBdr>
      <w:divsChild>
        <w:div w:id="957178908">
          <w:marLeft w:val="0"/>
          <w:marRight w:val="0"/>
          <w:marTop w:val="0"/>
          <w:marBottom w:val="0"/>
          <w:divBdr>
            <w:top w:val="none" w:sz="0" w:space="0" w:color="auto"/>
            <w:left w:val="none" w:sz="0" w:space="0" w:color="auto"/>
            <w:bottom w:val="none" w:sz="0" w:space="0" w:color="auto"/>
            <w:right w:val="none" w:sz="0" w:space="0" w:color="auto"/>
          </w:divBdr>
          <w:divsChild>
            <w:div w:id="2117214048">
              <w:marLeft w:val="0"/>
              <w:marRight w:val="0"/>
              <w:marTop w:val="0"/>
              <w:marBottom w:val="0"/>
              <w:divBdr>
                <w:top w:val="none" w:sz="0" w:space="0" w:color="auto"/>
                <w:left w:val="none" w:sz="0" w:space="0" w:color="auto"/>
                <w:bottom w:val="none" w:sz="0" w:space="0" w:color="auto"/>
                <w:right w:val="none" w:sz="0" w:space="0" w:color="auto"/>
              </w:divBdr>
              <w:divsChild>
                <w:div w:id="2109540466">
                  <w:marLeft w:val="0"/>
                  <w:marRight w:val="0"/>
                  <w:marTop w:val="0"/>
                  <w:marBottom w:val="0"/>
                  <w:divBdr>
                    <w:top w:val="none" w:sz="0" w:space="0" w:color="auto"/>
                    <w:left w:val="none" w:sz="0" w:space="0" w:color="auto"/>
                    <w:bottom w:val="none" w:sz="0" w:space="0" w:color="auto"/>
                    <w:right w:val="none" w:sz="0" w:space="0" w:color="auto"/>
                  </w:divBdr>
                  <w:divsChild>
                    <w:div w:id="11326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20009">
      <w:bodyDiv w:val="1"/>
      <w:marLeft w:val="0"/>
      <w:marRight w:val="0"/>
      <w:marTop w:val="0"/>
      <w:marBottom w:val="0"/>
      <w:divBdr>
        <w:top w:val="none" w:sz="0" w:space="0" w:color="auto"/>
        <w:left w:val="none" w:sz="0" w:space="0" w:color="auto"/>
        <w:bottom w:val="none" w:sz="0" w:space="0" w:color="auto"/>
        <w:right w:val="none" w:sz="0" w:space="0" w:color="auto"/>
      </w:divBdr>
    </w:div>
    <w:div w:id="908929861">
      <w:bodyDiv w:val="1"/>
      <w:marLeft w:val="0"/>
      <w:marRight w:val="0"/>
      <w:marTop w:val="0"/>
      <w:marBottom w:val="0"/>
      <w:divBdr>
        <w:top w:val="none" w:sz="0" w:space="0" w:color="auto"/>
        <w:left w:val="none" w:sz="0" w:space="0" w:color="auto"/>
        <w:bottom w:val="none" w:sz="0" w:space="0" w:color="auto"/>
        <w:right w:val="none" w:sz="0" w:space="0" w:color="auto"/>
      </w:divBdr>
    </w:div>
    <w:div w:id="957446314">
      <w:bodyDiv w:val="1"/>
      <w:marLeft w:val="0"/>
      <w:marRight w:val="0"/>
      <w:marTop w:val="0"/>
      <w:marBottom w:val="0"/>
      <w:divBdr>
        <w:top w:val="none" w:sz="0" w:space="0" w:color="auto"/>
        <w:left w:val="none" w:sz="0" w:space="0" w:color="auto"/>
        <w:bottom w:val="none" w:sz="0" w:space="0" w:color="auto"/>
        <w:right w:val="none" w:sz="0" w:space="0" w:color="auto"/>
      </w:divBdr>
      <w:divsChild>
        <w:div w:id="290139394">
          <w:marLeft w:val="0"/>
          <w:marRight w:val="0"/>
          <w:marTop w:val="0"/>
          <w:marBottom w:val="0"/>
          <w:divBdr>
            <w:top w:val="none" w:sz="0" w:space="0" w:color="auto"/>
            <w:left w:val="none" w:sz="0" w:space="0" w:color="auto"/>
            <w:bottom w:val="none" w:sz="0" w:space="0" w:color="auto"/>
            <w:right w:val="none" w:sz="0" w:space="0" w:color="auto"/>
          </w:divBdr>
          <w:divsChild>
            <w:div w:id="1309440005">
              <w:marLeft w:val="0"/>
              <w:marRight w:val="0"/>
              <w:marTop w:val="0"/>
              <w:marBottom w:val="0"/>
              <w:divBdr>
                <w:top w:val="none" w:sz="0" w:space="0" w:color="auto"/>
                <w:left w:val="none" w:sz="0" w:space="0" w:color="auto"/>
                <w:bottom w:val="none" w:sz="0" w:space="0" w:color="auto"/>
                <w:right w:val="none" w:sz="0" w:space="0" w:color="auto"/>
              </w:divBdr>
              <w:divsChild>
                <w:div w:id="443816300">
                  <w:marLeft w:val="0"/>
                  <w:marRight w:val="0"/>
                  <w:marTop w:val="0"/>
                  <w:marBottom w:val="0"/>
                  <w:divBdr>
                    <w:top w:val="none" w:sz="0" w:space="0" w:color="auto"/>
                    <w:left w:val="none" w:sz="0" w:space="0" w:color="auto"/>
                    <w:bottom w:val="none" w:sz="0" w:space="0" w:color="auto"/>
                    <w:right w:val="none" w:sz="0" w:space="0" w:color="auto"/>
                  </w:divBdr>
                  <w:divsChild>
                    <w:div w:id="13530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064">
      <w:bodyDiv w:val="1"/>
      <w:marLeft w:val="0"/>
      <w:marRight w:val="0"/>
      <w:marTop w:val="0"/>
      <w:marBottom w:val="0"/>
      <w:divBdr>
        <w:top w:val="none" w:sz="0" w:space="0" w:color="auto"/>
        <w:left w:val="none" w:sz="0" w:space="0" w:color="auto"/>
        <w:bottom w:val="none" w:sz="0" w:space="0" w:color="auto"/>
        <w:right w:val="none" w:sz="0" w:space="0" w:color="auto"/>
      </w:divBdr>
      <w:divsChild>
        <w:div w:id="1474176498">
          <w:marLeft w:val="0"/>
          <w:marRight w:val="0"/>
          <w:marTop w:val="0"/>
          <w:marBottom w:val="0"/>
          <w:divBdr>
            <w:top w:val="none" w:sz="0" w:space="0" w:color="auto"/>
            <w:left w:val="none" w:sz="0" w:space="0" w:color="auto"/>
            <w:bottom w:val="none" w:sz="0" w:space="0" w:color="auto"/>
            <w:right w:val="none" w:sz="0" w:space="0" w:color="auto"/>
          </w:divBdr>
          <w:divsChild>
            <w:div w:id="327247204">
              <w:marLeft w:val="0"/>
              <w:marRight w:val="0"/>
              <w:marTop w:val="0"/>
              <w:marBottom w:val="0"/>
              <w:divBdr>
                <w:top w:val="none" w:sz="0" w:space="0" w:color="auto"/>
                <w:left w:val="none" w:sz="0" w:space="0" w:color="auto"/>
                <w:bottom w:val="none" w:sz="0" w:space="0" w:color="auto"/>
                <w:right w:val="none" w:sz="0" w:space="0" w:color="auto"/>
              </w:divBdr>
              <w:divsChild>
                <w:div w:id="165246411">
                  <w:marLeft w:val="0"/>
                  <w:marRight w:val="0"/>
                  <w:marTop w:val="0"/>
                  <w:marBottom w:val="0"/>
                  <w:divBdr>
                    <w:top w:val="none" w:sz="0" w:space="0" w:color="auto"/>
                    <w:left w:val="none" w:sz="0" w:space="0" w:color="auto"/>
                    <w:bottom w:val="none" w:sz="0" w:space="0" w:color="auto"/>
                    <w:right w:val="none" w:sz="0" w:space="0" w:color="auto"/>
                  </w:divBdr>
                  <w:divsChild>
                    <w:div w:id="21153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01742">
      <w:bodyDiv w:val="1"/>
      <w:marLeft w:val="0"/>
      <w:marRight w:val="0"/>
      <w:marTop w:val="0"/>
      <w:marBottom w:val="0"/>
      <w:divBdr>
        <w:top w:val="none" w:sz="0" w:space="0" w:color="auto"/>
        <w:left w:val="none" w:sz="0" w:space="0" w:color="auto"/>
        <w:bottom w:val="none" w:sz="0" w:space="0" w:color="auto"/>
        <w:right w:val="none" w:sz="0" w:space="0" w:color="auto"/>
      </w:divBdr>
    </w:div>
    <w:div w:id="1037120972">
      <w:bodyDiv w:val="1"/>
      <w:marLeft w:val="0"/>
      <w:marRight w:val="0"/>
      <w:marTop w:val="0"/>
      <w:marBottom w:val="0"/>
      <w:divBdr>
        <w:top w:val="none" w:sz="0" w:space="0" w:color="auto"/>
        <w:left w:val="none" w:sz="0" w:space="0" w:color="auto"/>
        <w:bottom w:val="none" w:sz="0" w:space="0" w:color="auto"/>
        <w:right w:val="none" w:sz="0" w:space="0" w:color="auto"/>
      </w:divBdr>
    </w:div>
    <w:div w:id="1100104537">
      <w:bodyDiv w:val="1"/>
      <w:marLeft w:val="0"/>
      <w:marRight w:val="0"/>
      <w:marTop w:val="0"/>
      <w:marBottom w:val="0"/>
      <w:divBdr>
        <w:top w:val="none" w:sz="0" w:space="0" w:color="auto"/>
        <w:left w:val="none" w:sz="0" w:space="0" w:color="auto"/>
        <w:bottom w:val="none" w:sz="0" w:space="0" w:color="auto"/>
        <w:right w:val="none" w:sz="0" w:space="0" w:color="auto"/>
      </w:divBdr>
    </w:div>
    <w:div w:id="1122961984">
      <w:bodyDiv w:val="1"/>
      <w:marLeft w:val="0"/>
      <w:marRight w:val="0"/>
      <w:marTop w:val="0"/>
      <w:marBottom w:val="0"/>
      <w:divBdr>
        <w:top w:val="none" w:sz="0" w:space="0" w:color="auto"/>
        <w:left w:val="none" w:sz="0" w:space="0" w:color="auto"/>
        <w:bottom w:val="none" w:sz="0" w:space="0" w:color="auto"/>
        <w:right w:val="none" w:sz="0" w:space="0" w:color="auto"/>
      </w:divBdr>
    </w:div>
    <w:div w:id="1158962862">
      <w:bodyDiv w:val="1"/>
      <w:marLeft w:val="0"/>
      <w:marRight w:val="0"/>
      <w:marTop w:val="0"/>
      <w:marBottom w:val="0"/>
      <w:divBdr>
        <w:top w:val="none" w:sz="0" w:space="0" w:color="auto"/>
        <w:left w:val="none" w:sz="0" w:space="0" w:color="auto"/>
        <w:bottom w:val="none" w:sz="0" w:space="0" w:color="auto"/>
        <w:right w:val="none" w:sz="0" w:space="0" w:color="auto"/>
      </w:divBdr>
    </w:div>
    <w:div w:id="1177230255">
      <w:bodyDiv w:val="1"/>
      <w:marLeft w:val="0"/>
      <w:marRight w:val="0"/>
      <w:marTop w:val="0"/>
      <w:marBottom w:val="0"/>
      <w:divBdr>
        <w:top w:val="none" w:sz="0" w:space="0" w:color="auto"/>
        <w:left w:val="none" w:sz="0" w:space="0" w:color="auto"/>
        <w:bottom w:val="none" w:sz="0" w:space="0" w:color="auto"/>
        <w:right w:val="none" w:sz="0" w:space="0" w:color="auto"/>
      </w:divBdr>
    </w:div>
    <w:div w:id="1240482743">
      <w:bodyDiv w:val="1"/>
      <w:marLeft w:val="0"/>
      <w:marRight w:val="0"/>
      <w:marTop w:val="0"/>
      <w:marBottom w:val="0"/>
      <w:divBdr>
        <w:top w:val="none" w:sz="0" w:space="0" w:color="auto"/>
        <w:left w:val="none" w:sz="0" w:space="0" w:color="auto"/>
        <w:bottom w:val="none" w:sz="0" w:space="0" w:color="auto"/>
        <w:right w:val="none" w:sz="0" w:space="0" w:color="auto"/>
      </w:divBdr>
    </w:div>
    <w:div w:id="1386564660">
      <w:bodyDiv w:val="1"/>
      <w:marLeft w:val="0"/>
      <w:marRight w:val="0"/>
      <w:marTop w:val="0"/>
      <w:marBottom w:val="0"/>
      <w:divBdr>
        <w:top w:val="none" w:sz="0" w:space="0" w:color="auto"/>
        <w:left w:val="none" w:sz="0" w:space="0" w:color="auto"/>
        <w:bottom w:val="none" w:sz="0" w:space="0" w:color="auto"/>
        <w:right w:val="none" w:sz="0" w:space="0" w:color="auto"/>
      </w:divBdr>
      <w:divsChild>
        <w:div w:id="1564876921">
          <w:marLeft w:val="0"/>
          <w:marRight w:val="0"/>
          <w:marTop w:val="0"/>
          <w:marBottom w:val="0"/>
          <w:divBdr>
            <w:top w:val="none" w:sz="0" w:space="0" w:color="auto"/>
            <w:left w:val="none" w:sz="0" w:space="0" w:color="auto"/>
            <w:bottom w:val="none" w:sz="0" w:space="0" w:color="auto"/>
            <w:right w:val="none" w:sz="0" w:space="0" w:color="auto"/>
          </w:divBdr>
          <w:divsChild>
            <w:div w:id="73479651">
              <w:marLeft w:val="0"/>
              <w:marRight w:val="0"/>
              <w:marTop w:val="0"/>
              <w:marBottom w:val="0"/>
              <w:divBdr>
                <w:top w:val="none" w:sz="0" w:space="0" w:color="auto"/>
                <w:left w:val="none" w:sz="0" w:space="0" w:color="auto"/>
                <w:bottom w:val="none" w:sz="0" w:space="0" w:color="auto"/>
                <w:right w:val="none" w:sz="0" w:space="0" w:color="auto"/>
              </w:divBdr>
              <w:divsChild>
                <w:div w:id="1856994613">
                  <w:marLeft w:val="0"/>
                  <w:marRight w:val="0"/>
                  <w:marTop w:val="0"/>
                  <w:marBottom w:val="0"/>
                  <w:divBdr>
                    <w:top w:val="none" w:sz="0" w:space="0" w:color="auto"/>
                    <w:left w:val="none" w:sz="0" w:space="0" w:color="auto"/>
                    <w:bottom w:val="none" w:sz="0" w:space="0" w:color="auto"/>
                    <w:right w:val="none" w:sz="0" w:space="0" w:color="auto"/>
                  </w:divBdr>
                  <w:divsChild>
                    <w:div w:id="8076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95825">
      <w:bodyDiv w:val="1"/>
      <w:marLeft w:val="0"/>
      <w:marRight w:val="0"/>
      <w:marTop w:val="0"/>
      <w:marBottom w:val="0"/>
      <w:divBdr>
        <w:top w:val="none" w:sz="0" w:space="0" w:color="auto"/>
        <w:left w:val="none" w:sz="0" w:space="0" w:color="auto"/>
        <w:bottom w:val="none" w:sz="0" w:space="0" w:color="auto"/>
        <w:right w:val="none" w:sz="0" w:space="0" w:color="auto"/>
      </w:divBdr>
      <w:divsChild>
        <w:div w:id="1328438354">
          <w:marLeft w:val="0"/>
          <w:marRight w:val="0"/>
          <w:marTop w:val="0"/>
          <w:marBottom w:val="0"/>
          <w:divBdr>
            <w:top w:val="none" w:sz="0" w:space="0" w:color="auto"/>
            <w:left w:val="none" w:sz="0" w:space="0" w:color="auto"/>
            <w:bottom w:val="none" w:sz="0" w:space="0" w:color="auto"/>
            <w:right w:val="none" w:sz="0" w:space="0" w:color="auto"/>
          </w:divBdr>
          <w:divsChild>
            <w:div w:id="1325666971">
              <w:marLeft w:val="0"/>
              <w:marRight w:val="0"/>
              <w:marTop w:val="0"/>
              <w:marBottom w:val="0"/>
              <w:divBdr>
                <w:top w:val="none" w:sz="0" w:space="0" w:color="auto"/>
                <w:left w:val="none" w:sz="0" w:space="0" w:color="auto"/>
                <w:bottom w:val="none" w:sz="0" w:space="0" w:color="auto"/>
                <w:right w:val="none" w:sz="0" w:space="0" w:color="auto"/>
              </w:divBdr>
              <w:divsChild>
                <w:div w:id="195433255">
                  <w:marLeft w:val="0"/>
                  <w:marRight w:val="0"/>
                  <w:marTop w:val="0"/>
                  <w:marBottom w:val="0"/>
                  <w:divBdr>
                    <w:top w:val="none" w:sz="0" w:space="0" w:color="auto"/>
                    <w:left w:val="none" w:sz="0" w:space="0" w:color="auto"/>
                    <w:bottom w:val="none" w:sz="0" w:space="0" w:color="auto"/>
                    <w:right w:val="none" w:sz="0" w:space="0" w:color="auto"/>
                  </w:divBdr>
                  <w:divsChild>
                    <w:div w:id="9669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00777">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sChild>
        <w:div w:id="1365862106">
          <w:marLeft w:val="0"/>
          <w:marRight w:val="0"/>
          <w:marTop w:val="0"/>
          <w:marBottom w:val="0"/>
          <w:divBdr>
            <w:top w:val="none" w:sz="0" w:space="0" w:color="auto"/>
            <w:left w:val="none" w:sz="0" w:space="0" w:color="auto"/>
            <w:bottom w:val="none" w:sz="0" w:space="0" w:color="auto"/>
            <w:right w:val="none" w:sz="0" w:space="0" w:color="auto"/>
          </w:divBdr>
          <w:divsChild>
            <w:div w:id="1683318650">
              <w:marLeft w:val="0"/>
              <w:marRight w:val="0"/>
              <w:marTop w:val="0"/>
              <w:marBottom w:val="0"/>
              <w:divBdr>
                <w:top w:val="none" w:sz="0" w:space="0" w:color="auto"/>
                <w:left w:val="none" w:sz="0" w:space="0" w:color="auto"/>
                <w:bottom w:val="none" w:sz="0" w:space="0" w:color="auto"/>
                <w:right w:val="none" w:sz="0" w:space="0" w:color="auto"/>
              </w:divBdr>
              <w:divsChild>
                <w:div w:id="732193231">
                  <w:marLeft w:val="0"/>
                  <w:marRight w:val="0"/>
                  <w:marTop w:val="0"/>
                  <w:marBottom w:val="0"/>
                  <w:divBdr>
                    <w:top w:val="none" w:sz="0" w:space="0" w:color="auto"/>
                    <w:left w:val="none" w:sz="0" w:space="0" w:color="auto"/>
                    <w:bottom w:val="none" w:sz="0" w:space="0" w:color="auto"/>
                    <w:right w:val="none" w:sz="0" w:space="0" w:color="auto"/>
                  </w:divBdr>
                  <w:divsChild>
                    <w:div w:id="2613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72045">
      <w:bodyDiv w:val="1"/>
      <w:marLeft w:val="0"/>
      <w:marRight w:val="0"/>
      <w:marTop w:val="0"/>
      <w:marBottom w:val="0"/>
      <w:divBdr>
        <w:top w:val="none" w:sz="0" w:space="0" w:color="auto"/>
        <w:left w:val="none" w:sz="0" w:space="0" w:color="auto"/>
        <w:bottom w:val="none" w:sz="0" w:space="0" w:color="auto"/>
        <w:right w:val="none" w:sz="0" w:space="0" w:color="auto"/>
      </w:divBdr>
    </w:div>
    <w:div w:id="1858495478">
      <w:bodyDiv w:val="1"/>
      <w:marLeft w:val="0"/>
      <w:marRight w:val="0"/>
      <w:marTop w:val="0"/>
      <w:marBottom w:val="0"/>
      <w:divBdr>
        <w:top w:val="none" w:sz="0" w:space="0" w:color="auto"/>
        <w:left w:val="none" w:sz="0" w:space="0" w:color="auto"/>
        <w:bottom w:val="none" w:sz="0" w:space="0" w:color="auto"/>
        <w:right w:val="none" w:sz="0" w:space="0" w:color="auto"/>
      </w:divBdr>
    </w:div>
    <w:div w:id="2015037651">
      <w:bodyDiv w:val="1"/>
      <w:marLeft w:val="0"/>
      <w:marRight w:val="0"/>
      <w:marTop w:val="0"/>
      <w:marBottom w:val="0"/>
      <w:divBdr>
        <w:top w:val="none" w:sz="0" w:space="0" w:color="auto"/>
        <w:left w:val="none" w:sz="0" w:space="0" w:color="auto"/>
        <w:bottom w:val="none" w:sz="0" w:space="0" w:color="auto"/>
        <w:right w:val="none" w:sz="0" w:space="0" w:color="auto"/>
      </w:divBdr>
    </w:div>
    <w:div w:id="2020544428">
      <w:bodyDiv w:val="1"/>
      <w:marLeft w:val="0"/>
      <w:marRight w:val="0"/>
      <w:marTop w:val="0"/>
      <w:marBottom w:val="0"/>
      <w:divBdr>
        <w:top w:val="none" w:sz="0" w:space="0" w:color="auto"/>
        <w:left w:val="none" w:sz="0" w:space="0" w:color="auto"/>
        <w:bottom w:val="none" w:sz="0" w:space="0" w:color="auto"/>
        <w:right w:val="none" w:sz="0" w:space="0" w:color="auto"/>
      </w:divBdr>
    </w:div>
    <w:div w:id="2057507442">
      <w:bodyDiv w:val="1"/>
      <w:marLeft w:val="0"/>
      <w:marRight w:val="0"/>
      <w:marTop w:val="0"/>
      <w:marBottom w:val="0"/>
      <w:divBdr>
        <w:top w:val="none" w:sz="0" w:space="0" w:color="auto"/>
        <w:left w:val="none" w:sz="0" w:space="0" w:color="auto"/>
        <w:bottom w:val="none" w:sz="0" w:space="0" w:color="auto"/>
        <w:right w:val="none" w:sz="0" w:space="0" w:color="auto"/>
      </w:divBdr>
    </w:div>
    <w:div w:id="21241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financeincommon.org/sites/default/files/2023-11/FINAL_MOA_FICS_Culture_Arts_Development.pdf" TargetMode="External"/><Relationship Id="rId2" Type="http://schemas.openxmlformats.org/officeDocument/2006/relationships/hyperlink" Target="https://unhabitat.org/sites/default/files/2023/11/sdg_11_synthesis_report_2023.pdf" TargetMode="External"/><Relationship Id="rId1" Type="http://schemas.openxmlformats.org/officeDocument/2006/relationships/hyperlink" Target="https://hlpf.un.org/sites/default/files/2023-07/SDG%20Progress%20Report%20Special%20Edition.pdf?_gl=1*chtwkr*_ga*ODc3OTYwODk0LjE2ODk5NDM5NzU.*_ga_TK9BQL5X7Z*MTcwNjA4NTkxMS41NS4wLjE3MDYwODU5MTUuMC4wL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E3FD54EE-5C26-463C-BBC7-F12BBF9DF0EF}"/>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4.xml><?xml version="1.0" encoding="utf-8"?>
<ds:datastoreItem xmlns:ds="http://schemas.openxmlformats.org/officeDocument/2006/customXml" ds:itemID="{B6904071-7775-4972-AD34-5ADD3E5D06D2}"/>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2484</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16616</CharactersWithSpaces>
  <SharedDoc>false</SharedDoc>
  <HLinks>
    <vt:vector size="30" baseType="variant">
      <vt:variant>
        <vt:i4>6815780</vt:i4>
      </vt:variant>
      <vt:variant>
        <vt:i4>0</vt:i4>
      </vt:variant>
      <vt:variant>
        <vt:i4>0</vt:i4>
      </vt:variant>
      <vt:variant>
        <vt:i4>5</vt:i4>
      </vt:variant>
      <vt:variant>
        <vt:lpwstr>https://sustainabledevelopment.un.org/frameworks/addisababaactionagenda</vt:lpwstr>
      </vt:variant>
      <vt:variant>
        <vt:lpwstr/>
      </vt:variant>
      <vt:variant>
        <vt:i4>5570603</vt:i4>
      </vt:variant>
      <vt:variant>
        <vt:i4>9</vt:i4>
      </vt:variant>
      <vt:variant>
        <vt:i4>0</vt:i4>
      </vt:variant>
      <vt:variant>
        <vt:i4>5</vt:i4>
      </vt:variant>
      <vt:variant>
        <vt:lpwstr>https://financeincommon.org/sites/default/files/2023-11/FINAL_MOA_FICS_Culture_Arts_Development.pdf</vt:lpwstr>
      </vt:variant>
      <vt:variant>
        <vt:lpwstr/>
      </vt:variant>
      <vt:variant>
        <vt:i4>7995447</vt:i4>
      </vt:variant>
      <vt:variant>
        <vt:i4>6</vt:i4>
      </vt:variant>
      <vt:variant>
        <vt:i4>0</vt:i4>
      </vt:variant>
      <vt:variant>
        <vt:i4>5</vt:i4>
      </vt:variant>
      <vt:variant>
        <vt:lpwstr>https://unhabitat.org/sites/default/files/2023/11/sdg_11_synthesis_report_2023.pdf</vt:lpwstr>
      </vt:variant>
      <vt:variant>
        <vt:lpwstr/>
      </vt:variant>
      <vt:variant>
        <vt:i4>1572882</vt:i4>
      </vt:variant>
      <vt:variant>
        <vt:i4>3</vt:i4>
      </vt:variant>
      <vt:variant>
        <vt:i4>0</vt:i4>
      </vt:variant>
      <vt:variant>
        <vt:i4>5</vt:i4>
      </vt:variant>
      <vt:variant>
        <vt:lpwstr>https://hlpf.un.org/sites/default/files/2023-07/SDG Progress Report Special Edition.pdf?_gl=1*chtwkr*_ga*ODc3OTYwODk0LjE2ODk5NDM5NzU.*_ga_TK9BQL5X7Z*MTcwNjA4NTkxMS41NS4wLjE3MDYwODU5MTUuMC4wLjA.</vt:lpwstr>
      </vt:variant>
      <vt:variant>
        <vt:lpwstr/>
      </vt:variant>
      <vt:variant>
        <vt:i4>7798828</vt:i4>
      </vt:variant>
      <vt:variant>
        <vt:i4>0</vt:i4>
      </vt:variant>
      <vt:variant>
        <vt:i4>0</vt:i4>
      </vt:variant>
      <vt:variant>
        <vt:i4>5</vt:i4>
      </vt:variant>
      <vt:variant>
        <vt:lpwstr>https://undocs.org/Home/Mobile?FinalSymbol=A%2FRES%2F78%2F231&amp;Language=E&amp;DeviceType=Desktop&amp;LangRequested=False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UNESCO_BSP</cp:lastModifiedBy>
  <cp:revision>3</cp:revision>
  <cp:lastPrinted>2024-10-16T17:00:00Z</cp:lastPrinted>
  <dcterms:created xsi:type="dcterms:W3CDTF">2024-10-16T17:43:00Z</dcterms:created>
  <dcterms:modified xsi:type="dcterms:W3CDTF">2024-10-16T17:53:00Z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