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6BC39" w14:textId="405F8DC8" w:rsidR="00F04054" w:rsidRPr="00F04054" w:rsidRDefault="00B37572" w:rsidP="00F04054">
      <w:pPr>
        <w:pStyle w:val="Heading1"/>
        <w:spacing w:before="0" w:line="360" w:lineRule="auto"/>
        <w:jc w:val="center"/>
        <w:rPr>
          <w:b/>
          <w:bCs/>
          <w:sz w:val="28"/>
          <w:szCs w:val="28"/>
        </w:rPr>
      </w:pPr>
      <w:r w:rsidRPr="00F04054">
        <w:rPr>
          <w:b/>
          <w:bCs/>
          <w:sz w:val="28"/>
          <w:szCs w:val="28"/>
        </w:rPr>
        <w:t xml:space="preserve">Financing </w:t>
      </w:r>
      <w:r w:rsidR="00251A33" w:rsidRPr="00F04054">
        <w:rPr>
          <w:b/>
          <w:bCs/>
          <w:sz w:val="28"/>
          <w:szCs w:val="28"/>
        </w:rPr>
        <w:t>Po</w:t>
      </w:r>
      <w:r w:rsidR="002C6D77" w:rsidRPr="00F04054">
        <w:rPr>
          <w:b/>
          <w:bCs/>
          <w:sz w:val="28"/>
          <w:szCs w:val="28"/>
        </w:rPr>
        <w:t xml:space="preserve">licy </w:t>
      </w:r>
      <w:r w:rsidRPr="00F04054">
        <w:rPr>
          <w:b/>
          <w:bCs/>
          <w:sz w:val="28"/>
          <w:szCs w:val="28"/>
        </w:rPr>
        <w:t>Brief</w:t>
      </w:r>
      <w:r w:rsidR="00174569" w:rsidRPr="00F04054">
        <w:rPr>
          <w:b/>
          <w:bCs/>
          <w:sz w:val="28"/>
          <w:szCs w:val="28"/>
        </w:rPr>
        <w:t xml:space="preserve"> Series </w:t>
      </w:r>
      <w:r w:rsidRPr="00F04054">
        <w:rPr>
          <w:b/>
          <w:bCs/>
          <w:sz w:val="28"/>
          <w:szCs w:val="28"/>
        </w:rPr>
        <w:t xml:space="preserve">– </w:t>
      </w:r>
      <w:r w:rsidR="00B52F12" w:rsidRPr="00F04054">
        <w:rPr>
          <w:b/>
          <w:bCs/>
          <w:sz w:val="28"/>
          <w:szCs w:val="28"/>
        </w:rPr>
        <w:t>Recommendations for</w:t>
      </w:r>
      <w:r w:rsidRPr="00F04054">
        <w:rPr>
          <w:b/>
          <w:bCs/>
          <w:sz w:val="28"/>
          <w:szCs w:val="28"/>
        </w:rPr>
        <w:t xml:space="preserve"> FfD4</w:t>
      </w:r>
    </w:p>
    <w:p w14:paraId="6A637073" w14:textId="71F56EA0" w:rsidR="00F04054" w:rsidRPr="00F04054" w:rsidRDefault="00F04054" w:rsidP="00F04054">
      <w:pPr>
        <w:spacing w:line="360" w:lineRule="auto"/>
        <w:jc w:val="center"/>
        <w:rPr>
          <w:rFonts w:asciiTheme="majorHAnsi" w:eastAsiaTheme="majorEastAsia" w:hAnsiTheme="majorHAnsi" w:cstheme="majorBidi"/>
          <w:b/>
          <w:bCs/>
          <w:i/>
          <w:iCs/>
          <w:color w:val="2F5496" w:themeColor="accent1" w:themeShade="BF"/>
          <w:sz w:val="28"/>
          <w:szCs w:val="28"/>
        </w:rPr>
      </w:pPr>
      <w:r w:rsidRPr="00F04054">
        <w:rPr>
          <w:rFonts w:asciiTheme="majorHAnsi" w:eastAsiaTheme="majorEastAsia" w:hAnsiTheme="majorHAnsi" w:cstheme="majorBidi"/>
          <w:b/>
          <w:bCs/>
          <w:i/>
          <w:iCs/>
          <w:color w:val="2F5496" w:themeColor="accent1" w:themeShade="BF"/>
          <w:sz w:val="28"/>
          <w:szCs w:val="28"/>
        </w:rPr>
        <w:t>Paper by UNESCO</w:t>
      </w:r>
    </w:p>
    <w:p w14:paraId="299E6DAC" w14:textId="77777777" w:rsidR="00F04054" w:rsidRPr="003E4314" w:rsidRDefault="00A0289C" w:rsidP="00B852E0">
      <w:pPr>
        <w:pStyle w:val="Heading1"/>
        <w:spacing w:before="0" w:line="240" w:lineRule="auto"/>
        <w:jc w:val="center"/>
        <w:rPr>
          <w:b/>
          <w:bCs/>
          <w:sz w:val="28"/>
          <w:szCs w:val="28"/>
          <w:u w:val="single"/>
        </w:rPr>
      </w:pPr>
      <w:r w:rsidRPr="003E4314">
        <w:rPr>
          <w:b/>
          <w:bCs/>
          <w:sz w:val="28"/>
          <w:szCs w:val="28"/>
          <w:u w:val="single"/>
        </w:rPr>
        <w:t xml:space="preserve">Closing the global SDG4 financing gap: </w:t>
      </w:r>
    </w:p>
    <w:p w14:paraId="33D102E9" w14:textId="3A6E040E" w:rsidR="00174569" w:rsidRPr="003E4314" w:rsidRDefault="00A0289C" w:rsidP="00B852E0">
      <w:pPr>
        <w:pStyle w:val="Heading1"/>
        <w:spacing w:before="0" w:line="240" w:lineRule="auto"/>
        <w:jc w:val="center"/>
        <w:rPr>
          <w:b/>
          <w:bCs/>
          <w:sz w:val="28"/>
          <w:szCs w:val="28"/>
          <w:u w:val="single"/>
        </w:rPr>
      </w:pPr>
      <w:r w:rsidRPr="003E4314">
        <w:rPr>
          <w:b/>
          <w:bCs/>
          <w:sz w:val="28"/>
          <w:szCs w:val="28"/>
          <w:u w:val="single"/>
        </w:rPr>
        <w:t>Accelerating sustainable financing solutions for Education</w:t>
      </w:r>
    </w:p>
    <w:p w14:paraId="1D01D4F8" w14:textId="77777777" w:rsidR="00F97EBE" w:rsidRDefault="00F97EBE" w:rsidP="00B852E0">
      <w:pPr>
        <w:spacing w:after="0" w:line="240" w:lineRule="auto"/>
      </w:pPr>
    </w:p>
    <w:p w14:paraId="4931A488" w14:textId="451BC6A7" w:rsidR="00B37572" w:rsidRPr="006E0763" w:rsidRDefault="00174569" w:rsidP="00B852E0">
      <w:pPr>
        <w:pStyle w:val="Heading2"/>
        <w:spacing w:before="0" w:line="240" w:lineRule="auto"/>
        <w:rPr>
          <w:b/>
          <w:bCs/>
        </w:rPr>
      </w:pPr>
      <w:r w:rsidRPr="006E0763">
        <w:rPr>
          <w:b/>
          <w:bCs/>
        </w:rPr>
        <w:t>Key messages</w:t>
      </w:r>
    </w:p>
    <w:p w14:paraId="478DA6D0" w14:textId="0F27ADBB" w:rsidR="00D218C3" w:rsidRPr="00B5685A" w:rsidRDefault="00D218C3" w:rsidP="00B852E0">
      <w:pPr>
        <w:pStyle w:val="ListParagraph"/>
        <w:numPr>
          <w:ilvl w:val="0"/>
          <w:numId w:val="13"/>
        </w:numPr>
        <w:spacing w:after="0" w:line="240" w:lineRule="auto"/>
        <w:jc w:val="both"/>
        <w:rPr>
          <w:sz w:val="21"/>
          <w:szCs w:val="21"/>
        </w:rPr>
      </w:pPr>
      <w:r w:rsidRPr="00B5685A">
        <w:rPr>
          <w:sz w:val="21"/>
          <w:szCs w:val="21"/>
        </w:rPr>
        <w:t xml:space="preserve">Despite global commitments to education and the importance of human capital development as a driver of sustainable economic growth, public financing for education remains inadequate. The cumulative annual financing gap for low- and lower-middle income countries to reach their national SDG4 targets by 2030 amounts to U$97 billion per year. </w:t>
      </w:r>
    </w:p>
    <w:p w14:paraId="630C2999" w14:textId="17128A9A" w:rsidR="00176A45" w:rsidRPr="00B5685A" w:rsidRDefault="00984FDD" w:rsidP="00B852E0">
      <w:pPr>
        <w:pStyle w:val="ListParagraph"/>
        <w:numPr>
          <w:ilvl w:val="0"/>
          <w:numId w:val="13"/>
        </w:numPr>
        <w:spacing w:after="0" w:line="240" w:lineRule="auto"/>
        <w:jc w:val="both"/>
        <w:rPr>
          <w:sz w:val="21"/>
          <w:szCs w:val="21"/>
        </w:rPr>
      </w:pPr>
      <w:r w:rsidRPr="00B5685A">
        <w:rPr>
          <w:sz w:val="21"/>
          <w:szCs w:val="21"/>
        </w:rPr>
        <w:t>While i</w:t>
      </w:r>
      <w:r w:rsidR="00DC368D" w:rsidRPr="00B5685A">
        <w:rPr>
          <w:sz w:val="21"/>
          <w:szCs w:val="21"/>
        </w:rPr>
        <w:t>nvesting in education yields significant social and economic returns both at individual and societal levels</w:t>
      </w:r>
      <w:r w:rsidRPr="00B5685A">
        <w:rPr>
          <w:sz w:val="21"/>
          <w:szCs w:val="21"/>
        </w:rPr>
        <w:t xml:space="preserve">, the </w:t>
      </w:r>
      <w:r w:rsidRPr="00B5685A">
        <w:rPr>
          <w:i/>
          <w:iCs/>
          <w:sz w:val="21"/>
          <w:szCs w:val="21"/>
        </w:rPr>
        <w:t>costs of not investing</w:t>
      </w:r>
      <w:r w:rsidRPr="00B5685A">
        <w:rPr>
          <w:sz w:val="21"/>
          <w:szCs w:val="21"/>
        </w:rPr>
        <w:t xml:space="preserve"> in education are colossal: </w:t>
      </w:r>
      <w:r w:rsidR="006E0763" w:rsidRPr="00B5685A">
        <w:rPr>
          <w:sz w:val="21"/>
          <w:szCs w:val="21"/>
        </w:rPr>
        <w:t xml:space="preserve">each year </w:t>
      </w:r>
      <w:r w:rsidRPr="00B5685A">
        <w:rPr>
          <w:sz w:val="21"/>
          <w:szCs w:val="21"/>
        </w:rPr>
        <w:t xml:space="preserve">governments stand to lose out on US$1.1 trillion in foregone revenue for early school leavers and US$3.3 trillion </w:t>
      </w:r>
      <w:r w:rsidR="00595B59">
        <w:rPr>
          <w:sz w:val="21"/>
          <w:szCs w:val="21"/>
        </w:rPr>
        <w:t xml:space="preserve">for </w:t>
      </w:r>
      <w:r w:rsidRPr="00B5685A">
        <w:rPr>
          <w:sz w:val="21"/>
          <w:szCs w:val="21"/>
        </w:rPr>
        <w:t>children without basic skills.</w:t>
      </w:r>
    </w:p>
    <w:p w14:paraId="5BC865CF" w14:textId="071E371B" w:rsidR="00D218C3" w:rsidRPr="00B5685A" w:rsidRDefault="00176A45" w:rsidP="00B852E0">
      <w:pPr>
        <w:pStyle w:val="ListParagraph"/>
        <w:numPr>
          <w:ilvl w:val="0"/>
          <w:numId w:val="13"/>
        </w:numPr>
        <w:spacing w:after="0" w:line="240" w:lineRule="auto"/>
        <w:jc w:val="both"/>
        <w:rPr>
          <w:sz w:val="21"/>
          <w:szCs w:val="21"/>
        </w:rPr>
      </w:pPr>
      <w:r w:rsidRPr="00B5685A">
        <w:rPr>
          <w:sz w:val="21"/>
          <w:szCs w:val="21"/>
        </w:rPr>
        <w:t xml:space="preserve">The cumulative underinvestment </w:t>
      </w:r>
      <w:r w:rsidR="00264411" w:rsidRPr="00B5685A">
        <w:rPr>
          <w:sz w:val="21"/>
          <w:szCs w:val="21"/>
        </w:rPr>
        <w:t xml:space="preserve">and the uneven distribution of resources </w:t>
      </w:r>
      <w:r w:rsidRPr="00B5685A">
        <w:rPr>
          <w:sz w:val="21"/>
          <w:szCs w:val="21"/>
        </w:rPr>
        <w:t>in education threatens to undermine not only the achievement of SDG4 but also broader development outcomes, including poverty reduction, gender equality, social stability, and climate action.</w:t>
      </w:r>
    </w:p>
    <w:p w14:paraId="6F8718BF" w14:textId="77777777" w:rsidR="00D218C3" w:rsidRPr="00B5685A" w:rsidRDefault="00D218C3" w:rsidP="00B852E0">
      <w:pPr>
        <w:pStyle w:val="ListParagraph"/>
        <w:numPr>
          <w:ilvl w:val="0"/>
          <w:numId w:val="13"/>
        </w:numPr>
        <w:spacing w:after="0" w:line="240" w:lineRule="auto"/>
        <w:jc w:val="both"/>
        <w:rPr>
          <w:sz w:val="21"/>
          <w:szCs w:val="21"/>
        </w:rPr>
      </w:pPr>
      <w:r w:rsidRPr="00B5685A">
        <w:rPr>
          <w:sz w:val="21"/>
          <w:szCs w:val="21"/>
        </w:rPr>
        <w:t xml:space="preserve">Increasing investments in education is </w:t>
      </w:r>
      <w:r w:rsidRPr="00B5685A">
        <w:rPr>
          <w:rFonts w:hint="eastAsia"/>
          <w:sz w:val="21"/>
          <w:szCs w:val="21"/>
        </w:rPr>
        <w:t xml:space="preserve">not only </w:t>
      </w:r>
      <w:r w:rsidRPr="00B5685A">
        <w:rPr>
          <w:sz w:val="21"/>
          <w:szCs w:val="21"/>
        </w:rPr>
        <w:t xml:space="preserve">a moral imperative </w:t>
      </w:r>
      <w:r w:rsidRPr="00B5685A">
        <w:rPr>
          <w:rFonts w:hint="eastAsia"/>
          <w:sz w:val="21"/>
          <w:szCs w:val="21"/>
        </w:rPr>
        <w:t xml:space="preserve">but also </w:t>
      </w:r>
      <w:r w:rsidRPr="00B5685A">
        <w:rPr>
          <w:sz w:val="21"/>
          <w:szCs w:val="21"/>
        </w:rPr>
        <w:t xml:space="preserve">an economic and strategic necessity to accelerate progress towards all SDGs. </w:t>
      </w:r>
    </w:p>
    <w:p w14:paraId="3184C2BF" w14:textId="718546F2" w:rsidR="00D218C3" w:rsidRPr="00B5685A" w:rsidRDefault="00D218C3" w:rsidP="00B852E0">
      <w:pPr>
        <w:pStyle w:val="ListParagraph"/>
        <w:numPr>
          <w:ilvl w:val="0"/>
          <w:numId w:val="13"/>
        </w:numPr>
        <w:spacing w:after="0" w:line="240" w:lineRule="auto"/>
        <w:jc w:val="both"/>
        <w:rPr>
          <w:sz w:val="21"/>
          <w:szCs w:val="21"/>
        </w:rPr>
      </w:pPr>
      <w:r w:rsidRPr="00B5685A">
        <w:rPr>
          <w:sz w:val="21"/>
          <w:szCs w:val="21"/>
        </w:rPr>
        <w:t>Without urgent and systemic action to address the SDG4 funding gap and increase the volume, efficiency, effectiveness and equity of financing education, millions of children and youth, particularly in low- and lower-middle-income countries, will be denied their right to a quality education, perpetuating cycles of poverty, inequality, and social exclusion.</w:t>
      </w:r>
    </w:p>
    <w:p w14:paraId="4A793AFA" w14:textId="77777777" w:rsidR="00DC368D" w:rsidRDefault="00DC368D" w:rsidP="00B852E0">
      <w:pPr>
        <w:spacing w:after="0" w:line="240" w:lineRule="auto"/>
      </w:pPr>
    </w:p>
    <w:p w14:paraId="0E77373B" w14:textId="39DF83AC" w:rsidR="00BF7165" w:rsidRPr="006E0763" w:rsidRDefault="00BF7165" w:rsidP="00B852E0">
      <w:pPr>
        <w:pStyle w:val="Heading2"/>
        <w:spacing w:before="0" w:line="240" w:lineRule="auto"/>
        <w:rPr>
          <w:b/>
          <w:bCs/>
        </w:rPr>
      </w:pPr>
      <w:r w:rsidRPr="006E0763">
        <w:rPr>
          <w:b/>
          <w:bCs/>
        </w:rPr>
        <w:t>Problem statement</w:t>
      </w:r>
    </w:p>
    <w:p w14:paraId="7FC80044" w14:textId="2DDF5F78" w:rsidR="00BF7165" w:rsidRPr="00B5685A" w:rsidRDefault="00BF7165" w:rsidP="00B852E0">
      <w:pPr>
        <w:spacing w:after="0" w:line="240" w:lineRule="auto"/>
        <w:jc w:val="both"/>
        <w:rPr>
          <w:sz w:val="21"/>
          <w:szCs w:val="21"/>
        </w:rPr>
      </w:pPr>
      <w:r w:rsidRPr="00B5685A">
        <w:rPr>
          <w:sz w:val="21"/>
          <w:szCs w:val="21"/>
        </w:rPr>
        <w:t>The world is significantly off track in achieving the 2030 Agenda for Sustainable Development. Since 2015, only 17% of the Sustainable Development Goals (SDG) targets are on track for achievement by 2030.</w:t>
      </w:r>
      <w:r w:rsidRPr="00B5685A">
        <w:rPr>
          <w:rStyle w:val="FootnoteReference"/>
          <w:sz w:val="21"/>
          <w:szCs w:val="21"/>
        </w:rPr>
        <w:footnoteReference w:id="1"/>
      </w:r>
      <w:r w:rsidRPr="00B5685A">
        <w:rPr>
          <w:sz w:val="21"/>
          <w:szCs w:val="21"/>
        </w:rPr>
        <w:t xml:space="preserve"> Worse, 35% of assessable targets have stagnated or regressed, particularly in education (SDG4), where progress is minimal and uneven. </w:t>
      </w:r>
      <w:r w:rsidR="0060219D">
        <w:rPr>
          <w:sz w:val="21"/>
          <w:szCs w:val="21"/>
        </w:rPr>
        <w:t>For SDG4, o</w:t>
      </w:r>
      <w:r w:rsidRPr="00B5685A">
        <w:rPr>
          <w:sz w:val="21"/>
          <w:szCs w:val="21"/>
        </w:rPr>
        <w:t xml:space="preserve">nly 17% of education-related targets are </w:t>
      </w:r>
      <w:r w:rsidR="005E6BF0">
        <w:rPr>
          <w:sz w:val="21"/>
          <w:szCs w:val="21"/>
        </w:rPr>
        <w:t xml:space="preserve">expected to be reached, </w:t>
      </w:r>
      <w:r w:rsidRPr="00B5685A">
        <w:rPr>
          <w:sz w:val="21"/>
          <w:szCs w:val="21"/>
        </w:rPr>
        <w:t xml:space="preserve">while almost half have stagnated or </w:t>
      </w:r>
      <w:r w:rsidR="00614288" w:rsidRPr="00B5685A">
        <w:rPr>
          <w:sz w:val="21"/>
          <w:szCs w:val="21"/>
        </w:rPr>
        <w:t xml:space="preserve">even </w:t>
      </w:r>
      <w:r w:rsidRPr="00B5685A">
        <w:rPr>
          <w:sz w:val="21"/>
          <w:szCs w:val="21"/>
        </w:rPr>
        <w:t>regressed</w:t>
      </w:r>
      <w:r w:rsidR="00614288" w:rsidRPr="00B5685A">
        <w:rPr>
          <w:sz w:val="21"/>
          <w:szCs w:val="21"/>
        </w:rPr>
        <w:t xml:space="preserve"> further</w:t>
      </w:r>
      <w:r w:rsidRPr="00B5685A">
        <w:rPr>
          <w:sz w:val="21"/>
          <w:szCs w:val="21"/>
        </w:rPr>
        <w:t>.</w:t>
      </w:r>
      <w:r w:rsidRPr="00B5685A">
        <w:rPr>
          <w:rStyle w:val="FootnoteReference"/>
          <w:sz w:val="21"/>
          <w:szCs w:val="21"/>
        </w:rPr>
        <w:footnoteReference w:id="2"/>
      </w:r>
      <w:r w:rsidRPr="00B5685A">
        <w:rPr>
          <w:sz w:val="21"/>
          <w:szCs w:val="21"/>
        </w:rPr>
        <w:t xml:space="preserve"> The COVID-19 pandemic has worsened an already-existing education crisis, amplifying issues related to equity, inclusion, quality, and relevance in education.</w:t>
      </w:r>
    </w:p>
    <w:p w14:paraId="36BF1FD3" w14:textId="77777777" w:rsidR="00BF7165" w:rsidRPr="00B5685A" w:rsidRDefault="00BF7165" w:rsidP="00B852E0">
      <w:pPr>
        <w:spacing w:after="0" w:line="240" w:lineRule="auto"/>
        <w:rPr>
          <w:sz w:val="21"/>
          <w:szCs w:val="21"/>
        </w:rPr>
      </w:pPr>
    </w:p>
    <w:p w14:paraId="5D34A383" w14:textId="0AF08997" w:rsidR="00BF7165" w:rsidRPr="00B5685A" w:rsidRDefault="00BF7165" w:rsidP="00B852E0">
      <w:pPr>
        <w:spacing w:after="0" w:line="240" w:lineRule="auto"/>
        <w:jc w:val="both"/>
        <w:rPr>
          <w:sz w:val="21"/>
          <w:szCs w:val="21"/>
        </w:rPr>
      </w:pPr>
      <w:r w:rsidRPr="00B5685A">
        <w:rPr>
          <w:sz w:val="21"/>
          <w:szCs w:val="21"/>
        </w:rPr>
        <w:t xml:space="preserve">A critical factor in this crisis is </w:t>
      </w:r>
      <w:r w:rsidR="00F56BB7" w:rsidRPr="00B5685A">
        <w:rPr>
          <w:sz w:val="21"/>
          <w:szCs w:val="21"/>
        </w:rPr>
        <w:t xml:space="preserve">the </w:t>
      </w:r>
      <w:r w:rsidRPr="00B5685A">
        <w:rPr>
          <w:sz w:val="21"/>
          <w:szCs w:val="21"/>
        </w:rPr>
        <w:t>chronic underfunding</w:t>
      </w:r>
      <w:r w:rsidR="00857038" w:rsidRPr="00B5685A">
        <w:rPr>
          <w:sz w:val="21"/>
          <w:szCs w:val="21"/>
        </w:rPr>
        <w:t xml:space="preserve"> of the education sector</w:t>
      </w:r>
      <w:r w:rsidRPr="00B5685A">
        <w:rPr>
          <w:sz w:val="21"/>
          <w:szCs w:val="21"/>
        </w:rPr>
        <w:t xml:space="preserve">, both domestically and internationally. In 2022, global spending on education reached </w:t>
      </w:r>
      <w:r w:rsidR="00F56BB7" w:rsidRPr="00B5685A">
        <w:rPr>
          <w:sz w:val="21"/>
          <w:szCs w:val="21"/>
        </w:rPr>
        <w:t>US</w:t>
      </w:r>
      <w:r w:rsidRPr="00B5685A">
        <w:rPr>
          <w:sz w:val="21"/>
          <w:szCs w:val="21"/>
        </w:rPr>
        <w:t xml:space="preserve">$5.8 trillion, mostly funded by governments. However, spending remains uneven across regions, widening the development gap. In low- and lower-middle-income countries, where most of the </w:t>
      </w:r>
      <w:r w:rsidR="00595B59">
        <w:rPr>
          <w:sz w:val="21"/>
          <w:szCs w:val="21"/>
        </w:rPr>
        <w:t xml:space="preserve">children who do not achieve minimum proficiency in reading and mathematics </w:t>
      </w:r>
      <w:r w:rsidRPr="00B5685A">
        <w:rPr>
          <w:sz w:val="21"/>
          <w:szCs w:val="21"/>
        </w:rPr>
        <w:t>live, public education spending remains insufficient. Approximately 41% of these countries fail to meet the benchmarks of spending at least 4-6% of GDP or 15-20% of public expenditure on education.</w:t>
      </w:r>
      <w:r w:rsidR="00A45850" w:rsidRPr="00B5685A">
        <w:rPr>
          <w:rStyle w:val="FootnoteReference"/>
          <w:rFonts w:ascii="Calibri" w:hAnsi="Calibri" w:cs="Calibri"/>
          <w:sz w:val="21"/>
          <w:szCs w:val="21"/>
          <w:shd w:val="clear" w:color="auto" w:fill="FFFFFF"/>
        </w:rPr>
        <w:footnoteReference w:id="3"/>
      </w:r>
      <w:r w:rsidR="00A45850" w:rsidRPr="00B5685A">
        <w:rPr>
          <w:rStyle w:val="eop"/>
          <w:rFonts w:ascii="Calibri" w:hAnsi="Calibri" w:cs="Calibri"/>
          <w:sz w:val="21"/>
          <w:szCs w:val="21"/>
          <w:shd w:val="clear" w:color="auto" w:fill="FFFFFF"/>
        </w:rPr>
        <w:t> </w:t>
      </w:r>
      <w:r w:rsidRPr="00B5685A">
        <w:rPr>
          <w:sz w:val="21"/>
          <w:szCs w:val="21"/>
        </w:rPr>
        <w:t xml:space="preserve">In 2022, governments in low-income countries spent just </w:t>
      </w:r>
      <w:r w:rsidR="00F56BB7" w:rsidRPr="00B5685A">
        <w:rPr>
          <w:sz w:val="21"/>
          <w:szCs w:val="21"/>
        </w:rPr>
        <w:t>US</w:t>
      </w:r>
      <w:r w:rsidRPr="00B5685A">
        <w:rPr>
          <w:sz w:val="21"/>
          <w:szCs w:val="21"/>
        </w:rPr>
        <w:t xml:space="preserve">$55 per learner annually, while high-income countries spent </w:t>
      </w:r>
      <w:r w:rsidR="00F56BB7" w:rsidRPr="00B5685A">
        <w:rPr>
          <w:sz w:val="21"/>
          <w:szCs w:val="21"/>
        </w:rPr>
        <w:t>US</w:t>
      </w:r>
      <w:r w:rsidRPr="00B5685A">
        <w:rPr>
          <w:sz w:val="21"/>
          <w:szCs w:val="21"/>
        </w:rPr>
        <w:t>$8,543 per learner, reflecting stark disparities. This lack of public funding often shifts the burden to households, particularly in poorer countries where household contributions make up a significant portion of education spending, further excluding disadvantaged children from schooling.</w:t>
      </w:r>
      <w:r w:rsidR="00A45850" w:rsidRPr="00B5685A">
        <w:rPr>
          <w:rStyle w:val="FootnoteReference"/>
          <w:rFonts w:ascii="Calibri" w:hAnsi="Calibri" w:cs="Calibri"/>
          <w:sz w:val="21"/>
          <w:szCs w:val="21"/>
        </w:rPr>
        <w:footnoteReference w:id="4"/>
      </w:r>
    </w:p>
    <w:p w14:paraId="4771CBD4" w14:textId="77777777" w:rsidR="00BF7165" w:rsidRPr="00B5685A" w:rsidRDefault="00BF7165" w:rsidP="00B852E0">
      <w:pPr>
        <w:spacing w:after="0" w:line="240" w:lineRule="auto"/>
        <w:rPr>
          <w:sz w:val="21"/>
          <w:szCs w:val="21"/>
        </w:rPr>
      </w:pPr>
    </w:p>
    <w:p w14:paraId="353D0086" w14:textId="16D255CA" w:rsidR="00984FDD" w:rsidRPr="00B5685A" w:rsidRDefault="00BF7165" w:rsidP="00B852E0">
      <w:pPr>
        <w:spacing w:after="0" w:line="240" w:lineRule="auto"/>
        <w:jc w:val="both"/>
        <w:rPr>
          <w:sz w:val="21"/>
          <w:szCs w:val="21"/>
        </w:rPr>
      </w:pPr>
      <w:r w:rsidRPr="00B5685A">
        <w:rPr>
          <w:sz w:val="21"/>
          <w:szCs w:val="21"/>
        </w:rPr>
        <w:lastRenderedPageBreak/>
        <w:t xml:space="preserve">Teachers are also </w:t>
      </w:r>
      <w:r w:rsidR="005E6BF0">
        <w:rPr>
          <w:sz w:val="21"/>
          <w:szCs w:val="21"/>
        </w:rPr>
        <w:t>underpaid</w:t>
      </w:r>
      <w:r w:rsidRPr="00B5685A">
        <w:rPr>
          <w:sz w:val="21"/>
          <w:szCs w:val="21"/>
        </w:rPr>
        <w:t>, with half of the world's countries paying educators less than similarly qualified professionals.</w:t>
      </w:r>
      <w:r w:rsidR="00666C66" w:rsidRPr="00B5685A">
        <w:rPr>
          <w:rStyle w:val="FootnoteReference"/>
          <w:rFonts w:ascii="Calibri" w:hAnsi="Calibri" w:cs="Calibri"/>
          <w:sz w:val="21"/>
          <w:szCs w:val="21"/>
        </w:rPr>
        <w:footnoteReference w:id="5"/>
      </w:r>
      <w:r w:rsidRPr="00B5685A">
        <w:rPr>
          <w:sz w:val="21"/>
          <w:szCs w:val="21"/>
        </w:rPr>
        <w:t xml:space="preserve"> Unsurprisingly, countries with the lowest per-child education expenditure report the poorest learning outcomes. This lack of investment in education, particularly in a rapidly changing global economy, has far-reaching consequences beyond national borders. </w:t>
      </w:r>
      <w:r w:rsidR="00984FDD" w:rsidRPr="00B5685A">
        <w:rPr>
          <w:sz w:val="21"/>
          <w:szCs w:val="21"/>
        </w:rPr>
        <w:t>The costs of not investing in education are colossal. Governments stand to lose out on US$1.1 trillion in foregone revenue each year for early school leavers and US$3.3 trillion per year for children without basic skills.</w:t>
      </w:r>
      <w:r w:rsidR="00984FDD" w:rsidRPr="00B5685A">
        <w:rPr>
          <w:rStyle w:val="FootnoteReference"/>
          <w:sz w:val="21"/>
          <w:szCs w:val="21"/>
        </w:rPr>
        <w:footnoteReference w:id="6"/>
      </w:r>
    </w:p>
    <w:p w14:paraId="1F832551" w14:textId="77777777" w:rsidR="00984FDD" w:rsidRPr="00B5685A" w:rsidRDefault="00984FDD" w:rsidP="00B852E0">
      <w:pPr>
        <w:spacing w:after="0" w:line="240" w:lineRule="auto"/>
        <w:jc w:val="both"/>
        <w:rPr>
          <w:sz w:val="21"/>
          <w:szCs w:val="21"/>
        </w:rPr>
      </w:pPr>
    </w:p>
    <w:p w14:paraId="73A56BCA" w14:textId="56E5327A" w:rsidR="00BF7165" w:rsidRPr="00B5685A" w:rsidRDefault="00BF7165" w:rsidP="00B852E0">
      <w:pPr>
        <w:spacing w:after="0" w:line="240" w:lineRule="auto"/>
        <w:jc w:val="both"/>
        <w:rPr>
          <w:sz w:val="21"/>
          <w:szCs w:val="21"/>
        </w:rPr>
      </w:pPr>
      <w:r w:rsidRPr="00B5685A">
        <w:rPr>
          <w:sz w:val="21"/>
          <w:szCs w:val="21"/>
        </w:rPr>
        <w:t xml:space="preserve">Despite the global importance of education, </w:t>
      </w:r>
      <w:r w:rsidR="005E6BF0">
        <w:rPr>
          <w:sz w:val="21"/>
          <w:szCs w:val="21"/>
        </w:rPr>
        <w:t xml:space="preserve">the share of </w:t>
      </w:r>
      <w:r w:rsidRPr="00B5685A">
        <w:rPr>
          <w:sz w:val="21"/>
          <w:szCs w:val="21"/>
        </w:rPr>
        <w:t xml:space="preserve">official development assistance (ODA) </w:t>
      </w:r>
      <w:r w:rsidR="005E6BF0">
        <w:rPr>
          <w:sz w:val="21"/>
          <w:szCs w:val="21"/>
        </w:rPr>
        <w:t xml:space="preserve">allocable to </w:t>
      </w:r>
      <w:r w:rsidRPr="00B5685A">
        <w:rPr>
          <w:sz w:val="21"/>
          <w:szCs w:val="21"/>
        </w:rPr>
        <w:t>education has been declining since 2002. While the share of ODA for health has increased from 15% to nearly 24%, education’s share has dropped from 12% to just 7.6%.</w:t>
      </w:r>
      <w:r w:rsidR="00666C66" w:rsidRPr="00B5685A">
        <w:rPr>
          <w:rStyle w:val="FootnoteReference"/>
          <w:rFonts w:ascii="Calibri" w:hAnsi="Calibri" w:cs="Calibri"/>
          <w:sz w:val="21"/>
          <w:szCs w:val="21"/>
        </w:rPr>
        <w:footnoteReference w:id="7"/>
      </w:r>
      <w:r w:rsidRPr="00B5685A">
        <w:rPr>
          <w:sz w:val="21"/>
          <w:szCs w:val="21"/>
        </w:rPr>
        <w:t xml:space="preserve"> </w:t>
      </w:r>
      <w:r w:rsidR="00C51F85">
        <w:rPr>
          <w:sz w:val="21"/>
          <w:szCs w:val="21"/>
        </w:rPr>
        <w:t>In 2022</w:t>
      </w:r>
      <w:r w:rsidRPr="00B5685A">
        <w:rPr>
          <w:sz w:val="21"/>
          <w:szCs w:val="21"/>
        </w:rPr>
        <w:t xml:space="preserve">, </w:t>
      </w:r>
      <w:r w:rsidR="00666C66" w:rsidRPr="00B5685A">
        <w:rPr>
          <w:sz w:val="21"/>
          <w:szCs w:val="21"/>
        </w:rPr>
        <w:t xml:space="preserve">the volume of </w:t>
      </w:r>
      <w:r w:rsidRPr="00B5685A">
        <w:rPr>
          <w:sz w:val="21"/>
          <w:szCs w:val="21"/>
        </w:rPr>
        <w:t xml:space="preserve">aid to education </w:t>
      </w:r>
      <w:r w:rsidR="00C51F85">
        <w:rPr>
          <w:sz w:val="21"/>
          <w:szCs w:val="21"/>
        </w:rPr>
        <w:t xml:space="preserve">reached </w:t>
      </w:r>
      <w:r w:rsidR="00666C66" w:rsidRPr="00B5685A">
        <w:rPr>
          <w:sz w:val="21"/>
          <w:szCs w:val="21"/>
        </w:rPr>
        <w:t>US</w:t>
      </w:r>
      <w:r w:rsidRPr="00B5685A">
        <w:rPr>
          <w:sz w:val="21"/>
          <w:szCs w:val="21"/>
        </w:rPr>
        <w:t>$16.</w:t>
      </w:r>
      <w:r w:rsidR="00C51F85">
        <w:rPr>
          <w:sz w:val="21"/>
          <w:szCs w:val="21"/>
        </w:rPr>
        <w:t>6</w:t>
      </w:r>
      <w:r w:rsidRPr="00B5685A">
        <w:rPr>
          <w:sz w:val="21"/>
          <w:szCs w:val="21"/>
        </w:rPr>
        <w:t xml:space="preserve"> billion</w:t>
      </w:r>
      <w:r w:rsidR="00666C66" w:rsidRPr="00B5685A">
        <w:rPr>
          <w:rStyle w:val="FootnoteReference"/>
          <w:rFonts w:ascii="Calibri" w:hAnsi="Calibri" w:cs="Calibri"/>
          <w:sz w:val="21"/>
          <w:szCs w:val="21"/>
        </w:rPr>
        <w:footnoteReference w:id="8"/>
      </w:r>
      <w:r w:rsidRPr="00B5685A">
        <w:rPr>
          <w:sz w:val="21"/>
          <w:szCs w:val="21"/>
        </w:rPr>
        <w:t xml:space="preserve">, </w:t>
      </w:r>
      <w:r w:rsidR="00C51F85">
        <w:rPr>
          <w:sz w:val="21"/>
          <w:szCs w:val="21"/>
        </w:rPr>
        <w:t xml:space="preserve">but </w:t>
      </w:r>
      <w:r w:rsidR="009C72E9">
        <w:rPr>
          <w:sz w:val="21"/>
          <w:szCs w:val="21"/>
        </w:rPr>
        <w:t xml:space="preserve">it </w:t>
      </w:r>
      <w:r w:rsidR="00C51F85">
        <w:rPr>
          <w:sz w:val="21"/>
          <w:szCs w:val="21"/>
        </w:rPr>
        <w:t>remains inadequate and</w:t>
      </w:r>
      <w:r w:rsidRPr="00B5685A">
        <w:rPr>
          <w:sz w:val="21"/>
          <w:szCs w:val="21"/>
        </w:rPr>
        <w:t xml:space="preserve"> unevenly distributed, with Sub-Saharan Africa, home to over half of the world’s out-of-school children, receiving less than a third of all ODA for basic education.</w:t>
      </w:r>
    </w:p>
    <w:p w14:paraId="2C25142D" w14:textId="77777777" w:rsidR="00BF7165" w:rsidRPr="00B5685A" w:rsidRDefault="00BF7165" w:rsidP="00B852E0">
      <w:pPr>
        <w:spacing w:after="0" w:line="240" w:lineRule="auto"/>
        <w:rPr>
          <w:sz w:val="21"/>
          <w:szCs w:val="21"/>
        </w:rPr>
      </w:pPr>
    </w:p>
    <w:p w14:paraId="2583DC7D" w14:textId="055448F1" w:rsidR="00BF7165" w:rsidRPr="00B5685A" w:rsidRDefault="00BF7165" w:rsidP="00B852E0">
      <w:pPr>
        <w:spacing w:after="0" w:line="240" w:lineRule="auto"/>
        <w:jc w:val="both"/>
        <w:rPr>
          <w:sz w:val="21"/>
          <w:szCs w:val="21"/>
        </w:rPr>
      </w:pPr>
      <w:r w:rsidRPr="00B5685A">
        <w:rPr>
          <w:sz w:val="21"/>
          <w:szCs w:val="21"/>
        </w:rPr>
        <w:t xml:space="preserve">A 2023 costing exercise revealed that achieving SDG4 in 79 low- and lower-middle-income countries would require </w:t>
      </w:r>
      <w:r w:rsidR="00666C66" w:rsidRPr="00B5685A">
        <w:rPr>
          <w:sz w:val="21"/>
          <w:szCs w:val="21"/>
        </w:rPr>
        <w:t>US</w:t>
      </w:r>
      <w:r w:rsidRPr="00B5685A">
        <w:rPr>
          <w:sz w:val="21"/>
          <w:szCs w:val="21"/>
        </w:rPr>
        <w:t>$461 billion annually from 2023 to 2030.</w:t>
      </w:r>
      <w:r w:rsidR="00984FDD" w:rsidRPr="00B5685A">
        <w:rPr>
          <w:rStyle w:val="FootnoteReference"/>
          <w:sz w:val="21"/>
          <w:szCs w:val="21"/>
        </w:rPr>
        <w:footnoteReference w:id="9"/>
      </w:r>
      <w:r w:rsidRPr="00B5685A">
        <w:rPr>
          <w:sz w:val="21"/>
          <w:szCs w:val="21"/>
        </w:rPr>
        <w:t xml:space="preserve"> However, these countries face a </w:t>
      </w:r>
      <w:r w:rsidR="006E0763" w:rsidRPr="00B5685A">
        <w:rPr>
          <w:sz w:val="21"/>
          <w:szCs w:val="21"/>
        </w:rPr>
        <w:t>substantial</w:t>
      </w:r>
      <w:r w:rsidRPr="00B5685A">
        <w:rPr>
          <w:sz w:val="21"/>
          <w:szCs w:val="21"/>
        </w:rPr>
        <w:t xml:space="preserve"> financing gap of </w:t>
      </w:r>
      <w:r w:rsidR="00666C66" w:rsidRPr="00B5685A">
        <w:rPr>
          <w:sz w:val="21"/>
          <w:szCs w:val="21"/>
        </w:rPr>
        <w:t>US</w:t>
      </w:r>
      <w:r w:rsidRPr="00B5685A">
        <w:rPr>
          <w:sz w:val="21"/>
          <w:szCs w:val="21"/>
        </w:rPr>
        <w:t>$97 billion per year, with Sub-Saharan Africa accounting for the largest share—</w:t>
      </w:r>
      <w:r w:rsidR="00666C66" w:rsidRPr="00B5685A">
        <w:rPr>
          <w:sz w:val="21"/>
          <w:szCs w:val="21"/>
        </w:rPr>
        <w:t>US</w:t>
      </w:r>
      <w:r w:rsidRPr="00B5685A">
        <w:rPr>
          <w:sz w:val="21"/>
          <w:szCs w:val="21"/>
        </w:rPr>
        <w:t xml:space="preserve">$70 billion annually. </w:t>
      </w:r>
      <w:r w:rsidR="00666C66" w:rsidRPr="00B5685A">
        <w:rPr>
          <w:sz w:val="21"/>
          <w:szCs w:val="21"/>
        </w:rPr>
        <w:t>These countries are home to the highest rates of out-of-school children, poor learning outcomes, and unequal access to education, yet they face severe resource constraints in addressing these challenges.</w:t>
      </w:r>
    </w:p>
    <w:p w14:paraId="4EAE6E97" w14:textId="77777777" w:rsidR="00BF7165" w:rsidRPr="00B5685A" w:rsidRDefault="00BF7165" w:rsidP="00B852E0">
      <w:pPr>
        <w:spacing w:after="0" w:line="240" w:lineRule="auto"/>
        <w:rPr>
          <w:sz w:val="21"/>
          <w:szCs w:val="21"/>
        </w:rPr>
      </w:pPr>
    </w:p>
    <w:p w14:paraId="14D58620" w14:textId="7A45F5AB" w:rsidR="00BF7165" w:rsidRPr="00B5685A" w:rsidRDefault="00A0289C" w:rsidP="00B852E0">
      <w:pPr>
        <w:spacing w:after="0" w:line="240" w:lineRule="auto"/>
        <w:jc w:val="both"/>
        <w:rPr>
          <w:sz w:val="21"/>
          <w:szCs w:val="21"/>
        </w:rPr>
      </w:pPr>
      <w:r w:rsidRPr="00B5685A">
        <w:rPr>
          <w:sz w:val="21"/>
          <w:szCs w:val="21"/>
        </w:rPr>
        <w:t xml:space="preserve">The ongoing crisis in education financing is further compounded by deteriorating macroeconomic conditions globally, </w:t>
      </w:r>
      <w:r w:rsidRPr="00494F19">
        <w:rPr>
          <w:sz w:val="21"/>
          <w:szCs w:val="21"/>
        </w:rPr>
        <w:t>increasing fiscal austerity.</w:t>
      </w:r>
      <w:r w:rsidR="00BF7165" w:rsidRPr="00494F19">
        <w:rPr>
          <w:sz w:val="21"/>
          <w:szCs w:val="21"/>
        </w:rPr>
        <w:t xml:space="preserve"> </w:t>
      </w:r>
      <w:r w:rsidR="003065B7" w:rsidRPr="00494F19">
        <w:rPr>
          <w:sz w:val="21"/>
          <w:szCs w:val="21"/>
        </w:rPr>
        <w:t xml:space="preserve">The accumulation of unsustainable levels of sovereign debt has pushed over half of lower-income </w:t>
      </w:r>
      <w:r w:rsidR="00D03E22" w:rsidRPr="00494F19">
        <w:rPr>
          <w:sz w:val="21"/>
          <w:szCs w:val="21"/>
        </w:rPr>
        <w:t xml:space="preserve">economies </w:t>
      </w:r>
      <w:r w:rsidR="003065B7" w:rsidRPr="00494F19">
        <w:rPr>
          <w:sz w:val="21"/>
          <w:szCs w:val="21"/>
        </w:rPr>
        <w:t>into debt distress and, in some cases, into default</w:t>
      </w:r>
      <w:r w:rsidR="00BF7165" w:rsidRPr="00494F19">
        <w:rPr>
          <w:sz w:val="21"/>
          <w:szCs w:val="21"/>
        </w:rPr>
        <w:t>.</w:t>
      </w:r>
      <w:r w:rsidR="008A1720" w:rsidRPr="00494F19">
        <w:rPr>
          <w:rStyle w:val="FootnoteReference"/>
          <w:rFonts w:ascii="Calibri" w:eastAsia="Poppins" w:hAnsi="Calibri" w:cs="Calibri"/>
          <w:color w:val="000000" w:themeColor="text1"/>
          <w:sz w:val="21"/>
          <w:szCs w:val="21"/>
        </w:rPr>
        <w:footnoteReference w:id="10"/>
      </w:r>
      <w:r w:rsidR="00BF7165" w:rsidRPr="00494F19">
        <w:rPr>
          <w:sz w:val="21"/>
          <w:szCs w:val="21"/>
        </w:rPr>
        <w:t xml:space="preserve"> </w:t>
      </w:r>
      <w:r w:rsidR="001F53DB" w:rsidRPr="00494F19">
        <w:rPr>
          <w:sz w:val="21"/>
          <w:szCs w:val="21"/>
        </w:rPr>
        <w:t>Government debt</w:t>
      </w:r>
      <w:r w:rsidR="00437626" w:rsidRPr="00494F19">
        <w:rPr>
          <w:sz w:val="21"/>
          <w:szCs w:val="21"/>
        </w:rPr>
        <w:t xml:space="preserve"> in low-income countries</w:t>
      </w:r>
      <w:r w:rsidR="001F53DB" w:rsidRPr="00494F19">
        <w:rPr>
          <w:sz w:val="21"/>
          <w:szCs w:val="21"/>
        </w:rPr>
        <w:t>, on average, now stands at 72% of GDP, an 18-year high.</w:t>
      </w:r>
      <w:r w:rsidR="001F53DB" w:rsidRPr="00494F19">
        <w:rPr>
          <w:rStyle w:val="FootnoteReference"/>
          <w:sz w:val="21"/>
          <w:szCs w:val="21"/>
        </w:rPr>
        <w:footnoteReference w:id="11"/>
      </w:r>
      <w:r w:rsidR="001F53DB" w:rsidRPr="00494F19">
        <w:rPr>
          <w:sz w:val="21"/>
          <w:szCs w:val="21"/>
        </w:rPr>
        <w:t xml:space="preserve"> </w:t>
      </w:r>
      <w:r w:rsidR="003065B7" w:rsidRPr="00494F19">
        <w:rPr>
          <w:sz w:val="21"/>
          <w:szCs w:val="21"/>
        </w:rPr>
        <w:t>Debt servicing obligations are now outpacing economic growth in many of these countries, sharply reducing the available fiscal space to fund essential public services, including education</w:t>
      </w:r>
      <w:r w:rsidR="00BF7165" w:rsidRPr="00494F19">
        <w:rPr>
          <w:sz w:val="21"/>
          <w:szCs w:val="21"/>
        </w:rPr>
        <w:t>.</w:t>
      </w:r>
      <w:r w:rsidR="008A1720" w:rsidRPr="00494F19">
        <w:rPr>
          <w:rStyle w:val="FootnoteReference"/>
          <w:rFonts w:ascii="Calibri" w:eastAsia="Poppins" w:hAnsi="Calibri" w:cs="Calibri"/>
          <w:color w:val="000000" w:themeColor="text1"/>
          <w:sz w:val="21"/>
          <w:szCs w:val="21"/>
        </w:rPr>
        <w:footnoteReference w:id="12"/>
      </w:r>
      <w:r w:rsidR="008A1720" w:rsidRPr="00494F19">
        <w:rPr>
          <w:rFonts w:ascii="Calibri" w:eastAsia="Poppins" w:hAnsi="Calibri" w:cs="Calibri"/>
          <w:color w:val="000000" w:themeColor="text1"/>
          <w:sz w:val="21"/>
          <w:szCs w:val="21"/>
        </w:rPr>
        <w:t xml:space="preserve"> </w:t>
      </w:r>
      <w:r w:rsidR="00BF7165" w:rsidRPr="00494F19">
        <w:rPr>
          <w:sz w:val="21"/>
          <w:szCs w:val="21"/>
        </w:rPr>
        <w:t>During the COVID-19 pandemic, a 1% increase in external debt corresponded to a 2.9% reduction in per-child education spending.</w:t>
      </w:r>
      <w:r w:rsidR="008A1720" w:rsidRPr="00494F19">
        <w:rPr>
          <w:rStyle w:val="FootnoteReference"/>
          <w:rFonts w:ascii="Calibri" w:eastAsia="Poppins" w:hAnsi="Calibri" w:cs="Calibri"/>
          <w:color w:val="000000" w:themeColor="text1"/>
          <w:sz w:val="21"/>
          <w:szCs w:val="21"/>
        </w:rPr>
        <w:footnoteReference w:id="13"/>
      </w:r>
      <w:r w:rsidR="008A1720" w:rsidRPr="00494F19">
        <w:rPr>
          <w:rFonts w:ascii="Calibri" w:eastAsia="Poppins" w:hAnsi="Calibri" w:cs="Calibri"/>
          <w:color w:val="000000" w:themeColor="text1"/>
          <w:sz w:val="21"/>
          <w:szCs w:val="21"/>
        </w:rPr>
        <w:t xml:space="preserve"> </w:t>
      </w:r>
      <w:r w:rsidR="00BF7165" w:rsidRPr="00494F19">
        <w:rPr>
          <w:sz w:val="21"/>
          <w:szCs w:val="21"/>
        </w:rPr>
        <w:t>As debt servicing obligations grow</w:t>
      </w:r>
      <w:r w:rsidR="00666C66" w:rsidRPr="00494F19">
        <w:rPr>
          <w:sz w:val="21"/>
          <w:szCs w:val="21"/>
        </w:rPr>
        <w:t xml:space="preserve"> and outpace economic growth</w:t>
      </w:r>
      <w:r w:rsidR="00BF7165" w:rsidRPr="00494F19">
        <w:rPr>
          <w:sz w:val="21"/>
          <w:szCs w:val="21"/>
        </w:rPr>
        <w:t>, governments are left with limited fiscal space to invest in essential public services, including education.</w:t>
      </w:r>
    </w:p>
    <w:p w14:paraId="5E874959" w14:textId="77777777" w:rsidR="00BF7165" w:rsidRPr="00B5685A" w:rsidRDefault="00BF7165" w:rsidP="00B852E0">
      <w:pPr>
        <w:spacing w:after="0" w:line="240" w:lineRule="auto"/>
        <w:rPr>
          <w:sz w:val="21"/>
          <w:szCs w:val="21"/>
        </w:rPr>
      </w:pPr>
    </w:p>
    <w:p w14:paraId="0715BF5D" w14:textId="77777777" w:rsidR="00BF7165" w:rsidRPr="00B5685A" w:rsidRDefault="00BF7165" w:rsidP="00B852E0">
      <w:pPr>
        <w:spacing w:after="0" w:line="240" w:lineRule="auto"/>
        <w:jc w:val="both"/>
        <w:rPr>
          <w:sz w:val="21"/>
          <w:szCs w:val="21"/>
        </w:rPr>
      </w:pPr>
      <w:r w:rsidRPr="00B5685A">
        <w:rPr>
          <w:sz w:val="21"/>
          <w:szCs w:val="21"/>
        </w:rPr>
        <w:t>At the same time, rising global inequalities, both within and between countries, are exacerbating educational disparities. Wealthier nations have stronger financial buffers to protect education systems from economic shocks, while poorer nations face mounting barriers to adequately fund their education sectors. This lack of equitable financing hits vulnerable populations hardest, including girls, children with disabilities, refugees, and marginalized communities, who are often the first to suffer when education systems are underfunded.</w:t>
      </w:r>
    </w:p>
    <w:p w14:paraId="685B1911" w14:textId="77777777" w:rsidR="00BF7165" w:rsidRPr="00B5685A" w:rsidRDefault="00BF7165" w:rsidP="00B852E0">
      <w:pPr>
        <w:spacing w:after="0" w:line="240" w:lineRule="auto"/>
        <w:rPr>
          <w:sz w:val="21"/>
          <w:szCs w:val="21"/>
        </w:rPr>
      </w:pPr>
    </w:p>
    <w:p w14:paraId="72FD81DA" w14:textId="09DD898E" w:rsidR="00BF7165" w:rsidRPr="00B5685A" w:rsidRDefault="00BF7165" w:rsidP="00B852E0">
      <w:pPr>
        <w:spacing w:after="0" w:line="240" w:lineRule="auto"/>
        <w:jc w:val="both"/>
        <w:rPr>
          <w:sz w:val="21"/>
          <w:szCs w:val="21"/>
        </w:rPr>
      </w:pPr>
      <w:r w:rsidRPr="00B5685A">
        <w:rPr>
          <w:sz w:val="21"/>
          <w:szCs w:val="21"/>
        </w:rPr>
        <w:t xml:space="preserve">Despite international commitments, public financing for education remains inadequate. With increasing competition for limited resources across sectors such as climate change, health, and social protection, underinvestment in education </w:t>
      </w:r>
      <w:r w:rsidRPr="00B5685A">
        <w:rPr>
          <w:sz w:val="21"/>
          <w:szCs w:val="21"/>
        </w:rPr>
        <w:lastRenderedPageBreak/>
        <w:t>threatens not only the achievement of SDG4 but also broader development goals like poverty reduction, gender equality, social stability, and climate action.</w:t>
      </w:r>
    </w:p>
    <w:p w14:paraId="60F55982" w14:textId="2FFEA9C4" w:rsidR="00A0289C" w:rsidRPr="00264411" w:rsidRDefault="00A0289C" w:rsidP="00B852E0">
      <w:pPr>
        <w:spacing w:after="0" w:line="240" w:lineRule="auto"/>
      </w:pPr>
    </w:p>
    <w:p w14:paraId="67C533ED" w14:textId="3A1B5A10" w:rsidR="00174569" w:rsidRPr="006E0763" w:rsidRDefault="00174569" w:rsidP="00B852E0">
      <w:pPr>
        <w:pStyle w:val="Heading2"/>
        <w:spacing w:before="0" w:line="240" w:lineRule="auto"/>
        <w:rPr>
          <w:b/>
          <w:bCs/>
        </w:rPr>
      </w:pPr>
      <w:r w:rsidRPr="006E0763">
        <w:rPr>
          <w:b/>
          <w:bCs/>
        </w:rPr>
        <w:t>Policy solutions</w:t>
      </w:r>
    </w:p>
    <w:p w14:paraId="10D5F526" w14:textId="67728774" w:rsidR="006E6FB1" w:rsidRPr="00B5685A" w:rsidRDefault="006E6FB1" w:rsidP="00B852E0">
      <w:pPr>
        <w:spacing w:after="0" w:line="240" w:lineRule="auto"/>
        <w:jc w:val="both"/>
        <w:rPr>
          <w:sz w:val="21"/>
          <w:szCs w:val="21"/>
        </w:rPr>
      </w:pPr>
      <w:r w:rsidRPr="00B5685A">
        <w:rPr>
          <w:sz w:val="21"/>
          <w:szCs w:val="21"/>
        </w:rPr>
        <w:t>Without urgent and systemic action to address the SDG4 funding gap and increase the volume, efficiency</w:t>
      </w:r>
      <w:r w:rsidR="008A4617" w:rsidRPr="00B5685A">
        <w:rPr>
          <w:sz w:val="21"/>
          <w:szCs w:val="21"/>
        </w:rPr>
        <w:t>, effectiveness</w:t>
      </w:r>
      <w:r w:rsidRPr="00B5685A">
        <w:rPr>
          <w:sz w:val="21"/>
          <w:szCs w:val="21"/>
        </w:rPr>
        <w:t xml:space="preserve"> and equity of financing education, millions of children and youth, particularly in low- and lower-middle-income countries, will be denied their right to a quality education, perpetuating cycles of poverty, inequality, and social exclusion.</w:t>
      </w:r>
    </w:p>
    <w:p w14:paraId="611021FF" w14:textId="77777777" w:rsidR="00A0289C" w:rsidRPr="00B5685A" w:rsidRDefault="00A0289C" w:rsidP="00B852E0">
      <w:pPr>
        <w:spacing w:after="0" w:line="240" w:lineRule="auto"/>
        <w:jc w:val="both"/>
        <w:rPr>
          <w:sz w:val="21"/>
          <w:szCs w:val="21"/>
        </w:rPr>
      </w:pPr>
    </w:p>
    <w:p w14:paraId="57D13B1F" w14:textId="1BFBCCB1" w:rsidR="006E6FB1" w:rsidRPr="00B5685A" w:rsidRDefault="008F21DB" w:rsidP="00B852E0">
      <w:pPr>
        <w:spacing w:after="0" w:line="240" w:lineRule="auto"/>
        <w:jc w:val="both"/>
        <w:rPr>
          <w:sz w:val="21"/>
          <w:szCs w:val="21"/>
        </w:rPr>
      </w:pPr>
      <w:r w:rsidRPr="00B5685A">
        <w:rPr>
          <w:sz w:val="21"/>
          <w:szCs w:val="21"/>
        </w:rPr>
        <w:t xml:space="preserve">New </w:t>
      </w:r>
      <w:r w:rsidR="008A4617" w:rsidRPr="00B5685A">
        <w:rPr>
          <w:sz w:val="21"/>
          <w:szCs w:val="21"/>
        </w:rPr>
        <w:t>and enhanced</w:t>
      </w:r>
      <w:r w:rsidR="00A0289C" w:rsidRPr="00B5685A">
        <w:rPr>
          <w:sz w:val="21"/>
          <w:szCs w:val="21"/>
        </w:rPr>
        <w:t xml:space="preserve"> sustainable</w:t>
      </w:r>
      <w:r w:rsidR="008A4617" w:rsidRPr="00B5685A">
        <w:rPr>
          <w:sz w:val="21"/>
          <w:szCs w:val="21"/>
        </w:rPr>
        <w:t xml:space="preserve"> </w:t>
      </w:r>
      <w:r w:rsidRPr="00B5685A">
        <w:rPr>
          <w:sz w:val="21"/>
          <w:szCs w:val="21"/>
        </w:rPr>
        <w:t>financing strategies, including innovative approaches, are required. Priorities</w:t>
      </w:r>
      <w:r w:rsidR="006E6FB1" w:rsidRPr="00B5685A">
        <w:rPr>
          <w:sz w:val="21"/>
          <w:szCs w:val="21"/>
        </w:rPr>
        <w:t xml:space="preserve"> </w:t>
      </w:r>
      <w:r w:rsidRPr="00B5685A">
        <w:rPr>
          <w:sz w:val="21"/>
          <w:szCs w:val="21"/>
        </w:rPr>
        <w:t xml:space="preserve">to expand fiscal space for social investments </w:t>
      </w:r>
      <w:r w:rsidR="006E6FB1" w:rsidRPr="00B5685A">
        <w:rPr>
          <w:sz w:val="21"/>
          <w:szCs w:val="21"/>
        </w:rPr>
        <w:t xml:space="preserve">include </w:t>
      </w:r>
      <w:r w:rsidRPr="00B5685A">
        <w:rPr>
          <w:sz w:val="21"/>
          <w:szCs w:val="21"/>
        </w:rPr>
        <w:t>increased</w:t>
      </w:r>
      <w:r w:rsidR="006E6FB1" w:rsidRPr="00B5685A">
        <w:rPr>
          <w:sz w:val="21"/>
          <w:szCs w:val="21"/>
        </w:rPr>
        <w:t xml:space="preserve"> domestic resource mobilization, </w:t>
      </w:r>
      <w:r w:rsidR="008A4617" w:rsidRPr="00B5685A">
        <w:rPr>
          <w:sz w:val="21"/>
          <w:szCs w:val="21"/>
        </w:rPr>
        <w:t>stronger</w:t>
      </w:r>
      <w:r w:rsidRPr="00B5685A">
        <w:rPr>
          <w:sz w:val="21"/>
          <w:szCs w:val="21"/>
        </w:rPr>
        <w:t xml:space="preserve"> </w:t>
      </w:r>
      <w:r w:rsidR="006E6FB1" w:rsidRPr="00B5685A">
        <w:rPr>
          <w:sz w:val="21"/>
          <w:szCs w:val="21"/>
        </w:rPr>
        <w:t xml:space="preserve">international cooperation, and </w:t>
      </w:r>
      <w:r w:rsidR="008A4617" w:rsidRPr="00B5685A">
        <w:rPr>
          <w:sz w:val="21"/>
          <w:szCs w:val="21"/>
        </w:rPr>
        <w:t>renewed</w:t>
      </w:r>
      <w:r w:rsidRPr="00B5685A">
        <w:rPr>
          <w:sz w:val="21"/>
          <w:szCs w:val="21"/>
        </w:rPr>
        <w:t xml:space="preserve"> </w:t>
      </w:r>
      <w:r w:rsidR="006E6FB1" w:rsidRPr="00B5685A">
        <w:rPr>
          <w:sz w:val="21"/>
          <w:szCs w:val="21"/>
        </w:rPr>
        <w:t>mechanisms for debt relief and restructuring. Without th</w:t>
      </w:r>
      <w:r w:rsidRPr="00B5685A">
        <w:rPr>
          <w:sz w:val="21"/>
          <w:szCs w:val="21"/>
        </w:rPr>
        <w:t>is</w:t>
      </w:r>
      <w:r w:rsidR="006E6FB1" w:rsidRPr="00B5685A">
        <w:rPr>
          <w:sz w:val="21"/>
          <w:szCs w:val="21"/>
        </w:rPr>
        <w:t xml:space="preserve"> concerted effort</w:t>
      </w:r>
      <w:r w:rsidR="008A4617" w:rsidRPr="00B5685A">
        <w:rPr>
          <w:sz w:val="21"/>
          <w:szCs w:val="21"/>
        </w:rPr>
        <w:t xml:space="preserve"> on financing</w:t>
      </w:r>
      <w:r w:rsidR="006E6FB1" w:rsidRPr="00B5685A">
        <w:rPr>
          <w:sz w:val="21"/>
          <w:szCs w:val="21"/>
        </w:rPr>
        <w:t>, the global education crisis will deepen, jeopardizing the achievement of the 2030 Agenda.</w:t>
      </w:r>
    </w:p>
    <w:p w14:paraId="1754B898" w14:textId="77777777" w:rsidR="00A0289C" w:rsidRPr="00B5685A" w:rsidRDefault="00A0289C" w:rsidP="00B852E0">
      <w:pPr>
        <w:spacing w:after="0" w:line="240" w:lineRule="auto"/>
        <w:jc w:val="both"/>
        <w:rPr>
          <w:sz w:val="21"/>
          <w:szCs w:val="21"/>
        </w:rPr>
      </w:pPr>
    </w:p>
    <w:p w14:paraId="37D87A16" w14:textId="68EE9110" w:rsidR="0040111B" w:rsidRPr="00B5685A" w:rsidRDefault="007A67BA" w:rsidP="00B852E0">
      <w:pPr>
        <w:spacing w:after="0" w:line="240" w:lineRule="auto"/>
        <w:jc w:val="both"/>
        <w:rPr>
          <w:rFonts w:ascii="Calibri" w:hAnsi="Calibri" w:cs="Calibri"/>
          <w:sz w:val="21"/>
          <w:szCs w:val="21"/>
        </w:rPr>
      </w:pPr>
      <w:r w:rsidRPr="00B5685A">
        <w:rPr>
          <w:sz w:val="21"/>
          <w:szCs w:val="21"/>
        </w:rPr>
        <w:t>Governments must</w:t>
      </w:r>
      <w:r w:rsidR="008F21DB" w:rsidRPr="00B5685A">
        <w:rPr>
          <w:sz w:val="21"/>
          <w:szCs w:val="21"/>
        </w:rPr>
        <w:t xml:space="preserve">, first and foremost, </w:t>
      </w:r>
      <w:r w:rsidRPr="00B5685A">
        <w:rPr>
          <w:sz w:val="21"/>
          <w:szCs w:val="21"/>
        </w:rPr>
        <w:t xml:space="preserve">continue to prioritize domestic resource mobilization to create additional resources for education. The central focus </w:t>
      </w:r>
      <w:r w:rsidR="00173F46" w:rsidRPr="00B5685A">
        <w:rPr>
          <w:sz w:val="21"/>
          <w:szCs w:val="21"/>
        </w:rPr>
        <w:t>should be</w:t>
      </w:r>
      <w:r w:rsidRPr="00B5685A">
        <w:rPr>
          <w:sz w:val="21"/>
          <w:szCs w:val="21"/>
        </w:rPr>
        <w:t xml:space="preserve"> </w:t>
      </w:r>
      <w:r w:rsidR="00AE6C3E" w:rsidRPr="00B5685A">
        <w:rPr>
          <w:sz w:val="21"/>
          <w:szCs w:val="21"/>
        </w:rPr>
        <w:t xml:space="preserve">on </w:t>
      </w:r>
      <w:r w:rsidRPr="00B5685A">
        <w:rPr>
          <w:sz w:val="21"/>
          <w:szCs w:val="21"/>
        </w:rPr>
        <w:t>expanding tax bases</w:t>
      </w:r>
      <w:r w:rsidR="0040111B" w:rsidRPr="00B5685A">
        <w:rPr>
          <w:sz w:val="21"/>
          <w:szCs w:val="21"/>
        </w:rPr>
        <w:t xml:space="preserve"> and raising the </w:t>
      </w:r>
      <w:r w:rsidR="0040111B" w:rsidRPr="00B5685A">
        <w:rPr>
          <w:rFonts w:ascii="Calibri" w:hAnsi="Calibri" w:cs="Calibri"/>
          <w:sz w:val="21"/>
          <w:szCs w:val="21"/>
        </w:rPr>
        <w:t xml:space="preserve">tax-to-GDP ratio to 15%, which is considered necessary to finance basic state functions and social service delivery.  </w:t>
      </w:r>
      <w:r w:rsidR="00AE6C3E" w:rsidRPr="00B5685A">
        <w:rPr>
          <w:rFonts w:ascii="Calibri" w:hAnsi="Calibri" w:cs="Calibri"/>
          <w:sz w:val="21"/>
          <w:szCs w:val="21"/>
        </w:rPr>
        <w:t>Countries</w:t>
      </w:r>
      <w:r w:rsidR="0040111B" w:rsidRPr="00B5685A">
        <w:rPr>
          <w:rFonts w:ascii="Calibri" w:hAnsi="Calibri" w:cs="Calibri"/>
          <w:sz w:val="21"/>
          <w:szCs w:val="21"/>
        </w:rPr>
        <w:t xml:space="preserve"> should allocat</w:t>
      </w:r>
      <w:r w:rsidR="0040111B" w:rsidRPr="00B5685A">
        <w:rPr>
          <w:rFonts w:ascii="Calibri" w:hAnsi="Calibri" w:cs="Calibri" w:hint="eastAsia"/>
          <w:sz w:val="21"/>
          <w:szCs w:val="21"/>
        </w:rPr>
        <w:t>e</w:t>
      </w:r>
      <w:r w:rsidR="0040111B" w:rsidRPr="00B5685A">
        <w:rPr>
          <w:rFonts w:ascii="Calibri" w:hAnsi="Calibri" w:cs="Calibri"/>
          <w:sz w:val="21"/>
          <w:szCs w:val="21"/>
        </w:rPr>
        <w:t xml:space="preserve"> at least 4-6% of </w:t>
      </w:r>
      <w:r w:rsidR="00AE6C3E" w:rsidRPr="00B5685A">
        <w:rPr>
          <w:rFonts w:ascii="Calibri" w:hAnsi="Calibri" w:cs="Calibri"/>
          <w:sz w:val="21"/>
          <w:szCs w:val="21"/>
        </w:rPr>
        <w:t xml:space="preserve">their </w:t>
      </w:r>
      <w:r w:rsidR="0040111B" w:rsidRPr="00B5685A">
        <w:rPr>
          <w:rFonts w:ascii="Calibri" w:hAnsi="Calibri" w:cs="Calibri"/>
          <w:sz w:val="21"/>
          <w:szCs w:val="21"/>
        </w:rPr>
        <w:t xml:space="preserve">GDP and/or at least 15-20% of total </w:t>
      </w:r>
      <w:r w:rsidR="00AF3FE2">
        <w:rPr>
          <w:rFonts w:ascii="Calibri" w:hAnsi="Calibri" w:cs="Calibri"/>
          <w:sz w:val="21"/>
          <w:szCs w:val="21"/>
        </w:rPr>
        <w:t>g</w:t>
      </w:r>
      <w:r w:rsidR="00AE6C3E" w:rsidRPr="00B5685A">
        <w:rPr>
          <w:rFonts w:ascii="Calibri" w:hAnsi="Calibri" w:cs="Calibri"/>
          <w:sz w:val="21"/>
          <w:szCs w:val="21"/>
        </w:rPr>
        <w:t xml:space="preserve">overnment </w:t>
      </w:r>
      <w:r w:rsidR="0040111B" w:rsidRPr="00B5685A">
        <w:rPr>
          <w:rFonts w:ascii="Calibri" w:hAnsi="Calibri" w:cs="Calibri"/>
          <w:sz w:val="21"/>
          <w:szCs w:val="21"/>
        </w:rPr>
        <w:t>expenditure</w:t>
      </w:r>
      <w:r w:rsidR="00AE6C3E" w:rsidRPr="00B5685A">
        <w:rPr>
          <w:rFonts w:ascii="Calibri" w:hAnsi="Calibri" w:cs="Calibri"/>
          <w:sz w:val="21"/>
          <w:szCs w:val="21"/>
        </w:rPr>
        <w:t xml:space="preserve">s </w:t>
      </w:r>
      <w:r w:rsidR="0040111B" w:rsidRPr="00B5685A">
        <w:rPr>
          <w:rFonts w:ascii="Calibri" w:hAnsi="Calibri" w:cs="Calibri"/>
          <w:sz w:val="21"/>
          <w:szCs w:val="21"/>
        </w:rPr>
        <w:t>to education.</w:t>
      </w:r>
    </w:p>
    <w:p w14:paraId="3ECC17B7" w14:textId="77777777" w:rsidR="00A0289C" w:rsidRPr="00B5685A" w:rsidRDefault="00A0289C" w:rsidP="00B852E0">
      <w:pPr>
        <w:spacing w:after="0" w:line="240" w:lineRule="auto"/>
        <w:jc w:val="both"/>
        <w:rPr>
          <w:sz w:val="21"/>
          <w:szCs w:val="21"/>
        </w:rPr>
      </w:pPr>
    </w:p>
    <w:p w14:paraId="353123CF" w14:textId="7D939007" w:rsidR="007A67BA" w:rsidRPr="00B5685A" w:rsidRDefault="007A67BA" w:rsidP="00B852E0">
      <w:pPr>
        <w:spacing w:after="0" w:line="240" w:lineRule="auto"/>
        <w:jc w:val="both"/>
        <w:rPr>
          <w:sz w:val="21"/>
          <w:szCs w:val="21"/>
        </w:rPr>
      </w:pPr>
      <w:r w:rsidRPr="00B5685A">
        <w:rPr>
          <w:sz w:val="21"/>
          <w:szCs w:val="21"/>
        </w:rPr>
        <w:t xml:space="preserve">Progressive tax reforms can ensure that </w:t>
      </w:r>
      <w:r w:rsidR="00173F46" w:rsidRPr="00B5685A">
        <w:rPr>
          <w:sz w:val="21"/>
          <w:szCs w:val="21"/>
        </w:rPr>
        <w:t>more affluent</w:t>
      </w:r>
      <w:r w:rsidRPr="00B5685A">
        <w:rPr>
          <w:sz w:val="21"/>
          <w:szCs w:val="21"/>
        </w:rPr>
        <w:t xml:space="preserve"> corporations and individuals contribute their fair share, while integrating </w:t>
      </w:r>
      <w:r w:rsidR="006A3DB2" w:rsidRPr="00B5685A">
        <w:rPr>
          <w:sz w:val="21"/>
          <w:szCs w:val="21"/>
        </w:rPr>
        <w:t xml:space="preserve">the </w:t>
      </w:r>
      <w:r w:rsidRPr="00B5685A">
        <w:rPr>
          <w:sz w:val="21"/>
          <w:szCs w:val="21"/>
        </w:rPr>
        <w:t>informal econom</w:t>
      </w:r>
      <w:r w:rsidR="006A3DB2" w:rsidRPr="00B5685A">
        <w:rPr>
          <w:sz w:val="21"/>
          <w:szCs w:val="21"/>
        </w:rPr>
        <w:t>y</w:t>
      </w:r>
      <w:r w:rsidRPr="00B5685A">
        <w:rPr>
          <w:sz w:val="21"/>
          <w:szCs w:val="21"/>
        </w:rPr>
        <w:t xml:space="preserve"> into the formal tax system can broaden the tax base and increase revenue.</w:t>
      </w:r>
      <w:r w:rsidR="00173F46" w:rsidRPr="00B5685A">
        <w:rPr>
          <w:sz w:val="21"/>
          <w:szCs w:val="21"/>
        </w:rPr>
        <w:t xml:space="preserve"> </w:t>
      </w:r>
      <w:r w:rsidRPr="00B5685A">
        <w:rPr>
          <w:sz w:val="21"/>
          <w:szCs w:val="21"/>
        </w:rPr>
        <w:t xml:space="preserve">Enhancing the capacity of tax authorities </w:t>
      </w:r>
      <w:r w:rsidR="0040111B" w:rsidRPr="00B5685A">
        <w:rPr>
          <w:sz w:val="21"/>
          <w:szCs w:val="21"/>
        </w:rPr>
        <w:t>and improving tax collection mechanisms are</w:t>
      </w:r>
      <w:r w:rsidRPr="00B5685A">
        <w:rPr>
          <w:sz w:val="21"/>
          <w:szCs w:val="21"/>
        </w:rPr>
        <w:t xml:space="preserve"> crucial for improving tax compliance and reducing tax evasion</w:t>
      </w:r>
      <w:r w:rsidR="00173F46" w:rsidRPr="00B5685A">
        <w:rPr>
          <w:sz w:val="21"/>
          <w:szCs w:val="21"/>
        </w:rPr>
        <w:t>, along with s</w:t>
      </w:r>
      <w:r w:rsidRPr="00B5685A">
        <w:rPr>
          <w:sz w:val="21"/>
          <w:szCs w:val="21"/>
        </w:rPr>
        <w:t xml:space="preserve">implifying tax codes </w:t>
      </w:r>
      <w:r w:rsidR="00173F46" w:rsidRPr="00B5685A">
        <w:rPr>
          <w:sz w:val="21"/>
          <w:szCs w:val="21"/>
        </w:rPr>
        <w:t>to</w:t>
      </w:r>
      <w:r w:rsidRPr="00B5685A">
        <w:rPr>
          <w:sz w:val="21"/>
          <w:szCs w:val="21"/>
        </w:rPr>
        <w:t xml:space="preserve"> encourage compliance.</w:t>
      </w:r>
      <w:r w:rsidR="00173F46" w:rsidRPr="00B5685A">
        <w:rPr>
          <w:sz w:val="21"/>
          <w:szCs w:val="21"/>
        </w:rPr>
        <w:t xml:space="preserve"> </w:t>
      </w:r>
      <w:r w:rsidRPr="00B5685A">
        <w:rPr>
          <w:sz w:val="21"/>
          <w:szCs w:val="21"/>
        </w:rPr>
        <w:t xml:space="preserve">International </w:t>
      </w:r>
      <w:r w:rsidR="005C0FEA" w:rsidRPr="00B5685A">
        <w:rPr>
          <w:sz w:val="21"/>
          <w:szCs w:val="21"/>
        </w:rPr>
        <w:t xml:space="preserve">and regional </w:t>
      </w:r>
      <w:r w:rsidRPr="00B5685A">
        <w:rPr>
          <w:sz w:val="21"/>
          <w:szCs w:val="21"/>
        </w:rPr>
        <w:t xml:space="preserve">cooperation is </w:t>
      </w:r>
      <w:r w:rsidR="006A3DB2" w:rsidRPr="00B5685A">
        <w:rPr>
          <w:sz w:val="21"/>
          <w:szCs w:val="21"/>
        </w:rPr>
        <w:t>needed</w:t>
      </w:r>
      <w:r w:rsidRPr="00B5685A">
        <w:rPr>
          <w:sz w:val="21"/>
          <w:szCs w:val="21"/>
        </w:rPr>
        <w:t xml:space="preserve"> to </w:t>
      </w:r>
      <w:r w:rsidR="005C0FEA" w:rsidRPr="00B5685A">
        <w:rPr>
          <w:sz w:val="21"/>
          <w:szCs w:val="21"/>
        </w:rPr>
        <w:t>harmonize taxes</w:t>
      </w:r>
      <w:r w:rsidR="00872304" w:rsidRPr="00B5685A">
        <w:rPr>
          <w:sz w:val="21"/>
          <w:szCs w:val="21"/>
        </w:rPr>
        <w:t xml:space="preserve"> and </w:t>
      </w:r>
      <w:r w:rsidRPr="00B5685A">
        <w:rPr>
          <w:sz w:val="21"/>
          <w:szCs w:val="21"/>
        </w:rPr>
        <w:t xml:space="preserve">combat illicit financial flows and tax evasion. </w:t>
      </w:r>
    </w:p>
    <w:p w14:paraId="37B7ECBF" w14:textId="77777777" w:rsidR="00A0289C" w:rsidRPr="00B5685A" w:rsidRDefault="00A0289C" w:rsidP="00B852E0">
      <w:pPr>
        <w:spacing w:after="0" w:line="240" w:lineRule="auto"/>
        <w:jc w:val="both"/>
        <w:rPr>
          <w:sz w:val="21"/>
          <w:szCs w:val="21"/>
        </w:rPr>
      </w:pPr>
    </w:p>
    <w:p w14:paraId="37C109ED" w14:textId="2087F0DC" w:rsidR="00265783" w:rsidRPr="00B5685A" w:rsidRDefault="00265783" w:rsidP="00B852E0">
      <w:pPr>
        <w:spacing w:after="0" w:line="240" w:lineRule="auto"/>
        <w:jc w:val="both"/>
        <w:rPr>
          <w:sz w:val="21"/>
          <w:szCs w:val="21"/>
        </w:rPr>
      </w:pPr>
      <w:r w:rsidRPr="00B5685A">
        <w:rPr>
          <w:sz w:val="21"/>
          <w:szCs w:val="21"/>
        </w:rPr>
        <w:t xml:space="preserve">Reform of the global financial architecture is needed to create increased space for countries to invest in public education. A more inclusive and equitable global debt architecture should consider the specific needs of low- and middle-income countries. International financial institutions and regional development banks should expand low-cost lending to increase investments in education. Low-income countries must have a stronger voice in international tax negotiations to ensure that global tax rules are fair and equitable. The establishment and elaboration of a framework convention for international cooperation in tax would provide a more inclusive platform for global tax discussions. </w:t>
      </w:r>
    </w:p>
    <w:p w14:paraId="16F0EEF2" w14:textId="77777777" w:rsidR="00A0289C" w:rsidRPr="00B5685A" w:rsidRDefault="00A0289C" w:rsidP="00B852E0">
      <w:pPr>
        <w:spacing w:after="0" w:line="240" w:lineRule="auto"/>
        <w:jc w:val="both"/>
        <w:rPr>
          <w:sz w:val="21"/>
          <w:szCs w:val="21"/>
        </w:rPr>
      </w:pPr>
    </w:p>
    <w:p w14:paraId="6B31B112" w14:textId="2109515C" w:rsidR="000D289C" w:rsidRPr="00B5685A" w:rsidRDefault="008F21DB" w:rsidP="00B852E0">
      <w:pPr>
        <w:spacing w:after="0" w:line="240" w:lineRule="auto"/>
        <w:jc w:val="both"/>
        <w:rPr>
          <w:sz w:val="21"/>
          <w:szCs w:val="21"/>
        </w:rPr>
      </w:pPr>
      <w:r w:rsidRPr="00B5685A">
        <w:rPr>
          <w:sz w:val="21"/>
          <w:szCs w:val="21"/>
        </w:rPr>
        <w:t xml:space="preserve">Debt relief and restructuring can, where applicable, be an </w:t>
      </w:r>
      <w:r w:rsidR="000D289C" w:rsidRPr="00B5685A">
        <w:rPr>
          <w:sz w:val="21"/>
          <w:szCs w:val="21"/>
        </w:rPr>
        <w:t>effective way to free up fiscal space for education</w:t>
      </w:r>
      <w:r w:rsidR="00872304" w:rsidRPr="00B5685A">
        <w:rPr>
          <w:sz w:val="21"/>
          <w:szCs w:val="21"/>
        </w:rPr>
        <w:t xml:space="preserve"> and improve long-term spending capacities</w:t>
      </w:r>
      <w:r w:rsidR="000D289C" w:rsidRPr="00B5685A">
        <w:rPr>
          <w:sz w:val="21"/>
          <w:szCs w:val="21"/>
        </w:rPr>
        <w:t xml:space="preserve">. Debt swaps for education, where a portion of a country's debt is forgiven in exchange for </w:t>
      </w:r>
      <w:r w:rsidRPr="00B5685A">
        <w:rPr>
          <w:sz w:val="21"/>
          <w:szCs w:val="21"/>
        </w:rPr>
        <w:t xml:space="preserve">corresponding </w:t>
      </w:r>
      <w:r w:rsidR="000D289C" w:rsidRPr="00B5685A">
        <w:rPr>
          <w:sz w:val="21"/>
          <w:szCs w:val="21"/>
        </w:rPr>
        <w:t>investment</w:t>
      </w:r>
      <w:r w:rsidR="006A3DB2" w:rsidRPr="00B5685A">
        <w:rPr>
          <w:sz w:val="21"/>
          <w:szCs w:val="21"/>
        </w:rPr>
        <w:t>s</w:t>
      </w:r>
      <w:r w:rsidR="000D289C" w:rsidRPr="00B5685A">
        <w:rPr>
          <w:sz w:val="21"/>
          <w:szCs w:val="21"/>
        </w:rPr>
        <w:t xml:space="preserve"> in education, have shown promise and </w:t>
      </w:r>
      <w:r w:rsidRPr="00B5685A">
        <w:rPr>
          <w:sz w:val="21"/>
          <w:szCs w:val="21"/>
        </w:rPr>
        <w:t>sh</w:t>
      </w:r>
      <w:r w:rsidR="000D289C" w:rsidRPr="00B5685A">
        <w:rPr>
          <w:sz w:val="21"/>
          <w:szCs w:val="21"/>
        </w:rPr>
        <w:t xml:space="preserve">ould be expanded. </w:t>
      </w:r>
      <w:r w:rsidRPr="00B5685A">
        <w:rPr>
          <w:sz w:val="21"/>
          <w:szCs w:val="21"/>
        </w:rPr>
        <w:t>I</w:t>
      </w:r>
      <w:r w:rsidR="000D289C" w:rsidRPr="00B5685A">
        <w:rPr>
          <w:sz w:val="21"/>
          <w:szCs w:val="21"/>
        </w:rPr>
        <w:t xml:space="preserve">nnovative financing mechanisms offer </w:t>
      </w:r>
      <w:r w:rsidRPr="00B5685A">
        <w:rPr>
          <w:sz w:val="21"/>
          <w:szCs w:val="21"/>
        </w:rPr>
        <w:t xml:space="preserve">further </w:t>
      </w:r>
      <w:r w:rsidR="000D289C" w:rsidRPr="00B5685A">
        <w:rPr>
          <w:sz w:val="21"/>
          <w:szCs w:val="21"/>
        </w:rPr>
        <w:t>potential. Social impact bonds, education bonds,</w:t>
      </w:r>
      <w:r w:rsidR="006A3DB2" w:rsidRPr="00B5685A">
        <w:rPr>
          <w:sz w:val="21"/>
          <w:szCs w:val="21"/>
        </w:rPr>
        <w:t xml:space="preserve"> </w:t>
      </w:r>
      <w:r w:rsidR="000D289C" w:rsidRPr="00B5685A">
        <w:rPr>
          <w:sz w:val="21"/>
          <w:szCs w:val="21"/>
        </w:rPr>
        <w:t>blended finance models</w:t>
      </w:r>
      <w:r w:rsidR="006A3DB2" w:rsidRPr="00B5685A">
        <w:rPr>
          <w:sz w:val="21"/>
          <w:szCs w:val="21"/>
        </w:rPr>
        <w:t xml:space="preserve">, financial guarantees, and leverage of balance sheets </w:t>
      </w:r>
      <w:r w:rsidR="000D289C" w:rsidRPr="00B5685A">
        <w:rPr>
          <w:sz w:val="21"/>
          <w:szCs w:val="21"/>
        </w:rPr>
        <w:t xml:space="preserve">can </w:t>
      </w:r>
      <w:r w:rsidR="006A3DB2" w:rsidRPr="00B5685A">
        <w:rPr>
          <w:sz w:val="21"/>
          <w:szCs w:val="21"/>
        </w:rPr>
        <w:t xml:space="preserve">all </w:t>
      </w:r>
      <w:r w:rsidRPr="00B5685A">
        <w:rPr>
          <w:sz w:val="21"/>
          <w:szCs w:val="21"/>
        </w:rPr>
        <w:t xml:space="preserve">be used </w:t>
      </w:r>
      <w:r w:rsidR="006A3DB2" w:rsidRPr="00B5685A">
        <w:rPr>
          <w:sz w:val="21"/>
          <w:szCs w:val="21"/>
        </w:rPr>
        <w:t xml:space="preserve">as tools </w:t>
      </w:r>
      <w:r w:rsidRPr="00B5685A">
        <w:rPr>
          <w:sz w:val="21"/>
          <w:szCs w:val="21"/>
        </w:rPr>
        <w:t xml:space="preserve">to </w:t>
      </w:r>
      <w:r w:rsidR="000D289C" w:rsidRPr="00B5685A">
        <w:rPr>
          <w:sz w:val="21"/>
          <w:szCs w:val="21"/>
        </w:rPr>
        <w:t xml:space="preserve">attract </w:t>
      </w:r>
      <w:r w:rsidR="00872304" w:rsidRPr="00B5685A">
        <w:rPr>
          <w:sz w:val="21"/>
          <w:szCs w:val="21"/>
        </w:rPr>
        <w:t xml:space="preserve">and unlock additional </w:t>
      </w:r>
      <w:r w:rsidR="006A3DB2" w:rsidRPr="00B5685A">
        <w:rPr>
          <w:sz w:val="21"/>
          <w:szCs w:val="21"/>
        </w:rPr>
        <w:t xml:space="preserve">public, </w:t>
      </w:r>
      <w:r w:rsidR="000D289C" w:rsidRPr="00B5685A">
        <w:rPr>
          <w:sz w:val="21"/>
          <w:szCs w:val="21"/>
        </w:rPr>
        <w:t>private</w:t>
      </w:r>
      <w:r w:rsidRPr="00B5685A">
        <w:rPr>
          <w:sz w:val="21"/>
          <w:szCs w:val="21"/>
        </w:rPr>
        <w:t xml:space="preserve"> and </w:t>
      </w:r>
      <w:r w:rsidR="006A3DB2" w:rsidRPr="00B5685A">
        <w:rPr>
          <w:sz w:val="21"/>
          <w:szCs w:val="21"/>
        </w:rPr>
        <w:t>philanthropic</w:t>
      </w:r>
      <w:r w:rsidR="000D289C" w:rsidRPr="00B5685A">
        <w:rPr>
          <w:sz w:val="21"/>
          <w:szCs w:val="21"/>
        </w:rPr>
        <w:t xml:space="preserve"> investment into public education. </w:t>
      </w:r>
    </w:p>
    <w:p w14:paraId="726FF783" w14:textId="77777777" w:rsidR="00A0289C" w:rsidRPr="00B5685A" w:rsidRDefault="00A0289C" w:rsidP="00B852E0">
      <w:pPr>
        <w:spacing w:after="0" w:line="240" w:lineRule="auto"/>
        <w:jc w:val="both"/>
        <w:rPr>
          <w:sz w:val="21"/>
          <w:szCs w:val="21"/>
        </w:rPr>
      </w:pPr>
    </w:p>
    <w:p w14:paraId="5775BB8A" w14:textId="4CF75C6B" w:rsidR="00144D61" w:rsidRPr="00B5685A" w:rsidRDefault="00BF105B" w:rsidP="00B852E0">
      <w:pPr>
        <w:spacing w:after="0" w:line="240" w:lineRule="auto"/>
        <w:jc w:val="both"/>
        <w:rPr>
          <w:sz w:val="21"/>
          <w:szCs w:val="21"/>
        </w:rPr>
      </w:pPr>
      <w:r w:rsidRPr="00B5685A">
        <w:rPr>
          <w:sz w:val="21"/>
          <w:szCs w:val="21"/>
        </w:rPr>
        <w:t>Finance ministries and education ministries</w:t>
      </w:r>
      <w:r w:rsidRPr="00B5685A" w:rsidDel="00BF105B">
        <w:rPr>
          <w:sz w:val="21"/>
          <w:szCs w:val="21"/>
        </w:rPr>
        <w:t xml:space="preserve"> </w:t>
      </w:r>
      <w:r w:rsidR="000657DD" w:rsidRPr="00B5685A">
        <w:rPr>
          <w:sz w:val="21"/>
          <w:szCs w:val="21"/>
        </w:rPr>
        <w:t>need to work together to devise and implement long-term sustainable financing strategies for the education sector</w:t>
      </w:r>
      <w:r w:rsidR="00053E33" w:rsidRPr="00B5685A">
        <w:rPr>
          <w:sz w:val="21"/>
          <w:szCs w:val="21"/>
        </w:rPr>
        <w:t xml:space="preserve">, optimizing </w:t>
      </w:r>
      <w:r w:rsidR="000E2CD3" w:rsidRPr="00B5685A">
        <w:rPr>
          <w:sz w:val="21"/>
          <w:szCs w:val="21"/>
        </w:rPr>
        <w:t xml:space="preserve">the </w:t>
      </w:r>
      <w:r w:rsidR="00934775" w:rsidRPr="00B5685A">
        <w:rPr>
          <w:sz w:val="21"/>
          <w:szCs w:val="21"/>
        </w:rPr>
        <w:t xml:space="preserve">mix of </w:t>
      </w:r>
      <w:r w:rsidR="00053E33" w:rsidRPr="00B5685A">
        <w:rPr>
          <w:sz w:val="21"/>
          <w:szCs w:val="21"/>
        </w:rPr>
        <w:t>financing options available</w:t>
      </w:r>
      <w:r w:rsidR="000E2CD3" w:rsidRPr="00B5685A">
        <w:rPr>
          <w:sz w:val="21"/>
          <w:szCs w:val="21"/>
        </w:rPr>
        <w:t xml:space="preserve">, </w:t>
      </w:r>
      <w:r w:rsidR="00934775" w:rsidRPr="00B5685A">
        <w:rPr>
          <w:sz w:val="21"/>
          <w:szCs w:val="21"/>
        </w:rPr>
        <w:t xml:space="preserve">and </w:t>
      </w:r>
      <w:r w:rsidR="00053E33" w:rsidRPr="00B5685A">
        <w:rPr>
          <w:sz w:val="21"/>
          <w:szCs w:val="21"/>
        </w:rPr>
        <w:t xml:space="preserve">aligned to </w:t>
      </w:r>
      <w:r w:rsidR="000E2CD3" w:rsidRPr="00B5685A">
        <w:rPr>
          <w:sz w:val="21"/>
          <w:szCs w:val="21"/>
        </w:rPr>
        <w:t>country-specific</w:t>
      </w:r>
      <w:r w:rsidR="00053E33" w:rsidRPr="00B5685A">
        <w:rPr>
          <w:sz w:val="21"/>
          <w:szCs w:val="21"/>
        </w:rPr>
        <w:t xml:space="preserve"> context</w:t>
      </w:r>
      <w:r w:rsidR="000E2CD3" w:rsidRPr="00B5685A">
        <w:rPr>
          <w:sz w:val="21"/>
          <w:szCs w:val="21"/>
        </w:rPr>
        <w:t xml:space="preserve">, </w:t>
      </w:r>
      <w:r w:rsidR="00053E33" w:rsidRPr="00B5685A">
        <w:rPr>
          <w:sz w:val="21"/>
          <w:szCs w:val="21"/>
        </w:rPr>
        <w:t>needs, and macro-economic and fiscal conditions</w:t>
      </w:r>
      <w:r w:rsidR="000657DD" w:rsidRPr="00B5685A">
        <w:rPr>
          <w:sz w:val="21"/>
          <w:szCs w:val="21"/>
        </w:rPr>
        <w:t>.</w:t>
      </w:r>
      <w:r w:rsidR="00762E4F" w:rsidRPr="00B5685A">
        <w:rPr>
          <w:sz w:val="21"/>
          <w:szCs w:val="21"/>
        </w:rPr>
        <w:t xml:space="preserve"> </w:t>
      </w:r>
      <w:r w:rsidR="000657DD" w:rsidRPr="00B5685A">
        <w:rPr>
          <w:sz w:val="21"/>
          <w:szCs w:val="21"/>
        </w:rPr>
        <w:t xml:space="preserve">These ministries must equally improve the efficiency of </w:t>
      </w:r>
      <w:r w:rsidR="00144D61" w:rsidRPr="00B5685A">
        <w:rPr>
          <w:sz w:val="21"/>
          <w:szCs w:val="21"/>
        </w:rPr>
        <w:t xml:space="preserve">domestic </w:t>
      </w:r>
      <w:r w:rsidR="000657DD" w:rsidRPr="00B5685A">
        <w:rPr>
          <w:sz w:val="21"/>
          <w:szCs w:val="21"/>
        </w:rPr>
        <w:t xml:space="preserve">resource allocation </w:t>
      </w:r>
      <w:r w:rsidR="008172ED">
        <w:rPr>
          <w:sz w:val="21"/>
          <w:szCs w:val="21"/>
        </w:rPr>
        <w:t xml:space="preserve">and spending </w:t>
      </w:r>
      <w:r w:rsidR="000657DD" w:rsidRPr="00B5685A">
        <w:rPr>
          <w:sz w:val="21"/>
          <w:szCs w:val="21"/>
        </w:rPr>
        <w:t xml:space="preserve">so that funds are directed towards high-impact areas, </w:t>
      </w:r>
      <w:r w:rsidR="0036320A" w:rsidRPr="00B5685A">
        <w:rPr>
          <w:sz w:val="21"/>
          <w:szCs w:val="21"/>
        </w:rPr>
        <w:t xml:space="preserve">while also focusing on the equity and inclusiveness of </w:t>
      </w:r>
      <w:r w:rsidR="00144D61" w:rsidRPr="00B5685A">
        <w:rPr>
          <w:sz w:val="21"/>
          <w:szCs w:val="21"/>
        </w:rPr>
        <w:t xml:space="preserve">government </w:t>
      </w:r>
      <w:r w:rsidR="0036320A" w:rsidRPr="00B5685A">
        <w:rPr>
          <w:sz w:val="21"/>
          <w:szCs w:val="21"/>
        </w:rPr>
        <w:t>investment</w:t>
      </w:r>
      <w:r w:rsidR="00144D61" w:rsidRPr="00B5685A">
        <w:rPr>
          <w:sz w:val="21"/>
          <w:szCs w:val="21"/>
        </w:rPr>
        <w:t>s</w:t>
      </w:r>
      <w:r w:rsidR="0036320A" w:rsidRPr="00B5685A">
        <w:rPr>
          <w:sz w:val="21"/>
          <w:szCs w:val="21"/>
        </w:rPr>
        <w:t xml:space="preserve"> in education</w:t>
      </w:r>
      <w:r w:rsidR="00144D61" w:rsidRPr="00B5685A">
        <w:rPr>
          <w:sz w:val="21"/>
          <w:szCs w:val="21"/>
        </w:rPr>
        <w:t>.</w:t>
      </w:r>
      <w:r w:rsidR="0031500E">
        <w:rPr>
          <w:sz w:val="21"/>
          <w:szCs w:val="21"/>
        </w:rPr>
        <w:t xml:space="preserve"> </w:t>
      </w:r>
      <w:r w:rsidR="0031500E" w:rsidRPr="00B5685A">
        <w:rPr>
          <w:sz w:val="21"/>
          <w:szCs w:val="21"/>
        </w:rPr>
        <w:t xml:space="preserve">One </w:t>
      </w:r>
      <w:r w:rsidR="0031500E">
        <w:rPr>
          <w:sz w:val="21"/>
          <w:szCs w:val="21"/>
        </w:rPr>
        <w:t xml:space="preserve">key </w:t>
      </w:r>
      <w:r w:rsidR="0031500E" w:rsidRPr="00B5685A">
        <w:rPr>
          <w:sz w:val="21"/>
          <w:szCs w:val="21"/>
        </w:rPr>
        <w:t xml:space="preserve">aspect is </w:t>
      </w:r>
      <w:r w:rsidR="0031500E">
        <w:rPr>
          <w:sz w:val="21"/>
          <w:szCs w:val="21"/>
        </w:rPr>
        <w:t xml:space="preserve">the </w:t>
      </w:r>
      <w:r w:rsidR="0031500E" w:rsidRPr="00B5685A">
        <w:rPr>
          <w:sz w:val="21"/>
          <w:szCs w:val="21"/>
        </w:rPr>
        <w:t xml:space="preserve">effective engagement </w:t>
      </w:r>
      <w:r w:rsidR="00494F19">
        <w:rPr>
          <w:sz w:val="21"/>
          <w:szCs w:val="21"/>
        </w:rPr>
        <w:t xml:space="preserve">and participation of </w:t>
      </w:r>
      <w:r w:rsidR="0031500E">
        <w:rPr>
          <w:sz w:val="21"/>
          <w:szCs w:val="21"/>
        </w:rPr>
        <w:t xml:space="preserve">countries, and </w:t>
      </w:r>
      <w:r w:rsidR="0060219D">
        <w:rPr>
          <w:sz w:val="21"/>
          <w:szCs w:val="21"/>
        </w:rPr>
        <w:t xml:space="preserve">especially </w:t>
      </w:r>
      <w:r w:rsidR="0031500E" w:rsidRPr="00B5685A">
        <w:rPr>
          <w:sz w:val="21"/>
          <w:szCs w:val="21"/>
        </w:rPr>
        <w:t>of low</w:t>
      </w:r>
      <w:r w:rsidR="0031500E">
        <w:rPr>
          <w:sz w:val="21"/>
          <w:szCs w:val="21"/>
        </w:rPr>
        <w:t>-</w:t>
      </w:r>
      <w:r w:rsidR="0031500E" w:rsidRPr="00B5685A">
        <w:rPr>
          <w:sz w:val="21"/>
          <w:szCs w:val="21"/>
        </w:rPr>
        <w:t xml:space="preserve"> and lower-middle income countries</w:t>
      </w:r>
      <w:r w:rsidR="0031500E">
        <w:rPr>
          <w:sz w:val="21"/>
          <w:szCs w:val="21"/>
        </w:rPr>
        <w:t>, in</w:t>
      </w:r>
      <w:r w:rsidR="0031500E" w:rsidRPr="00B5685A">
        <w:rPr>
          <w:sz w:val="21"/>
          <w:szCs w:val="21"/>
        </w:rPr>
        <w:t xml:space="preserve"> international processes and negotiations to ensure that the</w:t>
      </w:r>
      <w:r w:rsidR="0031500E">
        <w:rPr>
          <w:sz w:val="21"/>
          <w:szCs w:val="21"/>
        </w:rPr>
        <w:t>ir</w:t>
      </w:r>
      <w:r w:rsidR="0031500E" w:rsidRPr="00B5685A">
        <w:rPr>
          <w:sz w:val="21"/>
          <w:szCs w:val="21"/>
        </w:rPr>
        <w:t xml:space="preserve"> interests</w:t>
      </w:r>
      <w:r w:rsidR="0031500E">
        <w:rPr>
          <w:sz w:val="21"/>
          <w:szCs w:val="21"/>
        </w:rPr>
        <w:t xml:space="preserve"> </w:t>
      </w:r>
      <w:r w:rsidR="0031500E" w:rsidRPr="00B5685A">
        <w:rPr>
          <w:sz w:val="21"/>
          <w:szCs w:val="21"/>
        </w:rPr>
        <w:t>are represented and addressed.</w:t>
      </w:r>
    </w:p>
    <w:p w14:paraId="58508BA0" w14:textId="77777777" w:rsidR="00A0289C" w:rsidRPr="00B5685A" w:rsidRDefault="00A0289C" w:rsidP="00B852E0">
      <w:pPr>
        <w:spacing w:after="0" w:line="240" w:lineRule="auto"/>
        <w:jc w:val="both"/>
        <w:rPr>
          <w:sz w:val="21"/>
          <w:szCs w:val="21"/>
        </w:rPr>
      </w:pPr>
    </w:p>
    <w:p w14:paraId="3C39991D" w14:textId="6D823BC4" w:rsidR="00934775" w:rsidRPr="00B5685A" w:rsidRDefault="00934775" w:rsidP="00B852E0">
      <w:pPr>
        <w:spacing w:after="0" w:line="240" w:lineRule="auto"/>
        <w:jc w:val="both"/>
        <w:rPr>
          <w:sz w:val="21"/>
          <w:szCs w:val="21"/>
        </w:rPr>
      </w:pPr>
      <w:r w:rsidRPr="00B5685A">
        <w:rPr>
          <w:sz w:val="21"/>
          <w:szCs w:val="21"/>
        </w:rPr>
        <w:t xml:space="preserve">Donor countries must </w:t>
      </w:r>
      <w:r w:rsidR="00CC54B4" w:rsidRPr="00B5685A">
        <w:rPr>
          <w:sz w:val="21"/>
          <w:szCs w:val="21"/>
        </w:rPr>
        <w:t>honor</w:t>
      </w:r>
      <w:r w:rsidRPr="00B5685A">
        <w:rPr>
          <w:sz w:val="21"/>
          <w:szCs w:val="21"/>
        </w:rPr>
        <w:t xml:space="preserve"> their commitments to provide at least 0.7% of their gross national income (GNI) as official development assistance (ODA) to developing countries, increase the share of ODA to invest in education, and allocate such aid to the countries furthest behind on reaching SDG4.</w:t>
      </w:r>
    </w:p>
    <w:p w14:paraId="2EF3C483" w14:textId="77777777" w:rsidR="00A0289C" w:rsidRPr="00B5685A" w:rsidRDefault="00A0289C" w:rsidP="00B852E0">
      <w:pPr>
        <w:spacing w:after="0" w:line="240" w:lineRule="auto"/>
        <w:jc w:val="both"/>
        <w:rPr>
          <w:sz w:val="21"/>
          <w:szCs w:val="21"/>
        </w:rPr>
      </w:pPr>
    </w:p>
    <w:p w14:paraId="052C868D" w14:textId="47C42B4C" w:rsidR="00762E4F" w:rsidRPr="00B5685A" w:rsidRDefault="00145963" w:rsidP="00B852E0">
      <w:pPr>
        <w:spacing w:after="0" w:line="240" w:lineRule="auto"/>
        <w:jc w:val="both"/>
        <w:rPr>
          <w:sz w:val="21"/>
          <w:szCs w:val="21"/>
        </w:rPr>
      </w:pPr>
      <w:r w:rsidRPr="00B5685A">
        <w:rPr>
          <w:rFonts w:ascii="Calibri" w:hAnsi="Calibri" w:cs="Calibri"/>
          <w:sz w:val="21"/>
          <w:szCs w:val="21"/>
        </w:rPr>
        <w:lastRenderedPageBreak/>
        <w:t>Effective cooperation, m</w:t>
      </w:r>
      <w:r w:rsidR="00B27376" w:rsidRPr="00B5685A">
        <w:rPr>
          <w:sz w:val="21"/>
          <w:szCs w:val="21"/>
        </w:rPr>
        <w:t>ulti-stakeholder</w:t>
      </w:r>
      <w:r w:rsidR="00581D77" w:rsidRPr="00B5685A">
        <w:rPr>
          <w:sz w:val="21"/>
          <w:szCs w:val="21"/>
        </w:rPr>
        <w:t>,</w:t>
      </w:r>
      <w:r w:rsidR="00B27376" w:rsidRPr="00B5685A">
        <w:rPr>
          <w:sz w:val="21"/>
          <w:szCs w:val="21"/>
        </w:rPr>
        <w:t xml:space="preserve"> cross-sector </w:t>
      </w:r>
      <w:r w:rsidR="00581D77" w:rsidRPr="00B5685A">
        <w:rPr>
          <w:sz w:val="21"/>
          <w:szCs w:val="21"/>
        </w:rPr>
        <w:t xml:space="preserve">and cross-government </w:t>
      </w:r>
      <w:r w:rsidR="00144D61" w:rsidRPr="00B5685A">
        <w:rPr>
          <w:sz w:val="21"/>
          <w:szCs w:val="21"/>
        </w:rPr>
        <w:t xml:space="preserve">coordination and </w:t>
      </w:r>
      <w:r w:rsidR="00B27376" w:rsidRPr="00B5685A">
        <w:rPr>
          <w:sz w:val="21"/>
          <w:szCs w:val="21"/>
        </w:rPr>
        <w:t>d</w:t>
      </w:r>
      <w:r w:rsidR="00762E4F" w:rsidRPr="00B5685A">
        <w:rPr>
          <w:sz w:val="21"/>
          <w:szCs w:val="21"/>
        </w:rPr>
        <w:t xml:space="preserve">ialogue </w:t>
      </w:r>
      <w:r w:rsidR="0082330D" w:rsidRPr="00B5685A">
        <w:rPr>
          <w:sz w:val="21"/>
          <w:szCs w:val="21"/>
        </w:rPr>
        <w:t>are needed to</w:t>
      </w:r>
      <w:r w:rsidR="00581D77" w:rsidRPr="00B5685A">
        <w:rPr>
          <w:sz w:val="21"/>
          <w:szCs w:val="21"/>
        </w:rPr>
        <w:t xml:space="preserve"> boost coherence </w:t>
      </w:r>
      <w:r w:rsidR="00144D61" w:rsidRPr="00B5685A">
        <w:rPr>
          <w:sz w:val="21"/>
          <w:szCs w:val="21"/>
        </w:rPr>
        <w:t>of</w:t>
      </w:r>
      <w:r w:rsidR="007A67BA" w:rsidRPr="00B5685A">
        <w:rPr>
          <w:sz w:val="21"/>
          <w:szCs w:val="21"/>
        </w:rPr>
        <w:t xml:space="preserve"> </w:t>
      </w:r>
      <w:r w:rsidR="00B27376" w:rsidRPr="00B5685A">
        <w:rPr>
          <w:sz w:val="21"/>
          <w:szCs w:val="21"/>
        </w:rPr>
        <w:t xml:space="preserve">financing </w:t>
      </w:r>
      <w:r w:rsidR="00144D61" w:rsidRPr="00B5685A">
        <w:rPr>
          <w:sz w:val="21"/>
          <w:szCs w:val="21"/>
        </w:rPr>
        <w:t xml:space="preserve">across </w:t>
      </w:r>
      <w:proofErr w:type="gramStart"/>
      <w:r w:rsidR="00144D61" w:rsidRPr="00B5685A">
        <w:rPr>
          <w:sz w:val="21"/>
          <w:szCs w:val="21"/>
        </w:rPr>
        <w:t>all of</w:t>
      </w:r>
      <w:proofErr w:type="gramEnd"/>
      <w:r w:rsidR="00144D61" w:rsidRPr="00B5685A">
        <w:rPr>
          <w:sz w:val="21"/>
          <w:szCs w:val="21"/>
        </w:rPr>
        <w:t xml:space="preserve"> the </w:t>
      </w:r>
      <w:r w:rsidR="00B27376" w:rsidRPr="00B5685A">
        <w:rPr>
          <w:sz w:val="21"/>
          <w:szCs w:val="21"/>
        </w:rPr>
        <w:t>SDGs</w:t>
      </w:r>
      <w:r w:rsidR="00144D61" w:rsidRPr="00B5685A">
        <w:rPr>
          <w:sz w:val="21"/>
          <w:szCs w:val="21"/>
        </w:rPr>
        <w:t xml:space="preserve">. </w:t>
      </w:r>
      <w:r w:rsidR="00371F6D" w:rsidRPr="00B5685A">
        <w:rPr>
          <w:sz w:val="21"/>
          <w:szCs w:val="21"/>
        </w:rPr>
        <w:t>The education sector must be creative and more proactive about mobilizing resources through such cross-sector investment strategies, such as partnerships with climate and health.</w:t>
      </w:r>
      <w:r w:rsidR="003B406C" w:rsidRPr="00B5685A">
        <w:rPr>
          <w:sz w:val="21"/>
          <w:szCs w:val="21"/>
        </w:rPr>
        <w:t xml:space="preserve"> </w:t>
      </w:r>
      <w:r w:rsidR="00371F6D" w:rsidRPr="00B5685A">
        <w:rPr>
          <w:sz w:val="21"/>
          <w:szCs w:val="21"/>
        </w:rPr>
        <w:t>Stakeholders in the education sector must explain, p</w:t>
      </w:r>
      <w:r w:rsidR="007A67BA" w:rsidRPr="00B5685A">
        <w:rPr>
          <w:sz w:val="21"/>
          <w:szCs w:val="21"/>
        </w:rPr>
        <w:t xml:space="preserve">romote </w:t>
      </w:r>
      <w:r w:rsidR="00371F6D" w:rsidRPr="00B5685A">
        <w:rPr>
          <w:sz w:val="21"/>
          <w:szCs w:val="21"/>
        </w:rPr>
        <w:t xml:space="preserve">and evidence </w:t>
      </w:r>
      <w:r w:rsidR="00B27376" w:rsidRPr="00B5685A">
        <w:rPr>
          <w:sz w:val="21"/>
          <w:szCs w:val="21"/>
        </w:rPr>
        <w:t xml:space="preserve">the enabling role of </w:t>
      </w:r>
      <w:r w:rsidR="007A67BA" w:rsidRPr="00B5685A">
        <w:rPr>
          <w:sz w:val="21"/>
          <w:szCs w:val="21"/>
        </w:rPr>
        <w:t xml:space="preserve">investments in </w:t>
      </w:r>
      <w:r w:rsidR="00B27376" w:rsidRPr="00B5685A">
        <w:rPr>
          <w:sz w:val="21"/>
          <w:szCs w:val="21"/>
        </w:rPr>
        <w:t>education</w:t>
      </w:r>
      <w:r w:rsidR="00371F6D" w:rsidRPr="00B5685A">
        <w:rPr>
          <w:sz w:val="21"/>
          <w:szCs w:val="21"/>
        </w:rPr>
        <w:t xml:space="preserve"> for successful progress in other sectors</w:t>
      </w:r>
      <w:r w:rsidR="00B27376" w:rsidRPr="00B5685A">
        <w:rPr>
          <w:sz w:val="21"/>
          <w:szCs w:val="21"/>
        </w:rPr>
        <w:t>.</w:t>
      </w:r>
      <w:r w:rsidR="0082330D" w:rsidRPr="00B5685A">
        <w:rPr>
          <w:sz w:val="21"/>
          <w:szCs w:val="21"/>
        </w:rPr>
        <w:t xml:space="preserve"> </w:t>
      </w:r>
    </w:p>
    <w:p w14:paraId="174A0AC2" w14:textId="77777777" w:rsidR="00A0289C" w:rsidRPr="00265783" w:rsidRDefault="00A0289C" w:rsidP="00B852E0">
      <w:pPr>
        <w:spacing w:after="0" w:line="240" w:lineRule="auto"/>
        <w:jc w:val="both"/>
        <w:rPr>
          <w:sz w:val="21"/>
          <w:szCs w:val="21"/>
        </w:rPr>
      </w:pPr>
    </w:p>
    <w:p w14:paraId="3A9CA2B1" w14:textId="0B4B47F5" w:rsidR="00174569" w:rsidRPr="006E0763" w:rsidRDefault="081A7F1C" w:rsidP="00B852E0">
      <w:pPr>
        <w:pStyle w:val="Heading2"/>
        <w:spacing w:before="0" w:line="240" w:lineRule="auto"/>
        <w:rPr>
          <w:b/>
          <w:bCs/>
        </w:rPr>
      </w:pPr>
      <w:r w:rsidRPr="006E0763">
        <w:rPr>
          <w:b/>
          <w:bCs/>
        </w:rPr>
        <w:t xml:space="preserve">Specific </w:t>
      </w:r>
      <w:r w:rsidR="7BC9008D" w:rsidRPr="006E0763">
        <w:rPr>
          <w:b/>
          <w:bCs/>
        </w:rPr>
        <w:t>r</w:t>
      </w:r>
      <w:r w:rsidR="00174569" w:rsidRPr="006E0763">
        <w:rPr>
          <w:b/>
          <w:bCs/>
        </w:rPr>
        <w:t>ecommendations for F</w:t>
      </w:r>
      <w:r w:rsidR="00B5685A">
        <w:rPr>
          <w:b/>
          <w:bCs/>
        </w:rPr>
        <w:t>f</w:t>
      </w:r>
      <w:r w:rsidR="00174569" w:rsidRPr="006E0763">
        <w:rPr>
          <w:b/>
          <w:bCs/>
        </w:rPr>
        <w:t>D4</w:t>
      </w:r>
    </w:p>
    <w:p w14:paraId="04017AE2" w14:textId="2E0E547D" w:rsidR="002D12C1" w:rsidRPr="00B5685A" w:rsidRDefault="002D12C1" w:rsidP="00B852E0">
      <w:pPr>
        <w:spacing w:after="0" w:line="240" w:lineRule="auto"/>
        <w:jc w:val="both"/>
        <w:rPr>
          <w:sz w:val="21"/>
          <w:szCs w:val="21"/>
        </w:rPr>
      </w:pPr>
      <w:r w:rsidRPr="00B5685A">
        <w:rPr>
          <w:sz w:val="21"/>
          <w:szCs w:val="21"/>
        </w:rPr>
        <w:t>The Transforming Education Summit in 2022</w:t>
      </w:r>
      <w:r w:rsidR="00176A45" w:rsidRPr="00B5685A">
        <w:rPr>
          <w:rStyle w:val="FootnoteReference"/>
          <w:sz w:val="21"/>
          <w:szCs w:val="21"/>
        </w:rPr>
        <w:footnoteReference w:id="14"/>
      </w:r>
      <w:r w:rsidRPr="00B5685A">
        <w:rPr>
          <w:sz w:val="21"/>
          <w:szCs w:val="21"/>
        </w:rPr>
        <w:t xml:space="preserve"> laid out a set of widely consulted recommendations for the financing actions </w:t>
      </w:r>
      <w:r w:rsidR="00D53F84" w:rsidRPr="00B5685A">
        <w:rPr>
          <w:sz w:val="21"/>
          <w:szCs w:val="21"/>
        </w:rPr>
        <w:t>required from</w:t>
      </w:r>
      <w:r w:rsidRPr="00B5685A">
        <w:rPr>
          <w:sz w:val="21"/>
          <w:szCs w:val="21"/>
        </w:rPr>
        <w:t xml:space="preserve"> governments and the international community to put SDG4 back on track. </w:t>
      </w:r>
      <w:r w:rsidR="00D53F84" w:rsidRPr="00B5685A">
        <w:rPr>
          <w:sz w:val="21"/>
          <w:szCs w:val="21"/>
        </w:rPr>
        <w:t>T</w:t>
      </w:r>
      <w:r w:rsidRPr="00B5685A">
        <w:rPr>
          <w:sz w:val="21"/>
          <w:szCs w:val="21"/>
        </w:rPr>
        <w:t xml:space="preserve">hese actions, which have been further reiterated by the Global Education Meeting held </w:t>
      </w:r>
      <w:r w:rsidR="00D53F84" w:rsidRPr="00B5685A">
        <w:rPr>
          <w:sz w:val="21"/>
          <w:szCs w:val="21"/>
        </w:rPr>
        <w:t xml:space="preserve">in </w:t>
      </w:r>
      <w:r w:rsidRPr="00B5685A">
        <w:rPr>
          <w:sz w:val="21"/>
          <w:szCs w:val="21"/>
        </w:rPr>
        <w:t>2024</w:t>
      </w:r>
      <w:r w:rsidRPr="00B5685A">
        <w:rPr>
          <w:rStyle w:val="FootnoteReference"/>
          <w:sz w:val="21"/>
          <w:szCs w:val="21"/>
        </w:rPr>
        <w:footnoteReference w:id="15"/>
      </w:r>
      <w:r w:rsidRPr="00B5685A">
        <w:rPr>
          <w:sz w:val="21"/>
          <w:szCs w:val="21"/>
        </w:rPr>
        <w:t xml:space="preserve"> (Fortaleza, Brazil), remain critical for F</w:t>
      </w:r>
      <w:r w:rsidR="00B5685A">
        <w:rPr>
          <w:sz w:val="21"/>
          <w:szCs w:val="21"/>
        </w:rPr>
        <w:t>f</w:t>
      </w:r>
      <w:r w:rsidRPr="00B5685A">
        <w:rPr>
          <w:sz w:val="21"/>
          <w:szCs w:val="21"/>
        </w:rPr>
        <w:t xml:space="preserve">D4 and should be addressed through the </w:t>
      </w:r>
      <w:r w:rsidR="00E5205D" w:rsidRPr="00B5685A">
        <w:rPr>
          <w:sz w:val="21"/>
          <w:szCs w:val="21"/>
        </w:rPr>
        <w:t>F</w:t>
      </w:r>
      <w:r w:rsidR="00B5685A">
        <w:rPr>
          <w:sz w:val="21"/>
          <w:szCs w:val="21"/>
        </w:rPr>
        <w:t>f</w:t>
      </w:r>
      <w:r w:rsidR="00E5205D" w:rsidRPr="00B5685A">
        <w:rPr>
          <w:sz w:val="21"/>
          <w:szCs w:val="21"/>
        </w:rPr>
        <w:t xml:space="preserve">D4 </w:t>
      </w:r>
      <w:r w:rsidRPr="00B5685A">
        <w:rPr>
          <w:sz w:val="21"/>
          <w:szCs w:val="21"/>
        </w:rPr>
        <w:t>outcome document.</w:t>
      </w:r>
    </w:p>
    <w:p w14:paraId="7588618D" w14:textId="77777777" w:rsidR="0055489F" w:rsidRPr="00B5685A" w:rsidRDefault="0055489F" w:rsidP="00B852E0">
      <w:pPr>
        <w:spacing w:after="0" w:line="240" w:lineRule="auto"/>
        <w:jc w:val="both"/>
        <w:rPr>
          <w:sz w:val="21"/>
          <w:szCs w:val="21"/>
        </w:rPr>
      </w:pPr>
    </w:p>
    <w:p w14:paraId="47D3F124" w14:textId="77777777" w:rsidR="002D12C1" w:rsidRPr="00B5685A" w:rsidRDefault="002D12C1" w:rsidP="00B852E0">
      <w:pPr>
        <w:spacing w:after="0" w:line="240" w:lineRule="auto"/>
        <w:jc w:val="both"/>
        <w:rPr>
          <w:sz w:val="21"/>
          <w:szCs w:val="21"/>
        </w:rPr>
      </w:pPr>
      <w:r w:rsidRPr="00B5685A">
        <w:rPr>
          <w:sz w:val="21"/>
          <w:szCs w:val="21"/>
        </w:rPr>
        <w:t>Recommendations for governments are:</w:t>
      </w:r>
    </w:p>
    <w:p w14:paraId="28D6BF08" w14:textId="2D82C127" w:rsidR="002D12C1" w:rsidRPr="00B5685A" w:rsidRDefault="002D12C1" w:rsidP="00B852E0">
      <w:pPr>
        <w:pStyle w:val="ListParagraph"/>
        <w:numPr>
          <w:ilvl w:val="0"/>
          <w:numId w:val="14"/>
        </w:numPr>
        <w:spacing w:after="0" w:line="240" w:lineRule="auto"/>
        <w:jc w:val="both"/>
        <w:rPr>
          <w:sz w:val="21"/>
          <w:szCs w:val="21"/>
        </w:rPr>
      </w:pPr>
      <w:r w:rsidRPr="00B5685A">
        <w:rPr>
          <w:sz w:val="21"/>
          <w:szCs w:val="21"/>
        </w:rPr>
        <w:t xml:space="preserve">Commit to developing integrated, long-term policy and sustainable financing strategies aimed at boosting investment in education, including through Integrated National Financing Frameworks. </w:t>
      </w:r>
    </w:p>
    <w:p w14:paraId="4A7AE4D3" w14:textId="3DA69E7E" w:rsidR="003C03AE" w:rsidRPr="00B5685A" w:rsidRDefault="003C03AE" w:rsidP="00B852E0">
      <w:pPr>
        <w:pStyle w:val="ListParagraph"/>
        <w:numPr>
          <w:ilvl w:val="0"/>
          <w:numId w:val="14"/>
        </w:numPr>
        <w:spacing w:after="0" w:line="240" w:lineRule="auto"/>
        <w:jc w:val="both"/>
        <w:rPr>
          <w:sz w:val="21"/>
          <w:szCs w:val="21"/>
        </w:rPr>
      </w:pPr>
      <w:r w:rsidRPr="00B5685A">
        <w:rPr>
          <w:sz w:val="21"/>
          <w:szCs w:val="21"/>
        </w:rPr>
        <w:t xml:space="preserve">Adopt whole of government approaches connecting broader cross-sectoral development goals, and improve the links between sector planning and budget programming, so that education plans have clear and realistic financing strategies with robust cost and revenue provisions. </w:t>
      </w:r>
    </w:p>
    <w:p w14:paraId="516B5E49" w14:textId="5D2B973C" w:rsidR="002D12C1" w:rsidRPr="00B5685A" w:rsidRDefault="002D12C1" w:rsidP="00B852E0">
      <w:pPr>
        <w:pStyle w:val="ListParagraph"/>
        <w:numPr>
          <w:ilvl w:val="0"/>
          <w:numId w:val="14"/>
        </w:numPr>
        <w:spacing w:after="0" w:line="240" w:lineRule="auto"/>
        <w:jc w:val="both"/>
        <w:rPr>
          <w:sz w:val="21"/>
          <w:szCs w:val="21"/>
        </w:rPr>
      </w:pPr>
      <w:r w:rsidRPr="00B5685A">
        <w:rPr>
          <w:sz w:val="21"/>
          <w:szCs w:val="21"/>
        </w:rPr>
        <w:t xml:space="preserve">Commit to reaching and maintaining an adequate tax-to-GDP ratio </w:t>
      </w:r>
      <w:r w:rsidR="00DE2B87" w:rsidRPr="00B5685A">
        <w:rPr>
          <w:rFonts w:ascii="Calibri" w:hAnsi="Calibri" w:cs="Calibri"/>
          <w:sz w:val="21"/>
          <w:szCs w:val="21"/>
        </w:rPr>
        <w:t>to finance basic state functions and social service delivery</w:t>
      </w:r>
      <w:r w:rsidR="00DE2B87" w:rsidRPr="00B5685A">
        <w:rPr>
          <w:sz w:val="21"/>
          <w:szCs w:val="21"/>
        </w:rPr>
        <w:t xml:space="preserve">, </w:t>
      </w:r>
      <w:r w:rsidRPr="00B5685A">
        <w:rPr>
          <w:sz w:val="21"/>
          <w:szCs w:val="21"/>
        </w:rPr>
        <w:t xml:space="preserve">through ambitious and progressive tax reforms, with linked commitments towards financing educational investment. </w:t>
      </w:r>
    </w:p>
    <w:p w14:paraId="1F0D0232" w14:textId="77777777" w:rsidR="002D12C1" w:rsidRPr="00B5685A" w:rsidRDefault="002D12C1" w:rsidP="00B852E0">
      <w:pPr>
        <w:pStyle w:val="ListParagraph"/>
        <w:numPr>
          <w:ilvl w:val="0"/>
          <w:numId w:val="14"/>
        </w:numPr>
        <w:spacing w:after="0" w:line="240" w:lineRule="auto"/>
        <w:jc w:val="both"/>
        <w:rPr>
          <w:sz w:val="21"/>
          <w:szCs w:val="21"/>
        </w:rPr>
      </w:pPr>
      <w:r w:rsidRPr="00B5685A">
        <w:rPr>
          <w:sz w:val="21"/>
          <w:szCs w:val="21"/>
        </w:rPr>
        <w:t xml:space="preserve">Increase the dedicated fiscal space for education and commit to ring-fencing funds to social protection and education systems. </w:t>
      </w:r>
    </w:p>
    <w:p w14:paraId="5119EC50" w14:textId="009CEB9B" w:rsidR="002D12C1" w:rsidRPr="00B5685A" w:rsidRDefault="002D12C1" w:rsidP="00B852E0">
      <w:pPr>
        <w:pStyle w:val="ListParagraph"/>
        <w:numPr>
          <w:ilvl w:val="0"/>
          <w:numId w:val="14"/>
        </w:numPr>
        <w:spacing w:after="0" w:line="240" w:lineRule="auto"/>
        <w:jc w:val="both"/>
        <w:rPr>
          <w:sz w:val="21"/>
          <w:szCs w:val="21"/>
        </w:rPr>
      </w:pPr>
      <w:r w:rsidRPr="00B5685A">
        <w:rPr>
          <w:sz w:val="21"/>
          <w:szCs w:val="21"/>
        </w:rPr>
        <w:t>Commit to allocate educational investment more efficiently and equitably – with progress towards quality education ensuring value for money, an</w:t>
      </w:r>
      <w:r w:rsidR="00906A7F" w:rsidRPr="00B5685A">
        <w:rPr>
          <w:sz w:val="21"/>
          <w:szCs w:val="21"/>
        </w:rPr>
        <w:t>d p</w:t>
      </w:r>
      <w:r w:rsidR="00906A7F" w:rsidRPr="00B5685A">
        <w:rPr>
          <w:rFonts w:ascii="Calibri" w:hAnsi="Calibri" w:cs="Calibri"/>
          <w:sz w:val="21"/>
          <w:szCs w:val="21"/>
        </w:rPr>
        <w:t>romote equity-based financing policies targeting marginalized and disadvantaged learners and communities at all educational levels.</w:t>
      </w:r>
    </w:p>
    <w:p w14:paraId="09FC5DA9" w14:textId="29E23230" w:rsidR="002D12C1" w:rsidRPr="00B5685A" w:rsidRDefault="002D12C1" w:rsidP="00B852E0">
      <w:pPr>
        <w:pStyle w:val="ListParagraph"/>
        <w:numPr>
          <w:ilvl w:val="0"/>
          <w:numId w:val="14"/>
        </w:numPr>
        <w:spacing w:after="0" w:line="240" w:lineRule="auto"/>
        <w:jc w:val="both"/>
        <w:rPr>
          <w:sz w:val="21"/>
          <w:szCs w:val="21"/>
        </w:rPr>
      </w:pPr>
      <w:r w:rsidRPr="00B5685A">
        <w:rPr>
          <w:sz w:val="21"/>
          <w:szCs w:val="21"/>
        </w:rPr>
        <w:t>Increase the efficiency and effectiveness of educational investment</w:t>
      </w:r>
      <w:r w:rsidR="002C0115" w:rsidRPr="00B5685A">
        <w:rPr>
          <w:sz w:val="21"/>
          <w:szCs w:val="21"/>
        </w:rPr>
        <w:t xml:space="preserve"> </w:t>
      </w:r>
      <w:r w:rsidR="002C0115" w:rsidRPr="00B5685A">
        <w:rPr>
          <w:rFonts w:ascii="Calibri" w:hAnsi="Calibri" w:cs="Calibri"/>
          <w:sz w:val="21"/>
          <w:szCs w:val="21"/>
        </w:rPr>
        <w:t>by r</w:t>
      </w:r>
      <w:r w:rsidRPr="00B5685A">
        <w:rPr>
          <w:sz w:val="21"/>
          <w:szCs w:val="21"/>
        </w:rPr>
        <w:t>educing leakages, increasing delivery capacity of education institutions, and strengthening government accountability frameworks</w:t>
      </w:r>
      <w:r w:rsidR="002C0115" w:rsidRPr="00B5685A">
        <w:rPr>
          <w:sz w:val="21"/>
          <w:szCs w:val="21"/>
        </w:rPr>
        <w:t xml:space="preserve"> </w:t>
      </w:r>
      <w:r w:rsidR="002C0115" w:rsidRPr="00B5685A">
        <w:rPr>
          <w:rFonts w:ascii="Calibri" w:hAnsi="Calibri" w:cs="Calibri"/>
          <w:sz w:val="21"/>
          <w:szCs w:val="21"/>
        </w:rPr>
        <w:t xml:space="preserve">ensuring transparent and evidence-based allocation and effective utilization of resources based on clear standards for financial management, monitoring and reporting. </w:t>
      </w:r>
      <w:r w:rsidRPr="00B5685A">
        <w:rPr>
          <w:sz w:val="21"/>
          <w:szCs w:val="21"/>
        </w:rPr>
        <w:t xml:space="preserve"> </w:t>
      </w:r>
    </w:p>
    <w:p w14:paraId="18810663" w14:textId="77777777" w:rsidR="00A0289C" w:rsidRPr="00B5685A" w:rsidRDefault="00A0289C" w:rsidP="00B852E0">
      <w:pPr>
        <w:pStyle w:val="ListParagraph"/>
        <w:spacing w:after="0" w:line="240" w:lineRule="auto"/>
        <w:ind w:left="426"/>
        <w:jc w:val="both"/>
        <w:rPr>
          <w:sz w:val="21"/>
          <w:szCs w:val="21"/>
        </w:rPr>
      </w:pPr>
    </w:p>
    <w:p w14:paraId="31A1C7A1" w14:textId="77777777" w:rsidR="002D12C1" w:rsidRPr="00B5685A" w:rsidRDefault="002D12C1" w:rsidP="00B852E0">
      <w:pPr>
        <w:spacing w:after="0" w:line="240" w:lineRule="auto"/>
        <w:jc w:val="both"/>
        <w:rPr>
          <w:sz w:val="21"/>
          <w:szCs w:val="21"/>
        </w:rPr>
      </w:pPr>
      <w:r w:rsidRPr="00B5685A">
        <w:rPr>
          <w:sz w:val="21"/>
          <w:szCs w:val="21"/>
        </w:rPr>
        <w:t>Recommendations for the international community are:</w:t>
      </w:r>
    </w:p>
    <w:p w14:paraId="0832B565" w14:textId="77777777" w:rsidR="00E5205D" w:rsidRPr="00B5685A" w:rsidRDefault="00E5205D" w:rsidP="005046C3">
      <w:pPr>
        <w:pStyle w:val="ListParagraph"/>
        <w:numPr>
          <w:ilvl w:val="0"/>
          <w:numId w:val="15"/>
        </w:numPr>
        <w:spacing w:after="0" w:line="240" w:lineRule="auto"/>
        <w:jc w:val="both"/>
        <w:rPr>
          <w:sz w:val="21"/>
          <w:szCs w:val="21"/>
        </w:rPr>
      </w:pPr>
      <w:r w:rsidRPr="00B5685A">
        <w:rPr>
          <w:sz w:val="21"/>
          <w:szCs w:val="21"/>
        </w:rPr>
        <w:t>Donor countries must honor their commitments to provide at least 0.7% of their gross national income (GNI) as official development assistance (ODA) to developing countries, increase the share of ODA to invest in education, and allocate such aid to the countries furthest behind on reaching SDG4.</w:t>
      </w:r>
    </w:p>
    <w:p w14:paraId="26743DE9" w14:textId="4AB6D7CE" w:rsidR="002D12C1" w:rsidRPr="00B5685A" w:rsidRDefault="002D12C1" w:rsidP="005046C3">
      <w:pPr>
        <w:pStyle w:val="ListParagraph"/>
        <w:numPr>
          <w:ilvl w:val="0"/>
          <w:numId w:val="15"/>
        </w:numPr>
        <w:spacing w:after="0" w:line="240" w:lineRule="auto"/>
        <w:jc w:val="both"/>
        <w:rPr>
          <w:sz w:val="21"/>
          <w:szCs w:val="21"/>
        </w:rPr>
      </w:pPr>
      <w:r w:rsidRPr="00B5685A">
        <w:rPr>
          <w:sz w:val="21"/>
          <w:szCs w:val="21"/>
        </w:rPr>
        <w:t xml:space="preserve">Prioritize global and regional actions on harmonization of taxes, supporting reforms that can help countries expand tax-to-GDP ratios in a rapid and progressive way, and ensuring global rules do not create a “race to the bottom”. </w:t>
      </w:r>
    </w:p>
    <w:p w14:paraId="5477E5FD" w14:textId="1A7D193E" w:rsidR="002D12C1" w:rsidRPr="00B5685A" w:rsidRDefault="002D12C1" w:rsidP="005046C3">
      <w:pPr>
        <w:pStyle w:val="ListParagraph"/>
        <w:numPr>
          <w:ilvl w:val="0"/>
          <w:numId w:val="15"/>
        </w:numPr>
        <w:spacing w:after="0" w:line="240" w:lineRule="auto"/>
        <w:jc w:val="both"/>
        <w:rPr>
          <w:sz w:val="21"/>
          <w:szCs w:val="21"/>
        </w:rPr>
      </w:pPr>
      <w:r w:rsidRPr="00B5685A">
        <w:rPr>
          <w:sz w:val="21"/>
          <w:szCs w:val="21"/>
        </w:rPr>
        <w:t xml:space="preserve">Promote </w:t>
      </w:r>
      <w:r w:rsidR="00C04165" w:rsidRPr="00B5685A">
        <w:rPr>
          <w:sz w:val="21"/>
          <w:szCs w:val="21"/>
        </w:rPr>
        <w:t>international</w:t>
      </w:r>
      <w:r w:rsidRPr="00B5685A">
        <w:rPr>
          <w:sz w:val="21"/>
          <w:szCs w:val="21"/>
        </w:rPr>
        <w:t xml:space="preserve"> </w:t>
      </w:r>
      <w:r w:rsidR="0086145B" w:rsidRPr="00B5685A">
        <w:rPr>
          <w:sz w:val="21"/>
          <w:szCs w:val="21"/>
        </w:rPr>
        <w:t xml:space="preserve">tax justice with </w:t>
      </w:r>
      <w:r w:rsidRPr="00B5685A">
        <w:rPr>
          <w:sz w:val="21"/>
          <w:szCs w:val="21"/>
        </w:rPr>
        <w:t>action</w:t>
      </w:r>
      <w:r w:rsidR="0086145B" w:rsidRPr="00B5685A">
        <w:rPr>
          <w:sz w:val="21"/>
          <w:szCs w:val="21"/>
        </w:rPr>
        <w:t>s</w:t>
      </w:r>
      <w:r w:rsidRPr="00B5685A">
        <w:rPr>
          <w:sz w:val="21"/>
          <w:szCs w:val="21"/>
        </w:rPr>
        <w:t xml:space="preserve"> on </w:t>
      </w:r>
      <w:r w:rsidR="0086145B" w:rsidRPr="00B5685A">
        <w:rPr>
          <w:rFonts w:ascii="Calibri" w:hAnsi="Calibri" w:cs="Calibri"/>
          <w:sz w:val="21"/>
          <w:szCs w:val="21"/>
        </w:rPr>
        <w:t>equitable taxation of the wealthy and multinational companies</w:t>
      </w:r>
      <w:r w:rsidR="0086145B" w:rsidRPr="00B5685A">
        <w:rPr>
          <w:rFonts w:ascii="Calibri" w:hAnsi="Calibri" w:cs="Calibri" w:hint="eastAsia"/>
          <w:sz w:val="21"/>
          <w:szCs w:val="21"/>
        </w:rPr>
        <w:t>,</w:t>
      </w:r>
      <w:r w:rsidR="0086145B" w:rsidRPr="00B5685A">
        <w:rPr>
          <w:rFonts w:ascii="Calibri" w:hAnsi="Calibri" w:cs="Calibri"/>
          <w:sz w:val="21"/>
          <w:szCs w:val="21"/>
        </w:rPr>
        <w:t xml:space="preserve"> combat</w:t>
      </w:r>
      <w:r w:rsidR="0086145B" w:rsidRPr="00B5685A">
        <w:rPr>
          <w:rFonts w:ascii="Calibri" w:hAnsi="Calibri" w:cs="Calibri" w:hint="eastAsia"/>
          <w:sz w:val="21"/>
          <w:szCs w:val="21"/>
        </w:rPr>
        <w:t xml:space="preserve">ing </w:t>
      </w:r>
      <w:r w:rsidR="0086145B" w:rsidRPr="00B5685A">
        <w:rPr>
          <w:rFonts w:ascii="Calibri" w:hAnsi="Calibri" w:cs="Calibri"/>
          <w:sz w:val="21"/>
          <w:szCs w:val="21"/>
        </w:rPr>
        <w:t>tax evasion and illicit financial flows, taxation of harmful activities and products</w:t>
      </w:r>
      <w:r w:rsidRPr="00B5685A">
        <w:rPr>
          <w:sz w:val="21"/>
          <w:szCs w:val="21"/>
        </w:rPr>
        <w:t xml:space="preserve">, </w:t>
      </w:r>
      <w:r w:rsidR="0086145B" w:rsidRPr="00B5685A">
        <w:rPr>
          <w:sz w:val="21"/>
          <w:szCs w:val="21"/>
        </w:rPr>
        <w:t xml:space="preserve">address </w:t>
      </w:r>
      <w:r w:rsidRPr="00B5685A">
        <w:rPr>
          <w:sz w:val="21"/>
          <w:szCs w:val="21"/>
        </w:rPr>
        <w:t xml:space="preserve">unfair trade taxation, acting on tax havens, and fair global tax rules. </w:t>
      </w:r>
    </w:p>
    <w:p w14:paraId="7DBD2B69" w14:textId="7A30B2BF" w:rsidR="002D502A" w:rsidRPr="00B5685A" w:rsidRDefault="00DC368D" w:rsidP="005046C3">
      <w:pPr>
        <w:pStyle w:val="ListParagraph"/>
        <w:numPr>
          <w:ilvl w:val="0"/>
          <w:numId w:val="15"/>
        </w:numPr>
        <w:spacing w:after="0" w:line="240" w:lineRule="auto"/>
        <w:jc w:val="both"/>
        <w:rPr>
          <w:sz w:val="21"/>
          <w:szCs w:val="21"/>
        </w:rPr>
      </w:pPr>
      <w:r w:rsidRPr="00B5685A">
        <w:rPr>
          <w:rFonts w:ascii="Calibri" w:hAnsi="Calibri" w:cs="Calibri"/>
          <w:sz w:val="21"/>
          <w:szCs w:val="21"/>
        </w:rPr>
        <w:t>Address debt distress and s</w:t>
      </w:r>
      <w:r w:rsidR="002D502A" w:rsidRPr="00B5685A">
        <w:rPr>
          <w:rFonts w:ascii="Calibri" w:hAnsi="Calibri" w:cs="Calibri"/>
          <w:sz w:val="21"/>
          <w:szCs w:val="21"/>
        </w:rPr>
        <w:t xml:space="preserve">upport countries with unsustainable </w:t>
      </w:r>
      <w:r w:rsidR="003E4306" w:rsidRPr="00B5685A">
        <w:rPr>
          <w:rFonts w:ascii="Calibri" w:hAnsi="Calibri" w:cs="Calibri"/>
          <w:sz w:val="21"/>
          <w:szCs w:val="21"/>
        </w:rPr>
        <w:t xml:space="preserve">sovereign </w:t>
      </w:r>
      <w:r w:rsidR="002D502A" w:rsidRPr="00B5685A">
        <w:rPr>
          <w:rFonts w:ascii="Calibri" w:hAnsi="Calibri" w:cs="Calibri"/>
          <w:sz w:val="21"/>
          <w:szCs w:val="21"/>
        </w:rPr>
        <w:t>debt levels and limited fiscal space</w:t>
      </w:r>
      <w:r w:rsidR="002D502A" w:rsidRPr="00B5685A">
        <w:rPr>
          <w:rFonts w:ascii="Calibri" w:hAnsi="Calibri" w:cs="Calibri" w:hint="eastAsia"/>
          <w:sz w:val="21"/>
          <w:szCs w:val="21"/>
        </w:rPr>
        <w:t xml:space="preserve"> to protect their </w:t>
      </w:r>
      <w:r w:rsidR="002D502A" w:rsidRPr="00B5685A">
        <w:rPr>
          <w:rFonts w:ascii="Calibri" w:hAnsi="Calibri" w:cs="Calibri"/>
          <w:sz w:val="21"/>
          <w:szCs w:val="21"/>
        </w:rPr>
        <w:t>education</w:t>
      </w:r>
      <w:r w:rsidR="002D502A" w:rsidRPr="00B5685A">
        <w:rPr>
          <w:rFonts w:ascii="Calibri" w:hAnsi="Calibri" w:cs="Calibri" w:hint="eastAsia"/>
          <w:sz w:val="21"/>
          <w:szCs w:val="21"/>
        </w:rPr>
        <w:t xml:space="preserve"> budget</w:t>
      </w:r>
      <w:r w:rsidR="003E4306" w:rsidRPr="00B5685A">
        <w:rPr>
          <w:rFonts w:ascii="Calibri" w:hAnsi="Calibri" w:cs="Calibri"/>
          <w:sz w:val="21"/>
          <w:szCs w:val="21"/>
        </w:rPr>
        <w:t>s</w:t>
      </w:r>
      <w:r w:rsidR="002D502A" w:rsidRPr="00B5685A">
        <w:rPr>
          <w:rFonts w:ascii="Calibri" w:hAnsi="Calibri" w:cs="Calibri"/>
          <w:sz w:val="21"/>
          <w:szCs w:val="21"/>
        </w:rPr>
        <w:t>, through actions on</w:t>
      </w:r>
      <w:r w:rsidR="002D502A" w:rsidRPr="00B5685A">
        <w:rPr>
          <w:rFonts w:ascii="Calibri" w:hAnsi="Calibri" w:cs="Calibri" w:hint="eastAsia"/>
          <w:sz w:val="21"/>
          <w:szCs w:val="21"/>
        </w:rPr>
        <w:t xml:space="preserve"> </w:t>
      </w:r>
      <w:r w:rsidR="002D502A" w:rsidRPr="00B5685A">
        <w:rPr>
          <w:rFonts w:ascii="Calibri" w:hAnsi="Calibri" w:cs="Calibri"/>
          <w:sz w:val="21"/>
          <w:szCs w:val="21"/>
        </w:rPr>
        <w:t>debt management and restructuring, and in some cases, debt relief, debt cancellation and application of debt-for-education swaps.</w:t>
      </w:r>
    </w:p>
    <w:p w14:paraId="3A55322B" w14:textId="55D4983D" w:rsidR="002D12C1" w:rsidRPr="00B5685A" w:rsidRDefault="002D12C1" w:rsidP="005046C3">
      <w:pPr>
        <w:pStyle w:val="ListParagraph"/>
        <w:numPr>
          <w:ilvl w:val="0"/>
          <w:numId w:val="15"/>
        </w:numPr>
        <w:spacing w:after="0" w:line="240" w:lineRule="auto"/>
        <w:jc w:val="both"/>
        <w:rPr>
          <w:sz w:val="21"/>
          <w:szCs w:val="21"/>
        </w:rPr>
      </w:pPr>
      <w:r w:rsidRPr="00B5685A">
        <w:rPr>
          <w:sz w:val="21"/>
          <w:szCs w:val="21"/>
        </w:rPr>
        <w:t xml:space="preserve">Work on scaling up smart aid financing and grants </w:t>
      </w:r>
      <w:r w:rsidR="00C04165" w:rsidRPr="00B5685A">
        <w:rPr>
          <w:sz w:val="21"/>
          <w:szCs w:val="21"/>
        </w:rPr>
        <w:t>to</w:t>
      </w:r>
      <w:r w:rsidR="00DC368D" w:rsidRPr="00B5685A">
        <w:rPr>
          <w:sz w:val="21"/>
          <w:szCs w:val="21"/>
        </w:rPr>
        <w:t xml:space="preserve"> supplement domestic resource mobilization efforts</w:t>
      </w:r>
      <w:r w:rsidRPr="00B5685A">
        <w:rPr>
          <w:sz w:val="21"/>
          <w:szCs w:val="21"/>
        </w:rPr>
        <w:t xml:space="preserve">, </w:t>
      </w:r>
      <w:r w:rsidR="00DC368D" w:rsidRPr="00B5685A">
        <w:rPr>
          <w:sz w:val="21"/>
          <w:szCs w:val="21"/>
        </w:rPr>
        <w:t>including</w:t>
      </w:r>
      <w:r w:rsidRPr="00B5685A">
        <w:rPr>
          <w:sz w:val="21"/>
          <w:szCs w:val="21"/>
        </w:rPr>
        <w:t xml:space="preserve"> expanding innovative financing approaches</w:t>
      </w:r>
      <w:r w:rsidR="00DC368D" w:rsidRPr="00B5685A">
        <w:rPr>
          <w:sz w:val="21"/>
          <w:szCs w:val="21"/>
        </w:rPr>
        <w:t xml:space="preserve"> to unlock additional long-term funding for education service delivery and development.</w:t>
      </w:r>
    </w:p>
    <w:p w14:paraId="71726ABE" w14:textId="77777777" w:rsidR="002D12C1" w:rsidRPr="00B5685A" w:rsidRDefault="002D12C1" w:rsidP="005046C3">
      <w:pPr>
        <w:pStyle w:val="ListParagraph"/>
        <w:numPr>
          <w:ilvl w:val="0"/>
          <w:numId w:val="15"/>
        </w:numPr>
        <w:spacing w:after="0" w:line="240" w:lineRule="auto"/>
        <w:jc w:val="both"/>
        <w:rPr>
          <w:sz w:val="21"/>
          <w:szCs w:val="21"/>
        </w:rPr>
      </w:pPr>
      <w:r w:rsidRPr="00B5685A">
        <w:rPr>
          <w:sz w:val="21"/>
          <w:szCs w:val="21"/>
        </w:rPr>
        <w:lastRenderedPageBreak/>
        <w:t xml:space="preserve">Advance the case for a new allocation of Special Drawing Rights (SDRs) and reallocation of existing SDRs to countries most in need to invest in education. </w:t>
      </w:r>
    </w:p>
    <w:p w14:paraId="4D75F408" w14:textId="347F761E" w:rsidR="002D12C1" w:rsidRPr="00B5685A" w:rsidRDefault="009B3A36" w:rsidP="005046C3">
      <w:pPr>
        <w:pStyle w:val="ListParagraph"/>
        <w:numPr>
          <w:ilvl w:val="0"/>
          <w:numId w:val="15"/>
        </w:numPr>
        <w:spacing w:after="0" w:line="240" w:lineRule="auto"/>
        <w:jc w:val="both"/>
        <w:rPr>
          <w:sz w:val="21"/>
          <w:szCs w:val="21"/>
        </w:rPr>
      </w:pPr>
      <w:r w:rsidRPr="00B5685A">
        <w:rPr>
          <w:sz w:val="21"/>
          <w:szCs w:val="21"/>
        </w:rPr>
        <w:t xml:space="preserve">Urge </w:t>
      </w:r>
      <w:r w:rsidR="002D12C1" w:rsidRPr="00B5685A">
        <w:rPr>
          <w:sz w:val="21"/>
          <w:szCs w:val="21"/>
        </w:rPr>
        <w:t>International Financial Institutions to revisit public sector wage constraints that prevent increased spending on education, and champion policies that will allow recruitment of teachers</w:t>
      </w:r>
      <w:r w:rsidR="00AF3FE2">
        <w:rPr>
          <w:sz w:val="21"/>
          <w:szCs w:val="21"/>
        </w:rPr>
        <w:t xml:space="preserve"> to meet service delivery standards</w:t>
      </w:r>
      <w:r w:rsidR="002D12C1" w:rsidRPr="00B5685A">
        <w:rPr>
          <w:sz w:val="21"/>
          <w:szCs w:val="21"/>
        </w:rPr>
        <w:t>.</w:t>
      </w:r>
    </w:p>
    <w:p w14:paraId="44221EC8" w14:textId="61438569" w:rsidR="00B5685A" w:rsidRDefault="00B5685A" w:rsidP="00B852E0">
      <w:pPr>
        <w:spacing w:after="0" w:line="240" w:lineRule="auto"/>
      </w:pPr>
      <w:r>
        <w:br w:type="page"/>
      </w:r>
    </w:p>
    <w:p w14:paraId="1A95347D" w14:textId="657F9DDB" w:rsidR="002F6B6C" w:rsidRPr="00AC5120" w:rsidRDefault="002F6B6C" w:rsidP="00B852E0">
      <w:pPr>
        <w:spacing w:after="0" w:line="240" w:lineRule="auto"/>
      </w:pPr>
      <w:r w:rsidRPr="6C6142F7">
        <w:rPr>
          <w:highlight w:val="yellow"/>
        </w:rPr>
        <w:lastRenderedPageBreak/>
        <w:t>NB please also provide a 75-word summary of the brief for the website</w:t>
      </w:r>
      <w:r w:rsidR="00AD5D1A">
        <w:t>:</w:t>
      </w:r>
    </w:p>
    <w:p w14:paraId="6779AD93" w14:textId="77777777" w:rsidR="007D1216" w:rsidRDefault="007D1216" w:rsidP="00B852E0">
      <w:pPr>
        <w:spacing w:after="0" w:line="240" w:lineRule="auto"/>
      </w:pPr>
    </w:p>
    <w:p w14:paraId="7E39F985" w14:textId="1BC9C54F" w:rsidR="00B852E0" w:rsidRDefault="00B852E0" w:rsidP="007A2F9D">
      <w:pPr>
        <w:spacing w:after="0" w:line="240" w:lineRule="auto"/>
        <w:jc w:val="both"/>
      </w:pPr>
      <w:r w:rsidRPr="00B852E0">
        <w:t xml:space="preserve">This policy brief explores the urgent need to close the global education financing gap to meet SDG4 targets by 2030. With a shortfall of </w:t>
      </w:r>
      <w:r w:rsidR="007A2F9D">
        <w:t>US</w:t>
      </w:r>
      <w:r w:rsidRPr="00B852E0">
        <w:t>$97 billion annually in low-</w:t>
      </w:r>
      <w:r w:rsidR="00AF3FE2">
        <w:t xml:space="preserve"> and lower-middle-</w:t>
      </w:r>
      <w:r w:rsidRPr="00B852E0">
        <w:t>income countries, the lack of adequate public funding threatens broader development goals like poverty reduction</w:t>
      </w:r>
      <w:r>
        <w:t xml:space="preserve">, </w:t>
      </w:r>
      <w:r w:rsidRPr="00B852E0">
        <w:t>social stability</w:t>
      </w:r>
      <w:r>
        <w:t>, and climate action</w:t>
      </w:r>
      <w:r w:rsidRPr="00B852E0">
        <w:t xml:space="preserve">. The brief calls for </w:t>
      </w:r>
      <w:r w:rsidR="007A2F9D">
        <w:t xml:space="preserve">long-term </w:t>
      </w:r>
      <w:r w:rsidRPr="00B852E0">
        <w:t xml:space="preserve">sustainable financing solutions, </w:t>
      </w:r>
      <w:r>
        <w:t>including</w:t>
      </w:r>
      <w:r w:rsidRPr="00B852E0">
        <w:t xml:space="preserve"> increasing domestic resource mobilization, enhancing international cooperation, </w:t>
      </w:r>
      <w:r>
        <w:t xml:space="preserve">addressing </w:t>
      </w:r>
      <w:r w:rsidR="007A2F9D">
        <w:t xml:space="preserve">debt distress, </w:t>
      </w:r>
      <w:r w:rsidRPr="00B852E0">
        <w:t xml:space="preserve">and </w:t>
      </w:r>
      <w:r w:rsidR="007A2F9D">
        <w:t>further scal</w:t>
      </w:r>
      <w:r w:rsidR="00AF3FE2">
        <w:t>ing</w:t>
      </w:r>
      <w:r w:rsidR="007A2F9D">
        <w:t xml:space="preserve"> </w:t>
      </w:r>
      <w:r w:rsidRPr="00B852E0">
        <w:t xml:space="preserve">innovative </w:t>
      </w:r>
      <w:r w:rsidR="007A2F9D">
        <w:t>financing</w:t>
      </w:r>
      <w:r w:rsidRPr="00B852E0">
        <w:t>, to ensure equitable access to quality education and drive long-term socioeconomic progress.</w:t>
      </w:r>
    </w:p>
    <w:p w14:paraId="7573E6E3" w14:textId="77777777" w:rsidR="00B5685A" w:rsidRDefault="00B5685A" w:rsidP="00B852E0">
      <w:pPr>
        <w:spacing w:after="0" w:line="240" w:lineRule="auto"/>
      </w:pPr>
    </w:p>
    <w:sectPr w:rsidR="00B5685A" w:rsidSect="00B5685A">
      <w:headerReference w:type="default" r:id="rId10"/>
      <w:footerReference w:type="even" r:id="rId11"/>
      <w:footerReference w:type="default" r:id="rId12"/>
      <w:pgSz w:w="12240" w:h="15840"/>
      <w:pgMar w:top="964" w:right="1019" w:bottom="1166" w:left="115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5B49F" w14:textId="77777777" w:rsidR="00A65EA6" w:rsidRDefault="00A65EA6" w:rsidP="003A03B5">
      <w:pPr>
        <w:spacing w:after="0" w:line="240" w:lineRule="auto"/>
      </w:pPr>
      <w:r>
        <w:separator/>
      </w:r>
    </w:p>
  </w:endnote>
  <w:endnote w:type="continuationSeparator" w:id="0">
    <w:p w14:paraId="3AC9C4F7" w14:textId="77777777" w:rsidR="00A65EA6" w:rsidRDefault="00A65EA6"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95791512"/>
      <w:docPartObj>
        <w:docPartGallery w:val="Page Numbers (Bottom of Page)"/>
        <w:docPartUnique/>
      </w:docPartObj>
    </w:sdtPr>
    <w:sdtContent>
      <w:p w14:paraId="6666AB07" w14:textId="4957D90E" w:rsidR="006E0763" w:rsidRDefault="006E0763" w:rsidP="001767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250CC7" w14:textId="77777777" w:rsidR="006E0763" w:rsidRDefault="006E0763" w:rsidP="006E0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49269046"/>
      <w:docPartObj>
        <w:docPartGallery w:val="Page Numbers (Bottom of Page)"/>
        <w:docPartUnique/>
      </w:docPartObj>
    </w:sdtPr>
    <w:sdtContent>
      <w:p w14:paraId="63E44B7F" w14:textId="4FF7CAAE" w:rsidR="006E0763" w:rsidRDefault="006E0763" w:rsidP="001767E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ACD695B" w14:textId="77777777" w:rsidR="006E0763" w:rsidRDefault="006E0763" w:rsidP="006E0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899A" w14:textId="77777777" w:rsidR="00A65EA6" w:rsidRDefault="00A65EA6" w:rsidP="003A03B5">
      <w:pPr>
        <w:spacing w:after="0" w:line="240" w:lineRule="auto"/>
      </w:pPr>
      <w:r>
        <w:separator/>
      </w:r>
    </w:p>
  </w:footnote>
  <w:footnote w:type="continuationSeparator" w:id="0">
    <w:p w14:paraId="7CF8A2F7" w14:textId="77777777" w:rsidR="00A65EA6" w:rsidRDefault="00A65EA6" w:rsidP="003A03B5">
      <w:pPr>
        <w:spacing w:after="0" w:line="240" w:lineRule="auto"/>
      </w:pPr>
      <w:r>
        <w:continuationSeparator/>
      </w:r>
    </w:p>
  </w:footnote>
  <w:footnote w:id="1">
    <w:p w14:paraId="6FA4FBD5" w14:textId="77777777" w:rsidR="00BF7165" w:rsidRPr="001F53DB" w:rsidRDefault="00BF7165" w:rsidP="00BF7165">
      <w:pPr>
        <w:pStyle w:val="FootnoteText"/>
        <w:rPr>
          <w:sz w:val="16"/>
          <w:szCs w:val="16"/>
        </w:rPr>
      </w:pPr>
      <w:r w:rsidRPr="001F53DB">
        <w:rPr>
          <w:rStyle w:val="FootnoteReference"/>
          <w:sz w:val="16"/>
          <w:szCs w:val="16"/>
        </w:rPr>
        <w:footnoteRef/>
      </w:r>
      <w:r w:rsidRPr="001F53DB">
        <w:rPr>
          <w:sz w:val="16"/>
          <w:szCs w:val="16"/>
        </w:rPr>
        <w:t xml:space="preserve"> United Nations. 2024. </w:t>
      </w:r>
      <w:r w:rsidRPr="001F53DB">
        <w:rPr>
          <w:i/>
          <w:iCs/>
          <w:sz w:val="16"/>
          <w:szCs w:val="16"/>
        </w:rPr>
        <w:t xml:space="preserve">The Sustainable Development Goals Report 2024. </w:t>
      </w:r>
      <w:r w:rsidRPr="001F53DB">
        <w:rPr>
          <w:sz w:val="16"/>
          <w:szCs w:val="16"/>
        </w:rPr>
        <w:t xml:space="preserve">UN Department of Economic and Social Affairs. June 2024. Available at: </w:t>
      </w:r>
      <w:hyperlink r:id="rId1" w:history="1">
        <w:r w:rsidRPr="001F53DB">
          <w:rPr>
            <w:rStyle w:val="Hyperlink"/>
            <w:sz w:val="16"/>
            <w:szCs w:val="16"/>
          </w:rPr>
          <w:t>https://unstats.un.org/sdgs/report/2024/The-Sustainable-Development-Goals-Report-2024.pdf</w:t>
        </w:r>
      </w:hyperlink>
      <w:r w:rsidRPr="001F53DB">
        <w:rPr>
          <w:sz w:val="16"/>
          <w:szCs w:val="16"/>
        </w:rPr>
        <w:t xml:space="preserve"> </w:t>
      </w:r>
    </w:p>
  </w:footnote>
  <w:footnote w:id="2">
    <w:p w14:paraId="4DD6E676" w14:textId="0194C878" w:rsidR="00BF7165" w:rsidRPr="001F53DB" w:rsidRDefault="00BF7165" w:rsidP="00BF7165">
      <w:pPr>
        <w:pStyle w:val="FootnoteText"/>
        <w:rPr>
          <w:sz w:val="16"/>
          <w:szCs w:val="16"/>
        </w:rPr>
      </w:pPr>
      <w:r w:rsidRPr="001F53DB">
        <w:rPr>
          <w:rStyle w:val="FootnoteReference"/>
          <w:sz w:val="16"/>
          <w:szCs w:val="16"/>
        </w:rPr>
        <w:footnoteRef/>
      </w:r>
      <w:r w:rsidRPr="001F53DB">
        <w:rPr>
          <w:sz w:val="16"/>
          <w:szCs w:val="16"/>
        </w:rPr>
        <w:t xml:space="preserve"> Ibid. </w:t>
      </w:r>
    </w:p>
  </w:footnote>
  <w:footnote w:id="3">
    <w:p w14:paraId="2E14A826" w14:textId="77777777" w:rsidR="00A45850" w:rsidRPr="001F53DB" w:rsidRDefault="00A45850" w:rsidP="00A45850">
      <w:pPr>
        <w:pStyle w:val="FootnoteText"/>
        <w:rPr>
          <w:rFonts w:ascii="Calibri" w:hAnsi="Calibri" w:cs="Calibri"/>
          <w:sz w:val="16"/>
          <w:szCs w:val="16"/>
          <w:shd w:val="clear" w:color="auto" w:fill="FFFFFF"/>
        </w:rPr>
      </w:pPr>
      <w:r w:rsidRPr="001F53DB">
        <w:rPr>
          <w:rStyle w:val="FootnoteReference"/>
          <w:rFonts w:ascii="Calibri" w:hAnsi="Calibri" w:cs="Calibri"/>
          <w:sz w:val="16"/>
          <w:szCs w:val="16"/>
        </w:rPr>
        <w:footnoteRef/>
      </w:r>
      <w:r w:rsidRPr="001F53DB">
        <w:rPr>
          <w:rFonts w:ascii="Calibri" w:hAnsi="Calibri" w:cs="Calibri"/>
          <w:sz w:val="16"/>
          <w:szCs w:val="16"/>
        </w:rPr>
        <w:t xml:space="preserve"> UNESCO. 2023. </w:t>
      </w:r>
      <w:r w:rsidRPr="00595B59">
        <w:rPr>
          <w:rStyle w:val="normaltextrun"/>
          <w:rFonts w:ascii="Calibri" w:hAnsi="Calibri" w:cs="Calibri"/>
          <w:i/>
          <w:iCs/>
          <w:sz w:val="16"/>
          <w:szCs w:val="16"/>
          <w:shd w:val="clear" w:color="auto" w:fill="FFFFFF"/>
          <w:lang w:val="en-GB"/>
        </w:rPr>
        <w:t xml:space="preserve">Global Education Monitoring Report 2023. </w:t>
      </w:r>
      <w:r w:rsidRPr="001F53DB">
        <w:rPr>
          <w:rStyle w:val="eop"/>
          <w:rFonts w:ascii="Calibri" w:hAnsi="Calibri" w:cs="Calibri"/>
          <w:i/>
          <w:iCs/>
          <w:sz w:val="16"/>
          <w:szCs w:val="16"/>
          <w:shd w:val="clear" w:color="auto" w:fill="FFFFFF"/>
        </w:rPr>
        <w:t>Technology in education: A Tool on Whose Terms</w:t>
      </w:r>
      <w:r w:rsidRPr="001F53DB">
        <w:rPr>
          <w:rStyle w:val="eop"/>
          <w:rFonts w:ascii="Calibri" w:hAnsi="Calibri" w:cs="Calibri"/>
          <w:sz w:val="16"/>
          <w:szCs w:val="16"/>
          <w:shd w:val="clear" w:color="auto" w:fill="FFFFFF"/>
        </w:rPr>
        <w:t xml:space="preserve">? </w:t>
      </w:r>
      <w:hyperlink r:id="rId2" w:history="1">
        <w:r w:rsidRPr="001F53DB">
          <w:rPr>
            <w:rStyle w:val="Hyperlink"/>
            <w:rFonts w:ascii="Calibri" w:hAnsi="Calibri" w:cs="Calibri"/>
            <w:sz w:val="16"/>
            <w:szCs w:val="16"/>
            <w:shd w:val="clear" w:color="auto" w:fill="FFFFFF"/>
          </w:rPr>
          <w:t>https://unesdoc.unesco.org/ark:/48223/pf0000385723</w:t>
        </w:r>
      </w:hyperlink>
    </w:p>
  </w:footnote>
  <w:footnote w:id="4">
    <w:p w14:paraId="3CC77A2C" w14:textId="1AC5BBCE" w:rsidR="00A45850" w:rsidRPr="00595B59" w:rsidRDefault="00A45850" w:rsidP="00A45850">
      <w:pPr>
        <w:pStyle w:val="FootnoteText"/>
        <w:rPr>
          <w:rFonts w:ascii="Calibri" w:hAnsi="Calibri" w:cs="Calibri"/>
          <w:sz w:val="16"/>
          <w:szCs w:val="16"/>
          <w:lang w:val="en-GB"/>
        </w:rPr>
      </w:pPr>
      <w:r w:rsidRPr="001F53DB">
        <w:rPr>
          <w:rStyle w:val="FootnoteReference"/>
          <w:rFonts w:ascii="Calibri" w:hAnsi="Calibri" w:cs="Calibri"/>
          <w:sz w:val="16"/>
          <w:szCs w:val="16"/>
        </w:rPr>
        <w:footnoteRef/>
      </w:r>
      <w:r w:rsidRPr="001F53DB">
        <w:rPr>
          <w:rFonts w:ascii="Calibri" w:hAnsi="Calibri" w:cs="Calibri"/>
          <w:sz w:val="16"/>
          <w:szCs w:val="16"/>
        </w:rPr>
        <w:t xml:space="preserve"> UNESCO and </w:t>
      </w:r>
      <w:r w:rsidR="00984FDD" w:rsidRPr="001F53DB">
        <w:rPr>
          <w:rFonts w:ascii="Calibri" w:hAnsi="Calibri" w:cs="Calibri"/>
          <w:sz w:val="16"/>
          <w:szCs w:val="16"/>
        </w:rPr>
        <w:t xml:space="preserve">the </w:t>
      </w:r>
      <w:r w:rsidRPr="001F53DB">
        <w:rPr>
          <w:rFonts w:ascii="Calibri" w:hAnsi="Calibri" w:cs="Calibri"/>
          <w:sz w:val="16"/>
          <w:szCs w:val="16"/>
        </w:rPr>
        <w:t xml:space="preserve">World Bank. 2024. </w:t>
      </w:r>
      <w:r w:rsidRPr="001F53DB">
        <w:rPr>
          <w:rFonts w:ascii="Calibri" w:hAnsi="Calibri" w:cs="Calibri"/>
          <w:i/>
          <w:iCs/>
          <w:sz w:val="16"/>
          <w:szCs w:val="16"/>
        </w:rPr>
        <w:t>Education Finance Watch 2024</w:t>
      </w:r>
      <w:r w:rsidRPr="001F53DB">
        <w:rPr>
          <w:rFonts w:ascii="Calibri" w:hAnsi="Calibri" w:cs="Calibri"/>
          <w:sz w:val="16"/>
          <w:szCs w:val="16"/>
        </w:rPr>
        <w:t xml:space="preserve">. </w:t>
      </w:r>
      <w:hyperlink r:id="rId3" w:history="1">
        <w:r w:rsidRPr="001F53DB">
          <w:rPr>
            <w:rStyle w:val="Hyperlink"/>
            <w:rFonts w:ascii="Calibri" w:hAnsi="Calibri" w:cs="Calibri"/>
            <w:sz w:val="16"/>
            <w:szCs w:val="16"/>
          </w:rPr>
          <w:t>https://www.unesco.org/gem-report/en/2024efw</w:t>
        </w:r>
      </w:hyperlink>
    </w:p>
  </w:footnote>
  <w:footnote w:id="5">
    <w:p w14:paraId="169C5BF1" w14:textId="77777777" w:rsidR="00666C66" w:rsidRPr="001F53DB" w:rsidRDefault="00666C66" w:rsidP="00666C66">
      <w:pPr>
        <w:pStyle w:val="FootnoteText"/>
        <w:rPr>
          <w:rFonts w:ascii="Calibri" w:hAnsi="Calibri" w:cs="Calibri"/>
          <w:sz w:val="16"/>
          <w:szCs w:val="16"/>
        </w:rPr>
      </w:pPr>
      <w:r w:rsidRPr="001F53DB">
        <w:rPr>
          <w:rStyle w:val="FootnoteReference"/>
          <w:rFonts w:ascii="Calibri" w:hAnsi="Calibri" w:cs="Calibri"/>
          <w:sz w:val="16"/>
          <w:szCs w:val="16"/>
        </w:rPr>
        <w:footnoteRef/>
      </w:r>
      <w:r w:rsidRPr="001F53DB">
        <w:rPr>
          <w:rFonts w:ascii="Calibri" w:hAnsi="Calibri" w:cs="Calibri"/>
          <w:sz w:val="16"/>
          <w:szCs w:val="16"/>
        </w:rPr>
        <w:t xml:space="preserve"> UNESCO and International Task Force on Teachers for Education 2030. 2024. </w:t>
      </w:r>
      <w:r w:rsidRPr="001F53DB">
        <w:rPr>
          <w:rFonts w:ascii="Calibri" w:hAnsi="Calibri" w:cs="Calibri"/>
          <w:i/>
          <w:iCs/>
          <w:sz w:val="16"/>
          <w:szCs w:val="16"/>
        </w:rPr>
        <w:t>Global Report on Teachers: Addressing teacher shortages and transforming the profession</w:t>
      </w:r>
      <w:r w:rsidRPr="001F53DB">
        <w:rPr>
          <w:rFonts w:ascii="Calibri" w:hAnsi="Calibri" w:cs="Calibri"/>
          <w:sz w:val="16"/>
          <w:szCs w:val="16"/>
        </w:rPr>
        <w:t xml:space="preserve">. </w:t>
      </w:r>
      <w:hyperlink r:id="rId4" w:history="1">
        <w:r w:rsidRPr="001F53DB">
          <w:rPr>
            <w:rStyle w:val="Hyperlink"/>
            <w:rFonts w:ascii="Calibri" w:hAnsi="Calibri" w:cs="Calibri"/>
            <w:sz w:val="16"/>
            <w:szCs w:val="16"/>
          </w:rPr>
          <w:t>https://unesdoc.unesco.org/ark:/48223/pf0000388832.locale=en</w:t>
        </w:r>
      </w:hyperlink>
    </w:p>
  </w:footnote>
  <w:footnote w:id="6">
    <w:p w14:paraId="2E193147" w14:textId="390D966F" w:rsidR="00984FDD" w:rsidRPr="001F53DB" w:rsidRDefault="00984FDD">
      <w:pPr>
        <w:pStyle w:val="FootnoteText"/>
        <w:rPr>
          <w:sz w:val="16"/>
          <w:szCs w:val="16"/>
        </w:rPr>
      </w:pPr>
      <w:r w:rsidRPr="001F53DB">
        <w:rPr>
          <w:rStyle w:val="FootnoteReference"/>
          <w:sz w:val="16"/>
          <w:szCs w:val="16"/>
        </w:rPr>
        <w:footnoteRef/>
      </w:r>
      <w:r w:rsidRPr="001F53DB">
        <w:rPr>
          <w:sz w:val="16"/>
          <w:szCs w:val="16"/>
        </w:rPr>
        <w:t xml:space="preserve"> </w:t>
      </w:r>
      <w:r w:rsidRPr="001F53DB">
        <w:rPr>
          <w:rFonts w:ascii="Calibri" w:hAnsi="Calibri" w:cs="Calibri"/>
          <w:sz w:val="16"/>
          <w:szCs w:val="16"/>
        </w:rPr>
        <w:t xml:space="preserve">UNESCO, OECD and Commonwealth Secretariat. 2024. </w:t>
      </w:r>
      <w:r w:rsidRPr="001F53DB">
        <w:rPr>
          <w:rFonts w:ascii="Calibri" w:hAnsi="Calibri" w:cs="Calibri"/>
          <w:i/>
          <w:iCs/>
          <w:sz w:val="16"/>
          <w:szCs w:val="16"/>
        </w:rPr>
        <w:t>The Price of Inaction: The global private, fiscal and social costs of children and youth not learning</w:t>
      </w:r>
      <w:r w:rsidRPr="001F53DB">
        <w:rPr>
          <w:rFonts w:ascii="Calibri" w:hAnsi="Calibri" w:cs="Calibri"/>
          <w:sz w:val="16"/>
          <w:szCs w:val="16"/>
        </w:rPr>
        <w:t xml:space="preserve">. </w:t>
      </w:r>
      <w:hyperlink r:id="rId5" w:history="1">
        <w:r w:rsidRPr="001F53DB">
          <w:rPr>
            <w:rStyle w:val="Hyperlink"/>
            <w:rFonts w:ascii="Calibri" w:hAnsi="Calibri" w:cs="Calibri"/>
            <w:sz w:val="16"/>
            <w:szCs w:val="16"/>
          </w:rPr>
          <w:t>https://unesdoc.unesco.org/ark:/48223/pf0000389852</w:t>
        </w:r>
      </w:hyperlink>
    </w:p>
  </w:footnote>
  <w:footnote w:id="7">
    <w:p w14:paraId="343CC2D6" w14:textId="69D92B12" w:rsidR="00666C66" w:rsidRPr="00F04054" w:rsidRDefault="00666C66" w:rsidP="00666C66">
      <w:pPr>
        <w:pStyle w:val="FootnoteText"/>
        <w:rPr>
          <w:rFonts w:ascii="Calibri" w:hAnsi="Calibri" w:cs="Calibri"/>
          <w:sz w:val="16"/>
          <w:szCs w:val="16"/>
          <w:lang w:val="es-ES"/>
        </w:rPr>
      </w:pPr>
      <w:r w:rsidRPr="001F53DB">
        <w:rPr>
          <w:rStyle w:val="FootnoteReference"/>
          <w:rFonts w:ascii="Calibri" w:hAnsi="Calibri" w:cs="Calibri"/>
          <w:sz w:val="16"/>
          <w:szCs w:val="16"/>
        </w:rPr>
        <w:footnoteRef/>
      </w:r>
      <w:r w:rsidRPr="00595B59">
        <w:rPr>
          <w:rFonts w:ascii="Calibri" w:hAnsi="Calibri" w:cs="Calibri"/>
          <w:sz w:val="16"/>
          <w:szCs w:val="16"/>
          <w:lang w:val="en-GB"/>
        </w:rPr>
        <w:t xml:space="preserve"> </w:t>
      </w:r>
      <w:r w:rsidRPr="001F53DB">
        <w:rPr>
          <w:rFonts w:ascii="Calibri" w:hAnsi="Calibri" w:cs="Calibri"/>
          <w:sz w:val="16"/>
          <w:szCs w:val="16"/>
        </w:rPr>
        <w:t xml:space="preserve">UNESCO and </w:t>
      </w:r>
      <w:r w:rsidR="00984FDD" w:rsidRPr="001F53DB">
        <w:rPr>
          <w:rFonts w:ascii="Calibri" w:hAnsi="Calibri" w:cs="Calibri"/>
          <w:sz w:val="16"/>
          <w:szCs w:val="16"/>
        </w:rPr>
        <w:t xml:space="preserve">the </w:t>
      </w:r>
      <w:r w:rsidRPr="001F53DB">
        <w:rPr>
          <w:rFonts w:ascii="Calibri" w:hAnsi="Calibri" w:cs="Calibri"/>
          <w:sz w:val="16"/>
          <w:szCs w:val="16"/>
        </w:rPr>
        <w:t xml:space="preserve">World Bank. 2024. </w:t>
      </w:r>
      <w:r w:rsidRPr="001F53DB">
        <w:rPr>
          <w:rFonts w:ascii="Calibri" w:hAnsi="Calibri" w:cs="Calibri"/>
          <w:i/>
          <w:iCs/>
          <w:sz w:val="16"/>
          <w:szCs w:val="16"/>
        </w:rPr>
        <w:t>Education Finance Watch 2024</w:t>
      </w:r>
      <w:r w:rsidRPr="001F53DB">
        <w:rPr>
          <w:rFonts w:ascii="Calibri" w:hAnsi="Calibri" w:cs="Calibri"/>
          <w:sz w:val="16"/>
          <w:szCs w:val="16"/>
        </w:rPr>
        <w:t xml:space="preserve">. </w:t>
      </w:r>
      <w:hyperlink r:id="rId6" w:history="1">
        <w:r w:rsidRPr="00F04054">
          <w:rPr>
            <w:rStyle w:val="Hyperlink"/>
            <w:rFonts w:ascii="Calibri" w:hAnsi="Calibri" w:cs="Calibri"/>
            <w:sz w:val="16"/>
            <w:szCs w:val="16"/>
            <w:lang w:val="es-ES"/>
          </w:rPr>
          <w:t>https://www.unesco.org/gem-report/en/2024efw</w:t>
        </w:r>
      </w:hyperlink>
    </w:p>
  </w:footnote>
  <w:footnote w:id="8">
    <w:p w14:paraId="754106F9" w14:textId="2D26C8B9" w:rsidR="00666C66" w:rsidRPr="00F04054" w:rsidRDefault="00666C66" w:rsidP="00666C66">
      <w:pPr>
        <w:pStyle w:val="FootnoteText"/>
        <w:rPr>
          <w:rFonts w:ascii="Calibri" w:hAnsi="Calibri" w:cs="Calibri"/>
          <w:sz w:val="16"/>
          <w:szCs w:val="16"/>
          <w:lang w:val="es-ES"/>
        </w:rPr>
      </w:pPr>
      <w:r w:rsidRPr="001F53DB">
        <w:rPr>
          <w:rStyle w:val="FootnoteReference"/>
          <w:rFonts w:ascii="Calibri" w:hAnsi="Calibri" w:cs="Calibri"/>
          <w:sz w:val="16"/>
          <w:szCs w:val="16"/>
        </w:rPr>
        <w:footnoteRef/>
      </w:r>
      <w:r w:rsidRPr="00F04054">
        <w:rPr>
          <w:rFonts w:ascii="Calibri" w:hAnsi="Calibri" w:cs="Calibri"/>
          <w:sz w:val="16"/>
          <w:szCs w:val="16"/>
          <w:lang w:val="es-ES"/>
        </w:rPr>
        <w:t xml:space="preserve"> Ibid</w:t>
      </w:r>
    </w:p>
  </w:footnote>
  <w:footnote w:id="9">
    <w:p w14:paraId="68A54C1F" w14:textId="6FD4453E" w:rsidR="00984FDD" w:rsidRPr="005046C3" w:rsidRDefault="00984FDD">
      <w:pPr>
        <w:pStyle w:val="FootnoteText"/>
        <w:rPr>
          <w:sz w:val="16"/>
          <w:szCs w:val="16"/>
        </w:rPr>
      </w:pPr>
      <w:r w:rsidRPr="001F53DB">
        <w:rPr>
          <w:rStyle w:val="FootnoteReference"/>
          <w:sz w:val="16"/>
          <w:szCs w:val="16"/>
        </w:rPr>
        <w:footnoteRef/>
      </w:r>
      <w:r w:rsidRPr="00F04054">
        <w:rPr>
          <w:sz w:val="16"/>
          <w:szCs w:val="16"/>
          <w:lang w:val="es-ES"/>
        </w:rPr>
        <w:t xml:space="preserve"> </w:t>
      </w:r>
      <w:r w:rsidRPr="00F04054">
        <w:rPr>
          <w:rFonts w:ascii="Calibri" w:hAnsi="Calibri" w:cs="Calibri"/>
          <w:sz w:val="16"/>
          <w:szCs w:val="16"/>
          <w:lang w:val="es-ES"/>
        </w:rPr>
        <w:t xml:space="preserve">UNESCO. </w:t>
      </w:r>
      <w:r w:rsidRPr="001F53DB">
        <w:rPr>
          <w:rFonts w:ascii="Calibri" w:hAnsi="Calibri" w:cs="Calibri"/>
          <w:sz w:val="16"/>
          <w:szCs w:val="16"/>
        </w:rPr>
        <w:t xml:space="preserve">2023. </w:t>
      </w:r>
      <w:r w:rsidRPr="001F53DB">
        <w:rPr>
          <w:rFonts w:ascii="Calibri" w:hAnsi="Calibri" w:cs="Calibri"/>
          <w:i/>
          <w:iCs/>
          <w:sz w:val="16"/>
          <w:szCs w:val="16"/>
        </w:rPr>
        <w:t>Can countries afford their national SDG4 benchmarks?</w:t>
      </w:r>
      <w:r w:rsidRPr="001F53DB">
        <w:rPr>
          <w:rFonts w:ascii="Calibri" w:hAnsi="Calibri" w:cs="Calibri"/>
          <w:sz w:val="16"/>
          <w:szCs w:val="16"/>
        </w:rPr>
        <w:t xml:space="preserve"> </w:t>
      </w:r>
      <w:r w:rsidR="006F7051">
        <w:rPr>
          <w:rStyle w:val="Hyperlink"/>
          <w:rFonts w:ascii="Calibri" w:hAnsi="Calibri" w:cs="Calibri"/>
          <w:sz w:val="16"/>
          <w:szCs w:val="16"/>
        </w:rPr>
        <w:t xml:space="preserve">Global Education Monitoring Report Policy Paper 49 </w:t>
      </w:r>
      <w:hyperlink r:id="rId7" w:history="1">
        <w:r w:rsidR="006F7051" w:rsidRPr="006F7051">
          <w:rPr>
            <w:rStyle w:val="Hyperlink"/>
            <w:rFonts w:ascii="Calibri" w:hAnsi="Calibri" w:cs="Calibri"/>
            <w:sz w:val="16"/>
            <w:szCs w:val="16"/>
          </w:rPr>
          <w:t>https://unesdoc.unesco.org/ark:/48223/pf0000385004</w:t>
        </w:r>
      </w:hyperlink>
    </w:p>
  </w:footnote>
  <w:footnote w:id="10">
    <w:p w14:paraId="51426859" w14:textId="77777777" w:rsidR="008A1720" w:rsidRPr="001F53DB" w:rsidRDefault="008A1720" w:rsidP="008A1720">
      <w:pPr>
        <w:pStyle w:val="FootnoteText"/>
        <w:rPr>
          <w:rFonts w:ascii="Calibri" w:hAnsi="Calibri" w:cs="Calibri"/>
          <w:sz w:val="16"/>
          <w:szCs w:val="16"/>
        </w:rPr>
      </w:pPr>
      <w:r w:rsidRPr="001F53DB">
        <w:rPr>
          <w:rStyle w:val="FootnoteReference"/>
          <w:rFonts w:ascii="Calibri" w:hAnsi="Calibri" w:cs="Calibri"/>
          <w:sz w:val="16"/>
          <w:szCs w:val="16"/>
        </w:rPr>
        <w:footnoteRef/>
      </w:r>
      <w:r w:rsidRPr="001F53DB">
        <w:rPr>
          <w:rFonts w:ascii="Calibri" w:hAnsi="Calibri" w:cs="Calibri"/>
          <w:sz w:val="16"/>
          <w:szCs w:val="16"/>
        </w:rPr>
        <w:t xml:space="preserve"> International Monetary Fund. 2020. </w:t>
      </w:r>
      <w:r w:rsidRPr="001F53DB">
        <w:rPr>
          <w:rFonts w:ascii="Calibri" w:hAnsi="Calibri" w:cs="Calibri"/>
          <w:i/>
          <w:iCs/>
          <w:sz w:val="16"/>
          <w:szCs w:val="16"/>
        </w:rPr>
        <w:t>The Evolution of Public Debt Vulnerabilities in Lower Income Economies</w:t>
      </w:r>
      <w:r w:rsidRPr="001F53DB">
        <w:rPr>
          <w:rFonts w:ascii="Calibri" w:hAnsi="Calibri" w:cs="Calibri"/>
          <w:sz w:val="16"/>
          <w:szCs w:val="16"/>
        </w:rPr>
        <w:t xml:space="preserve">. </w:t>
      </w:r>
      <w:hyperlink r:id="rId8" w:history="1">
        <w:r w:rsidRPr="001F53DB">
          <w:rPr>
            <w:rStyle w:val="Hyperlink"/>
            <w:rFonts w:ascii="Calibri" w:hAnsi="Calibri" w:cs="Calibri"/>
            <w:sz w:val="16"/>
            <w:szCs w:val="16"/>
          </w:rPr>
          <w:t>https://www.imf.org/en/Publications/Policy-Papers/Issues/2020/02/05/The-Evolution-of-Public-Debt-Vulnerabilities-In-Lower-Income-Economies-49018</w:t>
        </w:r>
      </w:hyperlink>
      <w:r w:rsidRPr="001F53DB">
        <w:rPr>
          <w:rFonts w:ascii="Calibri" w:hAnsi="Calibri" w:cs="Calibri"/>
          <w:sz w:val="16"/>
          <w:szCs w:val="16"/>
        </w:rPr>
        <w:t xml:space="preserve">; and World Bank. 2023. </w:t>
      </w:r>
      <w:r w:rsidRPr="001F53DB">
        <w:rPr>
          <w:rFonts w:ascii="Calibri" w:hAnsi="Calibri" w:cs="Calibri"/>
          <w:i/>
          <w:iCs/>
          <w:sz w:val="16"/>
          <w:szCs w:val="16"/>
        </w:rPr>
        <w:t>International Debt Report 2023</w:t>
      </w:r>
      <w:r w:rsidRPr="001F53DB">
        <w:rPr>
          <w:rFonts w:ascii="Calibri" w:hAnsi="Calibri" w:cs="Calibri"/>
          <w:sz w:val="16"/>
          <w:szCs w:val="16"/>
        </w:rPr>
        <w:t xml:space="preserve">. Washington, DC: World Bank. doi:10.1596/978-1-4648-2032-8. </w:t>
      </w:r>
      <w:hyperlink r:id="rId9" w:history="1">
        <w:r w:rsidRPr="001F53DB">
          <w:rPr>
            <w:rStyle w:val="Hyperlink"/>
            <w:rFonts w:ascii="Calibri" w:hAnsi="Calibri" w:cs="Calibri"/>
            <w:sz w:val="16"/>
            <w:szCs w:val="16"/>
          </w:rPr>
          <w:t>https://openknowledge.worldbank.org/entities/publication/02225002-395f-464a-8e13-2acfca05e8f0</w:t>
        </w:r>
      </w:hyperlink>
      <w:r w:rsidRPr="001F53DB">
        <w:rPr>
          <w:rFonts w:ascii="Calibri" w:hAnsi="Calibri" w:cs="Calibri"/>
          <w:sz w:val="16"/>
          <w:szCs w:val="16"/>
        </w:rPr>
        <w:t xml:space="preserve"> </w:t>
      </w:r>
    </w:p>
  </w:footnote>
  <w:footnote w:id="11">
    <w:p w14:paraId="3C4668B8" w14:textId="704F9B9C" w:rsidR="001F53DB" w:rsidRPr="001F53DB" w:rsidRDefault="001F53DB" w:rsidP="001F53DB">
      <w:pPr>
        <w:pStyle w:val="FootnoteText"/>
        <w:rPr>
          <w:sz w:val="16"/>
          <w:szCs w:val="16"/>
        </w:rPr>
      </w:pPr>
      <w:r w:rsidRPr="001F53DB">
        <w:rPr>
          <w:rStyle w:val="FootnoteReference"/>
          <w:sz w:val="16"/>
          <w:szCs w:val="16"/>
        </w:rPr>
        <w:footnoteRef/>
      </w:r>
      <w:r w:rsidRPr="001F53DB">
        <w:rPr>
          <w:sz w:val="16"/>
          <w:szCs w:val="16"/>
        </w:rPr>
        <w:t xml:space="preserve"> Mawejje, Joseph. 2024. </w:t>
      </w:r>
      <w:r w:rsidRPr="001F53DB">
        <w:rPr>
          <w:i/>
          <w:iCs/>
          <w:sz w:val="16"/>
          <w:szCs w:val="16"/>
        </w:rPr>
        <w:t>Fiscal Vulnerabilities in Low-Income Countries: Evolution, Drivers, and Policies</w:t>
      </w:r>
      <w:r w:rsidRPr="001F53DB">
        <w:rPr>
          <w:sz w:val="16"/>
          <w:szCs w:val="16"/>
        </w:rPr>
        <w:t xml:space="preserve">. Washington, DC: World Bank. </w:t>
      </w:r>
      <w:hyperlink r:id="rId10" w:history="1">
        <w:r w:rsidRPr="001F53DB">
          <w:rPr>
            <w:rStyle w:val="Hyperlink"/>
            <w:sz w:val="16"/>
            <w:szCs w:val="16"/>
          </w:rPr>
          <w:t>https://www.worldbank.org/en/research/publication/fiscal-vulnerabilities</w:t>
        </w:r>
      </w:hyperlink>
      <w:r w:rsidRPr="001F53DB">
        <w:rPr>
          <w:sz w:val="16"/>
          <w:szCs w:val="16"/>
        </w:rPr>
        <w:t xml:space="preserve"> </w:t>
      </w:r>
    </w:p>
  </w:footnote>
  <w:footnote w:id="12">
    <w:p w14:paraId="617FEEF3" w14:textId="77777777" w:rsidR="008A1720" w:rsidRPr="001F53DB" w:rsidRDefault="008A1720" w:rsidP="008A1720">
      <w:pPr>
        <w:pStyle w:val="FootnoteText"/>
        <w:rPr>
          <w:rFonts w:ascii="Calibri" w:hAnsi="Calibri" w:cs="Calibri"/>
          <w:sz w:val="16"/>
          <w:szCs w:val="16"/>
        </w:rPr>
      </w:pPr>
      <w:r w:rsidRPr="001F53DB">
        <w:rPr>
          <w:rStyle w:val="FootnoteReference"/>
          <w:rFonts w:ascii="Calibri" w:hAnsi="Calibri" w:cs="Calibri"/>
          <w:sz w:val="16"/>
          <w:szCs w:val="16"/>
        </w:rPr>
        <w:footnoteRef/>
      </w:r>
      <w:r w:rsidRPr="001F53DB">
        <w:rPr>
          <w:rFonts w:ascii="Calibri" w:hAnsi="Calibri" w:cs="Calibri"/>
          <w:sz w:val="16"/>
          <w:szCs w:val="16"/>
        </w:rPr>
        <w:t xml:space="preserve"> UNICEF. 2021. </w:t>
      </w:r>
      <w:r w:rsidRPr="001F53DB">
        <w:rPr>
          <w:rFonts w:ascii="Calibri" w:hAnsi="Calibri" w:cs="Calibri"/>
          <w:i/>
          <w:iCs/>
          <w:sz w:val="16"/>
          <w:szCs w:val="16"/>
        </w:rPr>
        <w:t>Protecting and Transforming Social Spending for Inclusive Recoveries:</w:t>
      </w:r>
      <w:r w:rsidRPr="001F53DB">
        <w:rPr>
          <w:rFonts w:ascii="Calibri" w:hAnsi="Calibri" w:cs="Calibri"/>
          <w:sz w:val="16"/>
          <w:szCs w:val="16"/>
        </w:rPr>
        <w:t xml:space="preserve"> </w:t>
      </w:r>
      <w:r w:rsidRPr="001F53DB">
        <w:rPr>
          <w:rFonts w:ascii="Calibri" w:hAnsi="Calibri" w:cs="Calibri"/>
          <w:i/>
          <w:iCs/>
          <w:sz w:val="16"/>
          <w:szCs w:val="16"/>
        </w:rPr>
        <w:t>COVID-19 and the Looming Debt Crisis</w:t>
      </w:r>
      <w:r w:rsidRPr="001F53DB">
        <w:rPr>
          <w:rFonts w:ascii="Calibri" w:hAnsi="Calibri" w:cs="Calibri"/>
          <w:sz w:val="16"/>
          <w:szCs w:val="16"/>
        </w:rPr>
        <w:t xml:space="preserve">. </w:t>
      </w:r>
      <w:hyperlink r:id="rId11" w:history="1">
        <w:r w:rsidRPr="001F53DB">
          <w:rPr>
            <w:rStyle w:val="Hyperlink"/>
            <w:rFonts w:ascii="Calibri" w:hAnsi="Calibri" w:cs="Calibri"/>
            <w:sz w:val="16"/>
            <w:szCs w:val="16"/>
          </w:rPr>
          <w:t>https://www.unicef.org/innocenti/media/3596/file/UNICEF-COVID-19-Looming-Debt-Crisis-2021.pdf</w:t>
        </w:r>
      </w:hyperlink>
    </w:p>
  </w:footnote>
  <w:footnote w:id="13">
    <w:p w14:paraId="2A4A5EF7" w14:textId="77777777" w:rsidR="008A1720" w:rsidRPr="001F53DB" w:rsidRDefault="008A1720" w:rsidP="008A1720">
      <w:pPr>
        <w:pStyle w:val="FootnoteText"/>
        <w:rPr>
          <w:rFonts w:ascii="Calibri" w:hAnsi="Calibri" w:cs="Calibri"/>
          <w:sz w:val="16"/>
          <w:szCs w:val="16"/>
        </w:rPr>
      </w:pPr>
      <w:r w:rsidRPr="001F53DB">
        <w:rPr>
          <w:rStyle w:val="FootnoteReference"/>
          <w:rFonts w:ascii="Calibri" w:hAnsi="Calibri" w:cs="Calibri"/>
          <w:sz w:val="16"/>
          <w:szCs w:val="16"/>
        </w:rPr>
        <w:footnoteRef/>
      </w:r>
      <w:r w:rsidRPr="001F53DB">
        <w:rPr>
          <w:rFonts w:ascii="Calibri" w:hAnsi="Calibri" w:cs="Calibri"/>
          <w:sz w:val="16"/>
          <w:szCs w:val="16"/>
        </w:rPr>
        <w:t xml:space="preserve"> Miningou, E. W. 2023. </w:t>
      </w:r>
      <w:r w:rsidRPr="001F53DB">
        <w:rPr>
          <w:rFonts w:ascii="Calibri" w:hAnsi="Calibri" w:cs="Calibri"/>
          <w:i/>
          <w:iCs/>
          <w:sz w:val="16"/>
          <w:szCs w:val="16"/>
        </w:rPr>
        <w:t xml:space="preserve">External Debt, Fiscal Consolidation, and Government Expenditure on Education. </w:t>
      </w:r>
      <w:r w:rsidRPr="001F53DB">
        <w:rPr>
          <w:rFonts w:ascii="Calibri" w:hAnsi="Calibri" w:cs="Calibri"/>
          <w:sz w:val="16"/>
          <w:szCs w:val="16"/>
        </w:rPr>
        <w:t>World Bank Group</w:t>
      </w:r>
      <w:r w:rsidRPr="001F53DB">
        <w:rPr>
          <w:rFonts w:ascii="Calibri" w:hAnsi="Calibri" w:cs="Calibri"/>
          <w:i/>
          <w:iCs/>
          <w:sz w:val="16"/>
          <w:szCs w:val="16"/>
        </w:rPr>
        <w:t xml:space="preserve">. </w:t>
      </w:r>
      <w:hyperlink r:id="rId12" w:history="1">
        <w:r w:rsidRPr="001F53DB">
          <w:rPr>
            <w:rStyle w:val="Hyperlink"/>
            <w:rFonts w:ascii="Calibri" w:hAnsi="Calibri" w:cs="Calibri"/>
            <w:sz w:val="16"/>
            <w:szCs w:val="16"/>
          </w:rPr>
          <w:t>https://documents1.worldbank.org/curated/en/099748506072325934/pdf/IDU09d7e7fa50fbff046e00a8a80e07ac5341e5b.pdf</w:t>
        </w:r>
      </w:hyperlink>
    </w:p>
  </w:footnote>
  <w:footnote w:id="14">
    <w:p w14:paraId="6CCBC22B" w14:textId="04453B24" w:rsidR="00176A45" w:rsidRPr="001F53DB" w:rsidRDefault="00176A45">
      <w:pPr>
        <w:pStyle w:val="FootnoteText"/>
        <w:rPr>
          <w:sz w:val="16"/>
          <w:szCs w:val="16"/>
        </w:rPr>
      </w:pPr>
      <w:r w:rsidRPr="001F53DB">
        <w:rPr>
          <w:rStyle w:val="FootnoteReference"/>
          <w:sz w:val="16"/>
          <w:szCs w:val="16"/>
        </w:rPr>
        <w:footnoteRef/>
      </w:r>
      <w:r w:rsidRPr="001F53DB">
        <w:rPr>
          <w:sz w:val="16"/>
          <w:szCs w:val="16"/>
        </w:rPr>
        <w:t xml:space="preserve"> </w:t>
      </w:r>
      <w:r w:rsidRPr="001F53DB">
        <w:rPr>
          <w:rFonts w:ascii="Calibri" w:hAnsi="Calibri" w:cs="Calibri"/>
          <w:sz w:val="16"/>
          <w:szCs w:val="16"/>
        </w:rPr>
        <w:t xml:space="preserve">Transforming Education Summit. 2022. </w:t>
      </w:r>
      <w:r w:rsidRPr="00FB39A4">
        <w:rPr>
          <w:rFonts w:ascii="Calibri" w:hAnsi="Calibri" w:cs="Calibri"/>
          <w:i/>
          <w:iCs/>
          <w:sz w:val="16"/>
          <w:szCs w:val="16"/>
        </w:rPr>
        <w:t>Financing Education: Investing more, more equitably and more efficiently in education</w:t>
      </w:r>
      <w:r w:rsidRPr="001F53DB">
        <w:rPr>
          <w:rFonts w:ascii="Calibri" w:hAnsi="Calibri" w:cs="Calibri"/>
          <w:sz w:val="16"/>
          <w:szCs w:val="16"/>
        </w:rPr>
        <w:t xml:space="preserve">. United Nations. </w:t>
      </w:r>
      <w:hyperlink r:id="rId13" w:history="1">
        <w:r w:rsidRPr="001F53DB">
          <w:rPr>
            <w:rStyle w:val="Hyperlink"/>
            <w:rFonts w:ascii="Calibri" w:hAnsi="Calibri" w:cs="Calibri"/>
            <w:sz w:val="16"/>
            <w:szCs w:val="16"/>
          </w:rPr>
          <w:t>https://www.un.org/en/transforming-education-summit/financing-education</w:t>
        </w:r>
      </w:hyperlink>
      <w:r w:rsidRPr="001F53DB">
        <w:rPr>
          <w:rFonts w:ascii="Calibri" w:hAnsi="Calibri" w:cs="Calibri"/>
          <w:sz w:val="16"/>
          <w:szCs w:val="16"/>
        </w:rPr>
        <w:t>;</w:t>
      </w:r>
    </w:p>
  </w:footnote>
  <w:footnote w:id="15">
    <w:p w14:paraId="11035F16" w14:textId="003D7572" w:rsidR="002D12C1" w:rsidRPr="001F53DB" w:rsidRDefault="002D12C1" w:rsidP="002D12C1">
      <w:pPr>
        <w:pStyle w:val="FootnoteText"/>
        <w:rPr>
          <w:sz w:val="16"/>
          <w:szCs w:val="16"/>
        </w:rPr>
      </w:pPr>
      <w:r w:rsidRPr="001F53DB">
        <w:rPr>
          <w:rStyle w:val="FootnoteReference"/>
          <w:sz w:val="16"/>
          <w:szCs w:val="16"/>
        </w:rPr>
        <w:footnoteRef/>
      </w:r>
      <w:r w:rsidRPr="001F53DB">
        <w:rPr>
          <w:sz w:val="16"/>
          <w:szCs w:val="16"/>
        </w:rPr>
        <w:t xml:space="preserve"> Global Education Meeting. 2024. </w:t>
      </w:r>
      <w:r w:rsidRPr="00FB39A4">
        <w:rPr>
          <w:i/>
          <w:iCs/>
          <w:sz w:val="16"/>
          <w:szCs w:val="16"/>
        </w:rPr>
        <w:t>The Fortaleza Declaration: Unlocking the transformative power of education for peaceful, equitable and sustainable futures</w:t>
      </w:r>
      <w:r w:rsidRPr="001F53DB">
        <w:rPr>
          <w:sz w:val="16"/>
          <w:szCs w:val="16"/>
        </w:rPr>
        <w:t>. 31 October and 1 November, Fortaleza, Brazil.</w:t>
      </w:r>
      <w:r w:rsidR="00952150" w:rsidRPr="001F53DB">
        <w:rPr>
          <w:sz w:val="16"/>
          <w:szCs w:val="16"/>
        </w:rPr>
        <w:t xml:space="preserve"> </w:t>
      </w:r>
      <w:hyperlink r:id="rId14" w:history="1">
        <w:r w:rsidR="00B5685A" w:rsidRPr="001767EB">
          <w:rPr>
            <w:rStyle w:val="Hyperlink"/>
            <w:sz w:val="16"/>
            <w:szCs w:val="16"/>
          </w:rPr>
          <w:t>https://www.unesco.org/sdg4education2030/en/2024-global-education-meeting</w:t>
        </w:r>
      </w:hyperlink>
      <w:r w:rsidR="00B5685A">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7C6B" w14:textId="1EDB73E9" w:rsidR="00F04054" w:rsidRDefault="00F04054">
    <w:pPr>
      <w:pStyle w:val="Header"/>
    </w:pPr>
    <w:r>
      <w:rPr>
        <w:noProof/>
      </w:rPr>
      <w:drawing>
        <wp:inline distT="0" distB="0" distL="0" distR="0" wp14:anchorId="676E2021" wp14:editId="73FBD306">
          <wp:extent cx="1487805" cy="365760"/>
          <wp:effectExtent l="0" t="0" r="0" b="0"/>
          <wp:docPr id="1922692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657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A0309"/>
    <w:multiLevelType w:val="hybridMultilevel"/>
    <w:tmpl w:val="3EF6D22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B5D2C"/>
    <w:multiLevelType w:val="hybridMultilevel"/>
    <w:tmpl w:val="13866090"/>
    <w:lvl w:ilvl="0" w:tplc="4328AC78">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5188A"/>
    <w:multiLevelType w:val="hybridMultilevel"/>
    <w:tmpl w:val="504A811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9B1D49"/>
    <w:multiLevelType w:val="hybridMultilevel"/>
    <w:tmpl w:val="C1DC94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48130B"/>
    <w:multiLevelType w:val="hybridMultilevel"/>
    <w:tmpl w:val="6552783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AC07E2"/>
    <w:multiLevelType w:val="hybridMultilevel"/>
    <w:tmpl w:val="7B0E6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0079FF"/>
    <w:multiLevelType w:val="hybridMultilevel"/>
    <w:tmpl w:val="C45CA68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C751D0"/>
    <w:multiLevelType w:val="hybridMultilevel"/>
    <w:tmpl w:val="9F02AA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D716F2"/>
    <w:multiLevelType w:val="hybridMultilevel"/>
    <w:tmpl w:val="602851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99014310">
    <w:abstractNumId w:val="0"/>
  </w:num>
  <w:num w:numId="2" w16cid:durableId="705714083">
    <w:abstractNumId w:val="12"/>
  </w:num>
  <w:num w:numId="3" w16cid:durableId="1224489899">
    <w:abstractNumId w:val="8"/>
  </w:num>
  <w:num w:numId="4" w16cid:durableId="839007420">
    <w:abstractNumId w:val="9"/>
  </w:num>
  <w:num w:numId="5" w16cid:durableId="1795057800">
    <w:abstractNumId w:val="10"/>
  </w:num>
  <w:num w:numId="6" w16cid:durableId="1539704886">
    <w:abstractNumId w:val="7"/>
  </w:num>
  <w:num w:numId="7" w16cid:durableId="1965765382">
    <w:abstractNumId w:val="4"/>
  </w:num>
  <w:num w:numId="8" w16cid:durableId="317880461">
    <w:abstractNumId w:val="1"/>
  </w:num>
  <w:num w:numId="9" w16cid:durableId="2045447234">
    <w:abstractNumId w:val="14"/>
  </w:num>
  <w:num w:numId="10" w16cid:durableId="283731062">
    <w:abstractNumId w:val="5"/>
  </w:num>
  <w:num w:numId="11" w16cid:durableId="1595240973">
    <w:abstractNumId w:val="2"/>
  </w:num>
  <w:num w:numId="12" w16cid:durableId="2046563920">
    <w:abstractNumId w:val="6"/>
  </w:num>
  <w:num w:numId="13" w16cid:durableId="1814902293">
    <w:abstractNumId w:val="13"/>
  </w:num>
  <w:num w:numId="14" w16cid:durableId="161549871">
    <w:abstractNumId w:val="11"/>
  </w:num>
  <w:num w:numId="15" w16cid:durableId="608859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269EC"/>
    <w:rsid w:val="00030E3E"/>
    <w:rsid w:val="00053E33"/>
    <w:rsid w:val="00055662"/>
    <w:rsid w:val="000657DD"/>
    <w:rsid w:val="00071553"/>
    <w:rsid w:val="00093AEB"/>
    <w:rsid w:val="000B63F1"/>
    <w:rsid w:val="000C7E94"/>
    <w:rsid w:val="000D289C"/>
    <w:rsid w:val="000E223D"/>
    <w:rsid w:val="000E2CD3"/>
    <w:rsid w:val="000F5F32"/>
    <w:rsid w:val="00130027"/>
    <w:rsid w:val="00143BBD"/>
    <w:rsid w:val="00144D61"/>
    <w:rsid w:val="00145963"/>
    <w:rsid w:val="00154748"/>
    <w:rsid w:val="0015778F"/>
    <w:rsid w:val="00173F46"/>
    <w:rsid w:val="00174569"/>
    <w:rsid w:val="001762CE"/>
    <w:rsid w:val="00176A45"/>
    <w:rsid w:val="00180275"/>
    <w:rsid w:val="001A0F04"/>
    <w:rsid w:val="001A71B9"/>
    <w:rsid w:val="001C5FC0"/>
    <w:rsid w:val="001D4B84"/>
    <w:rsid w:val="001D6FB0"/>
    <w:rsid w:val="001F53DB"/>
    <w:rsid w:val="001F69F1"/>
    <w:rsid w:val="002151BD"/>
    <w:rsid w:val="00226DDE"/>
    <w:rsid w:val="00230CC0"/>
    <w:rsid w:val="00251A33"/>
    <w:rsid w:val="00256658"/>
    <w:rsid w:val="00257D34"/>
    <w:rsid w:val="00264411"/>
    <w:rsid w:val="00264832"/>
    <w:rsid w:val="00265783"/>
    <w:rsid w:val="002723FF"/>
    <w:rsid w:val="00275650"/>
    <w:rsid w:val="00280A5A"/>
    <w:rsid w:val="00284B01"/>
    <w:rsid w:val="002929E8"/>
    <w:rsid w:val="002A6FED"/>
    <w:rsid w:val="002C0115"/>
    <w:rsid w:val="002C6D77"/>
    <w:rsid w:val="002D12C1"/>
    <w:rsid w:val="002D502A"/>
    <w:rsid w:val="002E31D3"/>
    <w:rsid w:val="002F4A33"/>
    <w:rsid w:val="002F6B6C"/>
    <w:rsid w:val="003016A1"/>
    <w:rsid w:val="003065B7"/>
    <w:rsid w:val="0031500E"/>
    <w:rsid w:val="003151D7"/>
    <w:rsid w:val="00316586"/>
    <w:rsid w:val="00317113"/>
    <w:rsid w:val="0034282A"/>
    <w:rsid w:val="003468F0"/>
    <w:rsid w:val="0036320A"/>
    <w:rsid w:val="00371F6D"/>
    <w:rsid w:val="003963B8"/>
    <w:rsid w:val="003A03B5"/>
    <w:rsid w:val="003A1EF7"/>
    <w:rsid w:val="003B406C"/>
    <w:rsid w:val="003C03AE"/>
    <w:rsid w:val="003E4306"/>
    <w:rsid w:val="003E4314"/>
    <w:rsid w:val="003F08FB"/>
    <w:rsid w:val="003F26A5"/>
    <w:rsid w:val="0040111B"/>
    <w:rsid w:val="004126AF"/>
    <w:rsid w:val="0042016D"/>
    <w:rsid w:val="004278CD"/>
    <w:rsid w:val="00437626"/>
    <w:rsid w:val="00466043"/>
    <w:rsid w:val="0047605A"/>
    <w:rsid w:val="004760D3"/>
    <w:rsid w:val="00494F19"/>
    <w:rsid w:val="0049732C"/>
    <w:rsid w:val="004C5A9A"/>
    <w:rsid w:val="004F415E"/>
    <w:rsid w:val="004F4DF5"/>
    <w:rsid w:val="005046C3"/>
    <w:rsid w:val="00530E05"/>
    <w:rsid w:val="005371F7"/>
    <w:rsid w:val="0055489F"/>
    <w:rsid w:val="00581D77"/>
    <w:rsid w:val="00590419"/>
    <w:rsid w:val="005910B8"/>
    <w:rsid w:val="00595B59"/>
    <w:rsid w:val="005A0F68"/>
    <w:rsid w:val="005A17E1"/>
    <w:rsid w:val="005A5020"/>
    <w:rsid w:val="005B0CD8"/>
    <w:rsid w:val="005C0FEA"/>
    <w:rsid w:val="005E6BF0"/>
    <w:rsid w:val="005F081F"/>
    <w:rsid w:val="0060219D"/>
    <w:rsid w:val="00614288"/>
    <w:rsid w:val="0061581E"/>
    <w:rsid w:val="00623EC0"/>
    <w:rsid w:val="0063460B"/>
    <w:rsid w:val="0064063D"/>
    <w:rsid w:val="00652969"/>
    <w:rsid w:val="006631E2"/>
    <w:rsid w:val="006658AE"/>
    <w:rsid w:val="00666C66"/>
    <w:rsid w:val="006875A7"/>
    <w:rsid w:val="006927A7"/>
    <w:rsid w:val="006A343D"/>
    <w:rsid w:val="006A3DB2"/>
    <w:rsid w:val="006B30B1"/>
    <w:rsid w:val="006D170E"/>
    <w:rsid w:val="006D4D4C"/>
    <w:rsid w:val="006E0763"/>
    <w:rsid w:val="006E2FD2"/>
    <w:rsid w:val="006E6FB1"/>
    <w:rsid w:val="006F7051"/>
    <w:rsid w:val="00711A0E"/>
    <w:rsid w:val="00753C61"/>
    <w:rsid w:val="00762E4F"/>
    <w:rsid w:val="0077138E"/>
    <w:rsid w:val="007809CC"/>
    <w:rsid w:val="007814DE"/>
    <w:rsid w:val="007A2F9D"/>
    <w:rsid w:val="007A67BA"/>
    <w:rsid w:val="007D1216"/>
    <w:rsid w:val="007D3A63"/>
    <w:rsid w:val="007F075C"/>
    <w:rsid w:val="007F510E"/>
    <w:rsid w:val="00812F0E"/>
    <w:rsid w:val="008172ED"/>
    <w:rsid w:val="00817599"/>
    <w:rsid w:val="0082330D"/>
    <w:rsid w:val="00824126"/>
    <w:rsid w:val="00837724"/>
    <w:rsid w:val="008422FD"/>
    <w:rsid w:val="00857038"/>
    <w:rsid w:val="0086145B"/>
    <w:rsid w:val="00872304"/>
    <w:rsid w:val="00892531"/>
    <w:rsid w:val="008A1720"/>
    <w:rsid w:val="008A4617"/>
    <w:rsid w:val="008B42C3"/>
    <w:rsid w:val="008D4AB4"/>
    <w:rsid w:val="008F21DB"/>
    <w:rsid w:val="00906A7F"/>
    <w:rsid w:val="00922CDA"/>
    <w:rsid w:val="00934775"/>
    <w:rsid w:val="00952150"/>
    <w:rsid w:val="00984FDD"/>
    <w:rsid w:val="009B3A36"/>
    <w:rsid w:val="009C126D"/>
    <w:rsid w:val="009C72E9"/>
    <w:rsid w:val="009D6678"/>
    <w:rsid w:val="009F35AC"/>
    <w:rsid w:val="009F4C7D"/>
    <w:rsid w:val="00A0289C"/>
    <w:rsid w:val="00A12291"/>
    <w:rsid w:val="00A21274"/>
    <w:rsid w:val="00A252C5"/>
    <w:rsid w:val="00A272A3"/>
    <w:rsid w:val="00A45850"/>
    <w:rsid w:val="00A65EA6"/>
    <w:rsid w:val="00AC1D32"/>
    <w:rsid w:val="00AC5120"/>
    <w:rsid w:val="00AC635D"/>
    <w:rsid w:val="00AD1EA1"/>
    <w:rsid w:val="00AD5D1A"/>
    <w:rsid w:val="00AE2B30"/>
    <w:rsid w:val="00AE6C3E"/>
    <w:rsid w:val="00AF3FE2"/>
    <w:rsid w:val="00B05BC9"/>
    <w:rsid w:val="00B16F5C"/>
    <w:rsid w:val="00B27376"/>
    <w:rsid w:val="00B303BA"/>
    <w:rsid w:val="00B34BD0"/>
    <w:rsid w:val="00B37572"/>
    <w:rsid w:val="00B52F12"/>
    <w:rsid w:val="00B5685A"/>
    <w:rsid w:val="00B852E0"/>
    <w:rsid w:val="00B968E3"/>
    <w:rsid w:val="00BA00BA"/>
    <w:rsid w:val="00BB2250"/>
    <w:rsid w:val="00BD1E2F"/>
    <w:rsid w:val="00BD247B"/>
    <w:rsid w:val="00BF105B"/>
    <w:rsid w:val="00BF1407"/>
    <w:rsid w:val="00BF7165"/>
    <w:rsid w:val="00C02B63"/>
    <w:rsid w:val="00C04165"/>
    <w:rsid w:val="00C11186"/>
    <w:rsid w:val="00C116B2"/>
    <w:rsid w:val="00C131ED"/>
    <w:rsid w:val="00C401B3"/>
    <w:rsid w:val="00C51F85"/>
    <w:rsid w:val="00C65686"/>
    <w:rsid w:val="00C67DDF"/>
    <w:rsid w:val="00C70F61"/>
    <w:rsid w:val="00C83A28"/>
    <w:rsid w:val="00C9157B"/>
    <w:rsid w:val="00CA09B8"/>
    <w:rsid w:val="00CC54B4"/>
    <w:rsid w:val="00CE0F89"/>
    <w:rsid w:val="00D03E22"/>
    <w:rsid w:val="00D14383"/>
    <w:rsid w:val="00D218C3"/>
    <w:rsid w:val="00D537F0"/>
    <w:rsid w:val="00D53F84"/>
    <w:rsid w:val="00D5534A"/>
    <w:rsid w:val="00D6347F"/>
    <w:rsid w:val="00D946CC"/>
    <w:rsid w:val="00DC368D"/>
    <w:rsid w:val="00DE26C1"/>
    <w:rsid w:val="00DE2B87"/>
    <w:rsid w:val="00DF3673"/>
    <w:rsid w:val="00E2289C"/>
    <w:rsid w:val="00E3362E"/>
    <w:rsid w:val="00E5205D"/>
    <w:rsid w:val="00E52E8B"/>
    <w:rsid w:val="00E57D64"/>
    <w:rsid w:val="00EA31D2"/>
    <w:rsid w:val="00EA3AD0"/>
    <w:rsid w:val="00EB44E9"/>
    <w:rsid w:val="00EC4134"/>
    <w:rsid w:val="00EC70AE"/>
    <w:rsid w:val="00F0085E"/>
    <w:rsid w:val="00F04054"/>
    <w:rsid w:val="00F31841"/>
    <w:rsid w:val="00F31DF6"/>
    <w:rsid w:val="00F5124B"/>
    <w:rsid w:val="00F56BB7"/>
    <w:rsid w:val="00F63348"/>
    <w:rsid w:val="00F97EBE"/>
    <w:rsid w:val="00FA09F4"/>
    <w:rsid w:val="00FB39A4"/>
    <w:rsid w:val="00FD3426"/>
    <w:rsid w:val="00FD7E6C"/>
    <w:rsid w:val="00FE3147"/>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26C1"/>
    <w:pPr>
      <w:keepNext/>
      <w:keepLines/>
      <w:pBdr>
        <w:top w:val="nil"/>
        <w:left w:val="nil"/>
        <w:bottom w:val="nil"/>
        <w:right w:val="nil"/>
        <w:between w:val="nil"/>
        <w:bar w:val="nil"/>
      </w:pBdr>
      <w:spacing w:before="40" w:after="0" w:line="240" w:lineRule="auto"/>
      <w:outlineLvl w:val="2"/>
    </w:pPr>
    <w:rPr>
      <w:rFonts w:asciiTheme="majorHAnsi" w:eastAsiaTheme="majorEastAsia" w:hAnsiTheme="majorHAnsi" w:cstheme="majorBidi"/>
      <w:color w:val="1F3763" w:themeColor="accent1" w:themeShade="7F"/>
      <w:kern w:val="0"/>
      <w:sz w:val="24"/>
      <w:szCs w:val="24"/>
      <w:bdr w:val="nil"/>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No Spacing1,List Paragraph Char Char Char,Indicator Text,Numbered Para 1,Bullet 1,List Paragraph12,Bullet Points,MAIN CONTENT,Colorful List - Accent 11"/>
    <w:basedOn w:val="Normal"/>
    <w:link w:val="ListParagraphChar"/>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paragraph" w:styleId="NormalWeb">
    <w:name w:val="Normal (Web)"/>
    <w:basedOn w:val="Normal"/>
    <w:uiPriority w:val="99"/>
    <w:semiHidden/>
    <w:unhideWhenUsed/>
    <w:rsid w:val="00EA31D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5778F"/>
    <w:rPr>
      <w:color w:val="605E5C"/>
      <w:shd w:val="clear" w:color="auto" w:fill="E1DFDD"/>
    </w:rPr>
  </w:style>
  <w:style w:type="character" w:customStyle="1" w:styleId="Heading3Char">
    <w:name w:val="Heading 3 Char"/>
    <w:basedOn w:val="DefaultParagraphFont"/>
    <w:link w:val="Heading3"/>
    <w:uiPriority w:val="9"/>
    <w:rsid w:val="00DE26C1"/>
    <w:rPr>
      <w:rFonts w:asciiTheme="majorHAnsi" w:eastAsiaTheme="majorEastAsia" w:hAnsiTheme="majorHAnsi" w:cstheme="majorBidi"/>
      <w:color w:val="1F3763" w:themeColor="accent1" w:themeShade="7F"/>
      <w:kern w:val="0"/>
      <w:sz w:val="24"/>
      <w:szCs w:val="24"/>
      <w:bdr w:val="nil"/>
      <w:lang w:val="en-GB" w:eastAsia="en-US"/>
      <w14:ligatures w14:val="none"/>
    </w:rPr>
  </w:style>
  <w:style w:type="character" w:customStyle="1" w:styleId="normaltextrun">
    <w:name w:val="normaltextrun"/>
    <w:basedOn w:val="DefaultParagraphFont"/>
    <w:rsid w:val="00DE26C1"/>
  </w:style>
  <w:style w:type="character" w:customStyle="1" w:styleId="eop">
    <w:name w:val="eop"/>
    <w:basedOn w:val="DefaultParagraphFont"/>
    <w:rsid w:val="00DE26C1"/>
  </w:style>
  <w:style w:type="character" w:customStyle="1" w:styleId="ListParagraphChar">
    <w:name w:val="List Paragraph Char"/>
    <w:aliases w:val="List Paragraph (numbered (a)) Char,Lapis Bulleted List Char,Dot pt Char,F5 List Paragraph Char,No Spacing1 Char,List Paragraph Char Char Char Char,Indicator Text Char,Numbered Para 1 Char,Bullet 1 Char,List Paragraph12 Char"/>
    <w:link w:val="ListParagraph"/>
    <w:uiPriority w:val="34"/>
    <w:qFormat/>
    <w:locked/>
    <w:rsid w:val="00CA09B8"/>
  </w:style>
  <w:style w:type="character" w:styleId="PageNumber">
    <w:name w:val="page number"/>
    <w:basedOn w:val="DefaultParagraphFont"/>
    <w:uiPriority w:val="99"/>
    <w:semiHidden/>
    <w:unhideWhenUsed/>
    <w:rsid w:val="006E0763"/>
  </w:style>
  <w:style w:type="character" w:styleId="FollowedHyperlink">
    <w:name w:val="FollowedHyperlink"/>
    <w:basedOn w:val="DefaultParagraphFont"/>
    <w:uiPriority w:val="99"/>
    <w:semiHidden/>
    <w:unhideWhenUsed/>
    <w:rsid w:val="00D03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640187">
      <w:bodyDiv w:val="1"/>
      <w:marLeft w:val="0"/>
      <w:marRight w:val="0"/>
      <w:marTop w:val="0"/>
      <w:marBottom w:val="0"/>
      <w:divBdr>
        <w:top w:val="none" w:sz="0" w:space="0" w:color="auto"/>
        <w:left w:val="none" w:sz="0" w:space="0" w:color="auto"/>
        <w:bottom w:val="none" w:sz="0" w:space="0" w:color="auto"/>
        <w:right w:val="none" w:sz="0" w:space="0" w:color="auto"/>
      </w:divBdr>
      <w:divsChild>
        <w:div w:id="1877817844">
          <w:marLeft w:val="0"/>
          <w:marRight w:val="0"/>
          <w:marTop w:val="0"/>
          <w:marBottom w:val="0"/>
          <w:divBdr>
            <w:top w:val="none" w:sz="0" w:space="0" w:color="auto"/>
            <w:left w:val="none" w:sz="0" w:space="0" w:color="auto"/>
            <w:bottom w:val="none" w:sz="0" w:space="0" w:color="auto"/>
            <w:right w:val="none" w:sz="0" w:space="0" w:color="auto"/>
          </w:divBdr>
          <w:divsChild>
            <w:div w:id="1092435939">
              <w:marLeft w:val="0"/>
              <w:marRight w:val="0"/>
              <w:marTop w:val="0"/>
              <w:marBottom w:val="0"/>
              <w:divBdr>
                <w:top w:val="none" w:sz="0" w:space="0" w:color="auto"/>
                <w:left w:val="none" w:sz="0" w:space="0" w:color="auto"/>
                <w:bottom w:val="none" w:sz="0" w:space="0" w:color="auto"/>
                <w:right w:val="none" w:sz="0" w:space="0" w:color="auto"/>
              </w:divBdr>
              <w:divsChild>
                <w:div w:id="17358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9426">
      <w:bodyDiv w:val="1"/>
      <w:marLeft w:val="0"/>
      <w:marRight w:val="0"/>
      <w:marTop w:val="0"/>
      <w:marBottom w:val="0"/>
      <w:divBdr>
        <w:top w:val="none" w:sz="0" w:space="0" w:color="auto"/>
        <w:left w:val="none" w:sz="0" w:space="0" w:color="auto"/>
        <w:bottom w:val="none" w:sz="0" w:space="0" w:color="auto"/>
        <w:right w:val="none" w:sz="0" w:space="0" w:color="auto"/>
      </w:divBdr>
    </w:div>
    <w:div w:id="1747605244">
      <w:bodyDiv w:val="1"/>
      <w:marLeft w:val="0"/>
      <w:marRight w:val="0"/>
      <w:marTop w:val="0"/>
      <w:marBottom w:val="0"/>
      <w:divBdr>
        <w:top w:val="none" w:sz="0" w:space="0" w:color="auto"/>
        <w:left w:val="none" w:sz="0" w:space="0" w:color="auto"/>
        <w:bottom w:val="none" w:sz="0" w:space="0" w:color="auto"/>
        <w:right w:val="none" w:sz="0" w:space="0" w:color="auto"/>
      </w:divBdr>
    </w:div>
    <w:div w:id="1850288807">
      <w:bodyDiv w:val="1"/>
      <w:marLeft w:val="0"/>
      <w:marRight w:val="0"/>
      <w:marTop w:val="0"/>
      <w:marBottom w:val="0"/>
      <w:divBdr>
        <w:top w:val="none" w:sz="0" w:space="0" w:color="auto"/>
        <w:left w:val="none" w:sz="0" w:space="0" w:color="auto"/>
        <w:bottom w:val="none" w:sz="0" w:space="0" w:color="auto"/>
        <w:right w:val="none" w:sz="0" w:space="0" w:color="auto"/>
      </w:divBdr>
      <w:divsChild>
        <w:div w:id="259720348">
          <w:marLeft w:val="0"/>
          <w:marRight w:val="0"/>
          <w:marTop w:val="0"/>
          <w:marBottom w:val="0"/>
          <w:divBdr>
            <w:top w:val="none" w:sz="0" w:space="0" w:color="auto"/>
            <w:left w:val="none" w:sz="0" w:space="0" w:color="auto"/>
            <w:bottom w:val="none" w:sz="0" w:space="0" w:color="auto"/>
            <w:right w:val="none" w:sz="0" w:space="0" w:color="auto"/>
          </w:divBdr>
          <w:divsChild>
            <w:div w:id="1652900315">
              <w:marLeft w:val="0"/>
              <w:marRight w:val="0"/>
              <w:marTop w:val="0"/>
              <w:marBottom w:val="0"/>
              <w:divBdr>
                <w:top w:val="none" w:sz="0" w:space="0" w:color="auto"/>
                <w:left w:val="none" w:sz="0" w:space="0" w:color="auto"/>
                <w:bottom w:val="none" w:sz="0" w:space="0" w:color="auto"/>
                <w:right w:val="none" w:sz="0" w:space="0" w:color="auto"/>
              </w:divBdr>
              <w:divsChild>
                <w:div w:id="11778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mf.org/en/Publications/Policy-Papers/Issues/2020/02/05/The-Evolution-of-Public-Debt-Vulnerabilities-In-Lower-Income-Economies-49018" TargetMode="External"/><Relationship Id="rId13" Type="http://schemas.openxmlformats.org/officeDocument/2006/relationships/hyperlink" Target="https://www.un.org/en/transforming-education-summit/financing-education" TargetMode="External"/><Relationship Id="rId3" Type="http://schemas.openxmlformats.org/officeDocument/2006/relationships/hyperlink" Target="https://www.unesco.org/gem-report/en/2024efw" TargetMode="External"/><Relationship Id="rId7" Type="http://schemas.openxmlformats.org/officeDocument/2006/relationships/hyperlink" Target="https://unesdoc.unesco.org/ark:/48223/pf0000385004" TargetMode="External"/><Relationship Id="rId12" Type="http://schemas.openxmlformats.org/officeDocument/2006/relationships/hyperlink" Target="https://documents1.worldbank.org/curated/en/099748506072325934/pdf/IDU09d7e7fa50fbff046e00a8a80e07ac5341e5b.pdf" TargetMode="External"/><Relationship Id="rId2" Type="http://schemas.openxmlformats.org/officeDocument/2006/relationships/hyperlink" Target="https://unesdoc.unesco.org/ark:/48223/pf0000385723" TargetMode="External"/><Relationship Id="rId1" Type="http://schemas.openxmlformats.org/officeDocument/2006/relationships/hyperlink" Target="https://unstats.un.org/sdgs/report/2024/The-Sustainable-Development-Goals-Report-2024.pdf" TargetMode="External"/><Relationship Id="rId6" Type="http://schemas.openxmlformats.org/officeDocument/2006/relationships/hyperlink" Target="https://www.unesco.org/gem-report/en/2024efw" TargetMode="External"/><Relationship Id="rId11" Type="http://schemas.openxmlformats.org/officeDocument/2006/relationships/hyperlink" Target="https://www.unicef.org/innocenti/media/3596/file/UNICEF-COVID-19-Looming-Debt-Crisis-2021.pdf" TargetMode="External"/><Relationship Id="rId5" Type="http://schemas.openxmlformats.org/officeDocument/2006/relationships/hyperlink" Target="https://unesdoc.unesco.org/ark:/48223/pf0000389852" TargetMode="External"/><Relationship Id="rId10" Type="http://schemas.openxmlformats.org/officeDocument/2006/relationships/hyperlink" Target="https://www.worldbank.org/en/research/publication/fiscal-vulnerabilities" TargetMode="External"/><Relationship Id="rId4" Type="http://schemas.openxmlformats.org/officeDocument/2006/relationships/hyperlink" Target="https://unesdoc.unesco.org/ark:/48223/pf0000388832.locale=en" TargetMode="External"/><Relationship Id="rId9" Type="http://schemas.openxmlformats.org/officeDocument/2006/relationships/hyperlink" Target="https://openknowledge.worldbank.org/entities/publication/02225002-395f-464a-8e13-2acfca05e8f0" TargetMode="External"/><Relationship Id="rId14" Type="http://schemas.openxmlformats.org/officeDocument/2006/relationships/hyperlink" Target="https://www.unesco.org/sdg4education2030/en/2024-global-education-mee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UNESCO_BSP</cp:lastModifiedBy>
  <cp:revision>2</cp:revision>
  <cp:lastPrinted>2024-10-16T16:45:00Z</cp:lastPrinted>
  <dcterms:created xsi:type="dcterms:W3CDTF">2024-10-16T17:43:00Z</dcterms:created>
  <dcterms:modified xsi:type="dcterms:W3CDTF">2024-10-16T17:43:00Z</dcterms:modified>
</cp:coreProperties>
</file>