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070B" w14:textId="4EC13691" w:rsidR="005D1FA4" w:rsidRPr="00281BF7" w:rsidRDefault="005D1FA4" w:rsidP="00B11C38">
      <w:pPr>
        <w:pStyle w:val="IntenseQuote"/>
        <w:rPr>
          <w:b/>
          <w:bCs/>
          <w:sz w:val="44"/>
          <w:szCs w:val="44"/>
        </w:rPr>
      </w:pPr>
      <w:r w:rsidRPr="00281BF7">
        <w:rPr>
          <w:b/>
          <w:bCs/>
          <w:sz w:val="44"/>
          <w:szCs w:val="44"/>
        </w:rPr>
        <w:t>Financing for sustainable progress to Universal Health Coverage</w:t>
      </w:r>
    </w:p>
    <w:p w14:paraId="527C8E86" w14:textId="314F0472" w:rsidR="008603A4" w:rsidRDefault="007E2024" w:rsidP="008F2287">
      <w:pPr>
        <w:shd w:val="clear" w:color="auto" w:fill="FFFFFF" w:themeFill="background1"/>
        <w:jc w:val="both"/>
        <w:rPr>
          <w:rFonts w:cstheme="minorHAnsi"/>
          <w:b/>
          <w:bCs/>
        </w:rPr>
      </w:pPr>
      <w:r>
        <w:rPr>
          <w:rFonts w:cstheme="minorHAnsi"/>
          <w:b/>
          <w:bCs/>
        </w:rPr>
        <w:t>Overarching k</w:t>
      </w:r>
      <w:r w:rsidR="008603A4">
        <w:rPr>
          <w:rFonts w:cstheme="minorHAnsi"/>
          <w:b/>
          <w:bCs/>
        </w:rPr>
        <w:t xml:space="preserve">ey </w:t>
      </w:r>
      <w:r>
        <w:rPr>
          <w:rFonts w:cstheme="minorHAnsi"/>
          <w:b/>
          <w:bCs/>
        </w:rPr>
        <w:t>m</w:t>
      </w:r>
      <w:r w:rsidR="008603A4">
        <w:rPr>
          <w:rFonts w:cstheme="minorHAnsi"/>
          <w:b/>
          <w:bCs/>
        </w:rPr>
        <w:t>essages</w:t>
      </w:r>
    </w:p>
    <w:p w14:paraId="613293A1" w14:textId="69F8D4B7" w:rsidR="008603A4" w:rsidRPr="0029405D" w:rsidRDefault="0029405D" w:rsidP="008F2287">
      <w:pPr>
        <w:pStyle w:val="ListParagraph"/>
        <w:numPr>
          <w:ilvl w:val="0"/>
          <w:numId w:val="13"/>
        </w:numPr>
        <w:shd w:val="clear" w:color="auto" w:fill="FFFFFF" w:themeFill="background1"/>
        <w:jc w:val="both"/>
      </w:pPr>
      <w:r w:rsidRPr="38248E81">
        <w:t xml:space="preserve">The world is off-track to meet SDG 3.8 Universal Health Coverage. Service coverage has stagnated since 2015, with persistent inequalities in coverage, and financial </w:t>
      </w:r>
      <w:r w:rsidR="1625A80B">
        <w:t>hards</w:t>
      </w:r>
      <w:r w:rsidR="1625A80B" w:rsidRPr="38248E81">
        <w:t>hip</w:t>
      </w:r>
      <w:r w:rsidRPr="38248E81">
        <w:t xml:space="preserve"> </w:t>
      </w:r>
      <w:r w:rsidR="1625A80B" w:rsidRPr="38248E81">
        <w:t>due to out-of-pocket health spending</w:t>
      </w:r>
      <w:r w:rsidRPr="38248E81">
        <w:t xml:space="preserve"> has been worsening</w:t>
      </w:r>
      <w:r w:rsidR="00B916C1" w:rsidRPr="38248E81">
        <w:t xml:space="preserve">. </w:t>
      </w:r>
    </w:p>
    <w:p w14:paraId="35DFDD56" w14:textId="70343247" w:rsidR="008603A4" w:rsidRPr="00E10289" w:rsidRDefault="0029405D" w:rsidP="008F2287">
      <w:pPr>
        <w:pStyle w:val="ListParagraph"/>
        <w:numPr>
          <w:ilvl w:val="0"/>
          <w:numId w:val="13"/>
        </w:numPr>
        <w:shd w:val="clear" w:color="auto" w:fill="FFFFFF" w:themeFill="background1"/>
        <w:jc w:val="both"/>
        <w:rPr>
          <w:rFonts w:cstheme="minorHAnsi"/>
        </w:rPr>
      </w:pPr>
      <w:r w:rsidRPr="0029405D">
        <w:rPr>
          <w:rFonts w:eastAsia="Times New Roman" w:cstheme="minorHAnsi"/>
          <w:kern w:val="0"/>
          <w14:ligatures w14:val="none"/>
        </w:rPr>
        <w:t xml:space="preserve">90% of essential </w:t>
      </w:r>
      <w:r w:rsidRPr="00E10289">
        <w:rPr>
          <w:rFonts w:eastAsia="Times New Roman" w:cstheme="minorHAnsi"/>
          <w:kern w:val="0"/>
          <w14:ligatures w14:val="none"/>
        </w:rPr>
        <w:t>interventions for universal health coverage can be delivered using a primary health care (PHC) approach. An estimated 75% of the projected health gains from the SDGs could be achieved through PHC.</w:t>
      </w:r>
    </w:p>
    <w:p w14:paraId="0F3E6CFB" w14:textId="5CB1B697" w:rsidR="00B414E3" w:rsidRPr="00E10289" w:rsidRDefault="00B916C1" w:rsidP="008F2287">
      <w:pPr>
        <w:pStyle w:val="ListParagraph"/>
        <w:numPr>
          <w:ilvl w:val="0"/>
          <w:numId w:val="13"/>
        </w:numPr>
        <w:shd w:val="clear" w:color="auto" w:fill="FFFFFF" w:themeFill="background1"/>
        <w:jc w:val="both"/>
        <w:rPr>
          <w:rFonts w:cstheme="minorHAnsi"/>
        </w:rPr>
      </w:pPr>
      <w:r w:rsidRPr="00E10289">
        <w:rPr>
          <w:rFonts w:cstheme="minorHAnsi"/>
        </w:rPr>
        <w:t>To progress towards UHC, countries need to ensure adequate levels of general government revenues are raised to finance health</w:t>
      </w:r>
      <w:r w:rsidR="00B87850" w:rsidRPr="00E10289">
        <w:rPr>
          <w:rFonts w:cstheme="minorHAnsi"/>
        </w:rPr>
        <w:t xml:space="preserve"> as the main source of funding.</w:t>
      </w:r>
    </w:p>
    <w:p w14:paraId="104ED18C" w14:textId="77777777" w:rsidR="00704E39" w:rsidRPr="00E10289" w:rsidRDefault="00B916C1" w:rsidP="008F2287">
      <w:pPr>
        <w:pStyle w:val="ListParagraph"/>
        <w:numPr>
          <w:ilvl w:val="0"/>
          <w:numId w:val="13"/>
        </w:numPr>
        <w:shd w:val="clear" w:color="auto" w:fill="FFFFFF" w:themeFill="background1"/>
        <w:jc w:val="both"/>
        <w:rPr>
          <w:rFonts w:cstheme="minorHAnsi"/>
        </w:rPr>
      </w:pPr>
      <w:r w:rsidRPr="00E10289">
        <w:rPr>
          <w:rFonts w:cstheme="minorHAnsi"/>
        </w:rPr>
        <w:t>Member states and global partners should promote the Lusaka agenda</w:t>
      </w:r>
      <w:r w:rsidR="00B414E3" w:rsidRPr="00E10289">
        <w:rPr>
          <w:rFonts w:cstheme="minorHAnsi"/>
        </w:rPr>
        <w:t xml:space="preserve"> to reform </w:t>
      </w:r>
      <w:r w:rsidR="00B36005" w:rsidRPr="00E10289">
        <w:rPr>
          <w:rFonts w:cstheme="minorHAnsi"/>
        </w:rPr>
        <w:t>funding approaches and accountability mechanisms to align behind domestic systems and priorities.</w:t>
      </w:r>
    </w:p>
    <w:p w14:paraId="165B98D1" w14:textId="2AEAD268" w:rsidR="00F84E90" w:rsidRPr="00E10289" w:rsidRDefault="00F84E90" w:rsidP="008F2287">
      <w:pPr>
        <w:pStyle w:val="ListParagraph"/>
        <w:numPr>
          <w:ilvl w:val="0"/>
          <w:numId w:val="13"/>
        </w:numPr>
        <w:shd w:val="clear" w:color="auto" w:fill="FFFFFF" w:themeFill="background1"/>
        <w:jc w:val="both"/>
        <w:rPr>
          <w:rFonts w:cstheme="minorHAnsi"/>
        </w:rPr>
      </w:pPr>
      <w:r w:rsidRPr="00E10289">
        <w:rPr>
          <w:rFonts w:cstheme="minorHAnsi"/>
          <w:color w:val="000000" w:themeColor="text1"/>
        </w:rPr>
        <w:t xml:space="preserve">There is need to identify and commit to mitigation measures </w:t>
      </w:r>
      <w:r w:rsidRPr="00E10289">
        <w:rPr>
          <w:rFonts w:cstheme="minorHAnsi"/>
          <w:color w:val="000000" w:themeColor="text1"/>
          <w:shd w:val="clear" w:color="auto" w:fill="FFFFFF" w:themeFill="background1"/>
        </w:rPr>
        <w:t xml:space="preserve">against the expected increases in </w:t>
      </w:r>
      <w:r w:rsidR="00E10289">
        <w:rPr>
          <w:rFonts w:cstheme="minorHAnsi"/>
          <w:color w:val="000000" w:themeColor="text1"/>
          <w:shd w:val="clear" w:color="auto" w:fill="FFFFFF" w:themeFill="background1"/>
        </w:rPr>
        <w:t xml:space="preserve">countries’ </w:t>
      </w:r>
      <w:r w:rsidRPr="00E10289">
        <w:rPr>
          <w:rFonts w:cstheme="minorHAnsi"/>
          <w:color w:val="000000" w:themeColor="text1"/>
          <w:shd w:val="clear" w:color="auto" w:fill="FFFFFF" w:themeFill="background1"/>
        </w:rPr>
        <w:t>debt servicing</w:t>
      </w:r>
      <w:r w:rsidR="00E10289">
        <w:rPr>
          <w:rFonts w:cstheme="minorHAnsi"/>
          <w:color w:val="000000" w:themeColor="text1"/>
          <w:shd w:val="clear" w:color="auto" w:fill="FFFFFF" w:themeFill="background1"/>
        </w:rPr>
        <w:t>.</w:t>
      </w:r>
    </w:p>
    <w:p w14:paraId="3E8E86C3" w14:textId="0C5ABE9A" w:rsidR="00387CB8" w:rsidRPr="007E2024" w:rsidRDefault="00387CB8" w:rsidP="008F2287">
      <w:pPr>
        <w:pStyle w:val="ListParagraph"/>
        <w:numPr>
          <w:ilvl w:val="0"/>
          <w:numId w:val="13"/>
        </w:numPr>
        <w:shd w:val="clear" w:color="auto" w:fill="FFFFFF" w:themeFill="background1"/>
        <w:jc w:val="both"/>
        <w:rPr>
          <w:rFonts w:cstheme="minorHAnsi"/>
        </w:rPr>
      </w:pPr>
      <w:r w:rsidRPr="00E10289">
        <w:rPr>
          <w:rFonts w:cstheme="minorHAnsi"/>
          <w:color w:val="000000" w:themeColor="text1"/>
          <w:shd w:val="clear" w:color="auto" w:fill="FFFFFF"/>
        </w:rPr>
        <w:t xml:space="preserve">Taxes on fossil fuels can cut deaths from air pollution by about 50% globally, and in the process </w:t>
      </w:r>
      <w:r w:rsidRPr="00E10289">
        <w:rPr>
          <w:rFonts w:cstheme="minorHAnsi"/>
          <w:color w:val="000000" w:themeColor="text1"/>
        </w:rPr>
        <w:t>raise about 4% of global GDP in revenue. Fossil fuel subsidies amount to US$400 billion every year globally and removing these holds an enormous revenue raising potential.</w:t>
      </w:r>
    </w:p>
    <w:p w14:paraId="2C5AE631" w14:textId="77777777" w:rsidR="007E2024" w:rsidRDefault="007E2024" w:rsidP="007E2024">
      <w:pPr>
        <w:pStyle w:val="ListParagraph"/>
        <w:shd w:val="clear" w:color="auto" w:fill="FFFFFF" w:themeFill="background1"/>
        <w:rPr>
          <w:rFonts w:cstheme="minorHAnsi"/>
          <w:color w:val="000000" w:themeColor="text1"/>
        </w:rPr>
      </w:pPr>
    </w:p>
    <w:p w14:paraId="7BF8842B" w14:textId="770C9EE9" w:rsidR="00340441" w:rsidRPr="00306584" w:rsidRDefault="00306584" w:rsidP="00306584">
      <w:pPr>
        <w:ind w:firstLine="720"/>
        <w:rPr>
          <w:rFonts w:cstheme="minorHAnsi"/>
          <w:b/>
          <w:bCs/>
          <w:color w:val="4472C4" w:themeColor="accent1"/>
        </w:rPr>
      </w:pPr>
      <w:r w:rsidRPr="00306584">
        <w:rPr>
          <w:rFonts w:cstheme="minorHAnsi"/>
          <w:b/>
          <w:bCs/>
          <w:color w:val="4472C4" w:themeColor="accent1"/>
        </w:rPr>
        <w:t>__________________________________________________________________________</w:t>
      </w:r>
    </w:p>
    <w:p w14:paraId="1AD72812" w14:textId="77777777" w:rsidR="00306584" w:rsidRDefault="00306584" w:rsidP="00916F5A">
      <w:pPr>
        <w:rPr>
          <w:rFonts w:cstheme="minorHAnsi"/>
          <w:b/>
          <w:bCs/>
        </w:rPr>
      </w:pPr>
    </w:p>
    <w:p w14:paraId="11E77268" w14:textId="0DAF5832" w:rsidR="00916F5A" w:rsidRPr="00835C54" w:rsidRDefault="00916F5A" w:rsidP="00916F5A">
      <w:pPr>
        <w:rPr>
          <w:rFonts w:cstheme="minorHAnsi"/>
          <w:b/>
          <w:bCs/>
        </w:rPr>
      </w:pPr>
      <w:r w:rsidRPr="00835C54">
        <w:rPr>
          <w:rFonts w:cstheme="minorHAnsi"/>
          <w:b/>
          <w:bCs/>
        </w:rPr>
        <w:t>Problem statement</w:t>
      </w:r>
    </w:p>
    <w:p w14:paraId="2F22A58C" w14:textId="6C8967CE" w:rsidR="00512020" w:rsidRDefault="0014131A" w:rsidP="008F2287">
      <w:pPr>
        <w:jc w:val="both"/>
        <w:rPr>
          <w:rFonts w:cstheme="minorHAnsi"/>
        </w:rPr>
      </w:pPr>
      <w:r w:rsidRPr="00990CD9">
        <w:rPr>
          <w:rFonts w:cstheme="minorHAnsi"/>
        </w:rPr>
        <w:t xml:space="preserve">The </w:t>
      </w:r>
      <w:r w:rsidR="009854EE" w:rsidRPr="00990CD9">
        <w:rPr>
          <w:rFonts w:cstheme="minorHAnsi"/>
        </w:rPr>
        <w:t xml:space="preserve">2015 </w:t>
      </w:r>
      <w:r w:rsidR="00446328" w:rsidRPr="00990CD9">
        <w:rPr>
          <w:rFonts w:cstheme="minorHAnsi"/>
        </w:rPr>
        <w:t xml:space="preserve">Addis </w:t>
      </w:r>
      <w:r w:rsidR="009854EE" w:rsidRPr="00990CD9">
        <w:rPr>
          <w:rFonts w:cstheme="minorHAnsi"/>
        </w:rPr>
        <w:t>Ab</w:t>
      </w:r>
      <w:r w:rsidR="00C16CDD">
        <w:rPr>
          <w:rFonts w:cstheme="minorHAnsi"/>
        </w:rPr>
        <w:t>a</w:t>
      </w:r>
      <w:r w:rsidR="009854EE" w:rsidRPr="00990CD9">
        <w:rPr>
          <w:rFonts w:cstheme="minorHAnsi"/>
        </w:rPr>
        <w:t xml:space="preserve">ba </w:t>
      </w:r>
      <w:r w:rsidR="007A30A6">
        <w:rPr>
          <w:rFonts w:cstheme="minorHAnsi"/>
        </w:rPr>
        <w:t>A</w:t>
      </w:r>
      <w:r w:rsidR="009854EE" w:rsidRPr="00990CD9">
        <w:rPr>
          <w:rFonts w:cstheme="minorHAnsi"/>
        </w:rPr>
        <w:t xml:space="preserve">ction </w:t>
      </w:r>
      <w:r w:rsidR="007A30A6">
        <w:rPr>
          <w:rFonts w:cstheme="minorHAnsi"/>
        </w:rPr>
        <w:t>A</w:t>
      </w:r>
      <w:r w:rsidR="00446328" w:rsidRPr="00990CD9">
        <w:rPr>
          <w:rFonts w:cstheme="minorHAnsi"/>
        </w:rPr>
        <w:t xml:space="preserve">genda </w:t>
      </w:r>
      <w:r w:rsidR="009854EE" w:rsidRPr="00990CD9">
        <w:rPr>
          <w:rFonts w:cstheme="minorHAnsi"/>
        </w:rPr>
        <w:t xml:space="preserve">acknowledged the critical importance of health </w:t>
      </w:r>
      <w:r w:rsidR="00C50515">
        <w:rPr>
          <w:rFonts w:cstheme="minorHAnsi"/>
        </w:rPr>
        <w:t xml:space="preserve">for </w:t>
      </w:r>
      <w:r w:rsidR="007A30A6">
        <w:rPr>
          <w:rFonts w:cstheme="minorHAnsi"/>
        </w:rPr>
        <w:t xml:space="preserve">society and the economy </w:t>
      </w:r>
      <w:r w:rsidR="009854EE" w:rsidRPr="00990CD9">
        <w:rPr>
          <w:rFonts w:cstheme="minorHAnsi"/>
        </w:rPr>
        <w:t>and expressed commitment for enhancing international coordination and enabling environments at all levels to strengthen national health systems and achieve universal health coverage</w:t>
      </w:r>
      <w:r w:rsidR="00C16CDD">
        <w:rPr>
          <w:rFonts w:cstheme="minorHAnsi"/>
        </w:rPr>
        <w:t xml:space="preserve"> (UHC)</w:t>
      </w:r>
      <w:r w:rsidR="004076B0" w:rsidRPr="00990CD9">
        <w:rPr>
          <w:rFonts w:cstheme="minorHAnsi"/>
        </w:rPr>
        <w:t>.</w:t>
      </w:r>
      <w:r w:rsidR="00F0577A" w:rsidRPr="00990CD9">
        <w:rPr>
          <w:rFonts w:cstheme="minorHAnsi"/>
        </w:rPr>
        <w:t xml:space="preserve"> </w:t>
      </w:r>
      <w:r w:rsidR="0013336B" w:rsidRPr="00990CD9">
        <w:rPr>
          <w:rFonts w:cstheme="minorHAnsi"/>
        </w:rPr>
        <w:t>The Su</w:t>
      </w:r>
      <w:r w:rsidR="00F0577A" w:rsidRPr="00990CD9">
        <w:rPr>
          <w:rFonts w:cstheme="minorHAnsi"/>
        </w:rPr>
        <w:t>s</w:t>
      </w:r>
      <w:r w:rsidR="0013336B" w:rsidRPr="00990CD9">
        <w:rPr>
          <w:rFonts w:cstheme="minorHAnsi"/>
        </w:rPr>
        <w:t xml:space="preserve">tainable Development Goals, adopted in 2015, gave another boost to the </w:t>
      </w:r>
      <w:r w:rsidR="00C16CDD">
        <w:rPr>
          <w:rFonts w:cstheme="minorHAnsi"/>
        </w:rPr>
        <w:t>UHC</w:t>
      </w:r>
      <w:r w:rsidR="0013336B" w:rsidRPr="00990CD9">
        <w:rPr>
          <w:rFonts w:cstheme="minorHAnsi"/>
        </w:rPr>
        <w:t xml:space="preserve"> agenda</w:t>
      </w:r>
      <w:r w:rsidR="00914D12" w:rsidRPr="00990CD9">
        <w:rPr>
          <w:rFonts w:cstheme="minorHAnsi"/>
        </w:rPr>
        <w:t>, with a key impetus on leaving no-one behind</w:t>
      </w:r>
      <w:r w:rsidR="0013336B" w:rsidRPr="00990CD9">
        <w:rPr>
          <w:rFonts w:cstheme="minorHAnsi"/>
        </w:rPr>
        <w:t xml:space="preserve">. </w:t>
      </w:r>
      <w:r w:rsidR="00503863" w:rsidRPr="00990CD9">
        <w:rPr>
          <w:rFonts w:cstheme="minorHAnsi"/>
        </w:rPr>
        <w:t xml:space="preserve">Progress towards UHC means both improved service coverage </w:t>
      </w:r>
      <w:r w:rsidR="00503863">
        <w:rPr>
          <w:rFonts w:cstheme="minorHAnsi"/>
        </w:rPr>
        <w:t>(</w:t>
      </w:r>
      <w:r w:rsidR="00503863" w:rsidRPr="00990CD9">
        <w:rPr>
          <w:rFonts w:cstheme="minorHAnsi"/>
        </w:rPr>
        <w:t>i.e. use of needed services</w:t>
      </w:r>
      <w:r w:rsidR="00503863">
        <w:rPr>
          <w:rFonts w:cstheme="minorHAnsi"/>
        </w:rPr>
        <w:t>)</w:t>
      </w:r>
      <w:r w:rsidR="00503863" w:rsidRPr="00990CD9">
        <w:rPr>
          <w:rFonts w:cstheme="minorHAnsi"/>
        </w:rPr>
        <w:t xml:space="preserve"> and improved financial protection for patients.</w:t>
      </w:r>
    </w:p>
    <w:p w14:paraId="3E4CF70D" w14:textId="6F1BD27B" w:rsidR="008B1CB8" w:rsidRDefault="0013336B" w:rsidP="00340441">
      <w:pPr>
        <w:jc w:val="both"/>
        <w:rPr>
          <w:strike/>
        </w:rPr>
      </w:pPr>
      <w:r w:rsidRPr="38248E81">
        <w:t xml:space="preserve">Yet, </w:t>
      </w:r>
      <w:r w:rsidR="00543E72">
        <w:t xml:space="preserve">with </w:t>
      </w:r>
      <w:r w:rsidR="00F0577A" w:rsidRPr="38248E81">
        <w:t xml:space="preserve">five years </w:t>
      </w:r>
      <w:r w:rsidR="001D71EA" w:rsidRPr="38248E81">
        <w:t>remaining</w:t>
      </w:r>
      <w:r w:rsidR="00F0577A" w:rsidRPr="38248E81">
        <w:t>, these goals will not be achieved</w:t>
      </w:r>
      <w:r w:rsidR="002F6F3A" w:rsidRPr="38248E81">
        <w:t xml:space="preserve"> despite the </w:t>
      </w:r>
      <w:r w:rsidR="00ED2C3F" w:rsidRPr="38248E81">
        <w:t>global commitment</w:t>
      </w:r>
      <w:r w:rsidR="00543BCD" w:rsidRPr="38248E81">
        <w:t xml:space="preserve">: </w:t>
      </w:r>
      <w:r w:rsidR="00503863" w:rsidRPr="38248E81">
        <w:rPr>
          <w:b/>
          <w:bCs/>
        </w:rPr>
        <w:t xml:space="preserve">The world is off-track to meet </w:t>
      </w:r>
      <w:r w:rsidR="00CF2F92">
        <w:rPr>
          <w:b/>
          <w:bCs/>
        </w:rPr>
        <w:t>the Sustainable Develop</w:t>
      </w:r>
      <w:r w:rsidR="007E2024">
        <w:rPr>
          <w:b/>
          <w:bCs/>
        </w:rPr>
        <w:t xml:space="preserve">ment </w:t>
      </w:r>
      <w:r w:rsidR="00CF2F92">
        <w:rPr>
          <w:b/>
          <w:bCs/>
        </w:rPr>
        <w:t>Goal (</w:t>
      </w:r>
      <w:r w:rsidR="00503863" w:rsidRPr="38248E81">
        <w:rPr>
          <w:b/>
          <w:bCs/>
        </w:rPr>
        <w:t>SDG</w:t>
      </w:r>
      <w:r w:rsidR="00CF2F92">
        <w:rPr>
          <w:b/>
          <w:bCs/>
        </w:rPr>
        <w:t>)</w:t>
      </w:r>
      <w:r w:rsidR="00503863" w:rsidRPr="38248E81">
        <w:rPr>
          <w:b/>
          <w:bCs/>
        </w:rPr>
        <w:t xml:space="preserve"> 3.8 Universal Health Coverage</w:t>
      </w:r>
      <w:r w:rsidR="007C19B4" w:rsidRPr="38248E81">
        <w:rPr>
          <w:b/>
          <w:bCs/>
        </w:rPr>
        <w:t xml:space="preserve">. </w:t>
      </w:r>
      <w:r w:rsidR="0043428B" w:rsidRPr="38248E81">
        <w:t xml:space="preserve">While </w:t>
      </w:r>
      <w:r w:rsidR="00503863" w:rsidRPr="38248E81">
        <w:t xml:space="preserve">the trend globally over the past 20 years </w:t>
      </w:r>
      <w:r w:rsidR="00852E57">
        <w:t xml:space="preserve">shows </w:t>
      </w:r>
      <w:r w:rsidR="00503863" w:rsidRPr="38248E81">
        <w:t>steady gains in service coverage</w:t>
      </w:r>
      <w:r w:rsidR="0043428B" w:rsidRPr="38248E81">
        <w:t xml:space="preserve">, </w:t>
      </w:r>
      <w:r w:rsidR="003A0BEE" w:rsidRPr="38248E81">
        <w:t>a slowdown has been observed since 2015, with persistent inequalities in coverage</w:t>
      </w:r>
      <w:r w:rsidR="00852E57">
        <w:t xml:space="preserve">. </w:t>
      </w:r>
      <w:r w:rsidR="00C93684">
        <w:t xml:space="preserve">In contrast, </w:t>
      </w:r>
      <w:r w:rsidR="00503863" w:rsidRPr="38248E81">
        <w:t xml:space="preserve">financial protection </w:t>
      </w:r>
      <w:r w:rsidR="0043428B" w:rsidRPr="38248E81">
        <w:t xml:space="preserve">is worsening </w:t>
      </w:r>
      <w:r w:rsidR="00503863" w:rsidRPr="38248E81">
        <w:t>(1).</w:t>
      </w:r>
      <w:r w:rsidR="008E0250">
        <w:t xml:space="preserve"> This is largely explained by a greater reliance on private out-of-pocket payments (OOPs) on health</w:t>
      </w:r>
      <w:r w:rsidR="00F061E1">
        <w:t xml:space="preserve">, which deter </w:t>
      </w:r>
      <w:r w:rsidR="00935E5A">
        <w:t xml:space="preserve">many </w:t>
      </w:r>
      <w:r w:rsidR="00F061E1">
        <w:t>some people on other basic needs</w:t>
      </w:r>
      <w:r w:rsidR="00935E5A">
        <w:t>.</w:t>
      </w:r>
      <w:r w:rsidR="084A730B" w:rsidRPr="00F94027">
        <w:rPr>
          <w:strike/>
        </w:rPr>
        <w:t xml:space="preserve"> </w:t>
      </w:r>
    </w:p>
    <w:p w14:paraId="1A453D93" w14:textId="77777777" w:rsidR="002442DB" w:rsidRDefault="002442DB" w:rsidP="008F2287">
      <w:pPr>
        <w:jc w:val="both"/>
      </w:pPr>
    </w:p>
    <w:p w14:paraId="50F3230D" w14:textId="032AC146" w:rsidR="00970629" w:rsidRDefault="084A730B" w:rsidP="008F2287">
      <w:pPr>
        <w:jc w:val="both"/>
      </w:pPr>
      <w:r w:rsidRPr="38248E81">
        <w:lastRenderedPageBreak/>
        <w:t xml:space="preserve">Indeed, </w:t>
      </w:r>
      <w:r w:rsidR="00F94027">
        <w:t xml:space="preserve">as per the latest available data of </w:t>
      </w:r>
      <w:r w:rsidR="00E4404F" w:rsidRPr="38248E81">
        <w:rPr>
          <w:rStyle w:val="cf01"/>
          <w:rFonts w:asciiTheme="minorHAnsi" w:hAnsiTheme="minorHAnsi" w:cstheme="minorBidi"/>
          <w:sz w:val="22"/>
          <w:szCs w:val="22"/>
        </w:rPr>
        <w:t>2019, about one billion people faced catastrophic health spending as they spent more than 10% of their household budget on health out-of-pocket.</w:t>
      </w:r>
      <w:r w:rsidR="08E782D6" w:rsidRPr="38248E81">
        <w:rPr>
          <w:rStyle w:val="cf01"/>
          <w:rFonts w:asciiTheme="minorHAnsi" w:hAnsiTheme="minorHAnsi" w:cstheme="minorBidi"/>
          <w:sz w:val="22"/>
          <w:szCs w:val="22"/>
        </w:rPr>
        <w:t xml:space="preserve"> But even small expenditures in absolute terms can be devastating for low-income families; </w:t>
      </w:r>
      <w:r w:rsidR="00336B57">
        <w:rPr>
          <w:rStyle w:val="cf01"/>
          <w:rFonts w:asciiTheme="minorHAnsi" w:hAnsiTheme="minorHAnsi" w:cstheme="minorBidi"/>
          <w:sz w:val="22"/>
          <w:szCs w:val="22"/>
        </w:rPr>
        <w:t>a</w:t>
      </w:r>
      <w:r w:rsidR="08E782D6" w:rsidRPr="38248E81">
        <w:rPr>
          <w:rStyle w:val="cf01"/>
          <w:rFonts w:asciiTheme="minorHAnsi" w:hAnsiTheme="minorHAnsi" w:cstheme="minorBidi"/>
          <w:sz w:val="22"/>
          <w:szCs w:val="22"/>
        </w:rPr>
        <w:t xml:space="preserve">pproximately 1.3 billion individuals were pushed or further pushed into </w:t>
      </w:r>
      <w:r w:rsidR="632A7D0C" w:rsidRPr="38248E81">
        <w:rPr>
          <w:rStyle w:val="cf01"/>
          <w:rFonts w:asciiTheme="minorHAnsi" w:hAnsiTheme="minorHAnsi" w:cstheme="minorBidi"/>
          <w:sz w:val="22"/>
          <w:szCs w:val="22"/>
        </w:rPr>
        <w:t xml:space="preserve">relative </w:t>
      </w:r>
      <w:r w:rsidR="08E782D6" w:rsidRPr="38248E81">
        <w:rPr>
          <w:rStyle w:val="cf01"/>
          <w:rFonts w:asciiTheme="minorHAnsi" w:hAnsiTheme="minorHAnsi" w:cstheme="minorBidi"/>
          <w:sz w:val="22"/>
          <w:szCs w:val="22"/>
        </w:rPr>
        <w:t>poverty by such payments</w:t>
      </w:r>
      <w:r w:rsidR="32BA295C" w:rsidRPr="38248E81">
        <w:rPr>
          <w:rStyle w:val="cf01"/>
          <w:rFonts w:asciiTheme="minorHAnsi" w:hAnsiTheme="minorHAnsi" w:cstheme="minorBidi"/>
          <w:sz w:val="22"/>
          <w:szCs w:val="22"/>
        </w:rPr>
        <w:t xml:space="preserve"> </w:t>
      </w:r>
      <w:r w:rsidR="00917E46" w:rsidRPr="004D63BA">
        <w:rPr>
          <w:rStyle w:val="cf01"/>
          <w:rFonts w:asciiTheme="minorHAnsi" w:hAnsiTheme="minorHAnsi" w:cstheme="minorBidi"/>
          <w:sz w:val="22"/>
          <w:szCs w:val="22"/>
        </w:rPr>
        <w:t>(living with less than USD 2.15 a day per person) because of health care costs</w:t>
      </w:r>
      <w:r w:rsidR="00917E46">
        <w:rPr>
          <w:rStyle w:val="cf01"/>
          <w:rFonts w:asciiTheme="minorHAnsi" w:hAnsiTheme="minorHAnsi" w:cstheme="minorBidi"/>
          <w:sz w:val="22"/>
          <w:szCs w:val="22"/>
        </w:rPr>
        <w:t xml:space="preserve">, </w:t>
      </w:r>
      <w:r w:rsidR="08E782D6" w:rsidRPr="38248E81">
        <w:rPr>
          <w:rStyle w:val="cf01"/>
          <w:rFonts w:asciiTheme="minorHAnsi" w:hAnsiTheme="minorHAnsi" w:cstheme="minorBidi"/>
          <w:sz w:val="22"/>
          <w:szCs w:val="22"/>
        </w:rPr>
        <w:t>including 3</w:t>
      </w:r>
      <w:r w:rsidR="439809B4" w:rsidRPr="38248E81">
        <w:t>44</w:t>
      </w:r>
      <w:r w:rsidR="08E782D6" w:rsidRPr="38248E81">
        <w:rPr>
          <w:rStyle w:val="cf01"/>
          <w:rFonts w:asciiTheme="minorHAnsi" w:hAnsiTheme="minorHAnsi" w:cstheme="minorBidi"/>
          <w:sz w:val="22"/>
          <w:szCs w:val="22"/>
        </w:rPr>
        <w:t xml:space="preserve"> million people who were already living in extreme poverty.</w:t>
      </w:r>
      <w:r w:rsidR="00503863" w:rsidRPr="38248E81">
        <w:t xml:space="preserve"> </w:t>
      </w:r>
    </w:p>
    <w:p w14:paraId="4A2B3EBE" w14:textId="59CDCAF8" w:rsidR="00033128" w:rsidRPr="00A31F69" w:rsidRDefault="00AC18ED" w:rsidP="008F2287">
      <w:pPr>
        <w:jc w:val="both"/>
        <w:rPr>
          <w:rFonts w:cstheme="minorHAnsi"/>
          <w:color w:val="000000" w:themeColor="text1"/>
          <w:shd w:val="clear" w:color="auto" w:fill="FFFFFF"/>
        </w:rPr>
      </w:pPr>
      <w:r w:rsidRPr="00A31F69">
        <w:rPr>
          <w:rFonts w:cstheme="minorHAnsi"/>
        </w:rPr>
        <w:t xml:space="preserve">The </w:t>
      </w:r>
      <w:r w:rsidR="00033128" w:rsidRPr="00A31F69">
        <w:rPr>
          <w:rFonts w:cstheme="minorHAnsi"/>
          <w:shd w:val="clear" w:color="auto" w:fill="FFFFFF"/>
        </w:rPr>
        <w:t>COVID-19 pandemic</w:t>
      </w:r>
      <w:r w:rsidRPr="00A31F69">
        <w:rPr>
          <w:rFonts w:cstheme="minorHAnsi"/>
          <w:shd w:val="clear" w:color="auto" w:fill="FFFFFF"/>
        </w:rPr>
        <w:t xml:space="preserve"> aggravated this further</w:t>
      </w:r>
      <w:r w:rsidR="007902C9" w:rsidRPr="00A31F69">
        <w:rPr>
          <w:rFonts w:cstheme="minorHAnsi"/>
          <w:shd w:val="clear" w:color="auto" w:fill="FFFFFF"/>
        </w:rPr>
        <w:t xml:space="preserve">, </w:t>
      </w:r>
      <w:r w:rsidR="00D43AAF" w:rsidRPr="00A31F69">
        <w:rPr>
          <w:rFonts w:cstheme="minorHAnsi"/>
          <w:shd w:val="clear" w:color="auto" w:fill="FFFFFF"/>
        </w:rPr>
        <w:t xml:space="preserve">as it </w:t>
      </w:r>
      <w:r w:rsidR="00033128" w:rsidRPr="00A31F69">
        <w:rPr>
          <w:rFonts w:cstheme="minorHAnsi"/>
          <w:shd w:val="clear" w:color="auto" w:fill="FFFFFF"/>
        </w:rPr>
        <w:t xml:space="preserve">resulted in </w:t>
      </w:r>
      <w:hyperlink r:id="rId8" w:history="1">
        <w:r w:rsidR="00033128" w:rsidRPr="00DC7970">
          <w:rPr>
            <w:rStyle w:val="Hyperlink"/>
            <w:rFonts w:cstheme="minorHAnsi"/>
            <w:shd w:val="clear" w:color="auto" w:fill="FFFFFF"/>
          </w:rPr>
          <w:t>a double shock</w:t>
        </w:r>
      </w:hyperlink>
      <w:r w:rsidR="00033128" w:rsidRPr="00A31F69">
        <w:rPr>
          <w:rFonts w:cstheme="minorHAnsi"/>
          <w:shd w:val="clear" w:color="auto" w:fill="FFFFFF"/>
        </w:rPr>
        <w:t xml:space="preserve"> – for </w:t>
      </w:r>
      <w:r w:rsidR="006D6338" w:rsidRPr="00A31F69">
        <w:rPr>
          <w:rFonts w:cstheme="minorHAnsi"/>
          <w:shd w:val="clear" w:color="auto" w:fill="FFFFFF"/>
        </w:rPr>
        <w:t xml:space="preserve">both </w:t>
      </w:r>
      <w:r w:rsidR="00F11C7B" w:rsidRPr="00A31F69">
        <w:rPr>
          <w:rFonts w:cstheme="minorHAnsi"/>
          <w:shd w:val="clear" w:color="auto" w:fill="FFFFFF"/>
        </w:rPr>
        <w:t xml:space="preserve">the </w:t>
      </w:r>
      <w:r w:rsidR="00033128" w:rsidRPr="00A31F69">
        <w:rPr>
          <w:rFonts w:cstheme="minorHAnsi"/>
          <w:shd w:val="clear" w:color="auto" w:fill="FFFFFF"/>
        </w:rPr>
        <w:t>health and econom</w:t>
      </w:r>
      <w:r w:rsidR="00A466F6" w:rsidRPr="00A31F69">
        <w:rPr>
          <w:rFonts w:cstheme="minorHAnsi"/>
          <w:shd w:val="clear" w:color="auto" w:fill="FFFFFF"/>
        </w:rPr>
        <w:t>ic</w:t>
      </w:r>
      <w:r w:rsidR="00C16CDD" w:rsidRPr="00A31F69">
        <w:rPr>
          <w:rFonts w:cstheme="minorHAnsi"/>
          <w:shd w:val="clear" w:color="auto" w:fill="FFFFFF"/>
        </w:rPr>
        <w:t xml:space="preserve"> </w:t>
      </w:r>
      <w:r w:rsidR="006D6338" w:rsidRPr="00A31F69">
        <w:rPr>
          <w:rFonts w:cstheme="minorHAnsi"/>
          <w:shd w:val="clear" w:color="auto" w:fill="FFFFFF"/>
        </w:rPr>
        <w:t>sectors</w:t>
      </w:r>
      <w:r w:rsidR="00CF0478" w:rsidRPr="00A31F69">
        <w:rPr>
          <w:rFonts w:cstheme="minorHAnsi"/>
          <w:shd w:val="clear" w:color="auto" w:fill="FFFFFF"/>
        </w:rPr>
        <w:t xml:space="preserve">. </w:t>
      </w:r>
      <w:r w:rsidR="00623F22" w:rsidRPr="00A31F69">
        <w:rPr>
          <w:rFonts w:cstheme="minorHAnsi"/>
          <w:shd w:val="clear" w:color="auto" w:fill="FFFFFF"/>
        </w:rPr>
        <w:t xml:space="preserve">Even though </w:t>
      </w:r>
      <w:r w:rsidR="00CF0478" w:rsidRPr="00A31F69">
        <w:rPr>
          <w:rFonts w:cstheme="minorHAnsi"/>
          <w:shd w:val="clear" w:color="auto" w:fill="FFFFFF"/>
        </w:rPr>
        <w:t xml:space="preserve">health spending went up </w:t>
      </w:r>
      <w:r w:rsidR="00990678">
        <w:rPr>
          <w:rFonts w:cstheme="minorHAnsi"/>
          <w:shd w:val="clear" w:color="auto" w:fill="FFFFFF"/>
        </w:rPr>
        <w:t xml:space="preserve">during </w:t>
      </w:r>
      <w:r w:rsidR="00CF0478" w:rsidRPr="00A31F69">
        <w:rPr>
          <w:rFonts w:cstheme="minorHAnsi"/>
          <w:shd w:val="clear" w:color="auto" w:fill="FFFFFF"/>
        </w:rPr>
        <w:t>the pandemic, it has fallen dramatically</w:t>
      </w:r>
      <w:r w:rsidR="00BB0CD2" w:rsidRPr="00A31F69">
        <w:rPr>
          <w:rFonts w:cstheme="minorHAnsi"/>
          <w:shd w:val="clear" w:color="auto" w:fill="FFFFFF"/>
        </w:rPr>
        <w:t>, with</w:t>
      </w:r>
      <w:r w:rsidR="00A31F69">
        <w:rPr>
          <w:rFonts w:cstheme="minorHAnsi"/>
          <w:shd w:val="clear" w:color="auto" w:fill="FFFFFF"/>
        </w:rPr>
        <w:t xml:space="preserve"> </w:t>
      </w:r>
      <w:r w:rsidR="004630DC" w:rsidRPr="00A31F69">
        <w:rPr>
          <w:rFonts w:cstheme="minorHAnsi"/>
          <w:shd w:val="clear" w:color="auto" w:fill="FFFFFF"/>
        </w:rPr>
        <w:t>significant</w:t>
      </w:r>
      <w:r w:rsidR="004630DC" w:rsidRPr="00990CD9">
        <w:rPr>
          <w:rFonts w:cstheme="minorHAnsi"/>
          <w:shd w:val="clear" w:color="auto" w:fill="FFFFFF"/>
        </w:rPr>
        <w:t xml:space="preserve"> pressure on the health sector</w:t>
      </w:r>
      <w:r w:rsidR="00A466F6" w:rsidRPr="00990CD9">
        <w:rPr>
          <w:rFonts w:cstheme="minorHAnsi"/>
          <w:shd w:val="clear" w:color="auto" w:fill="FFFFFF"/>
        </w:rPr>
        <w:t xml:space="preserve">. </w:t>
      </w:r>
    </w:p>
    <w:p w14:paraId="635C983D" w14:textId="047460B0" w:rsidR="00136786" w:rsidRDefault="00293EC8" w:rsidP="008F2287">
      <w:pPr>
        <w:jc w:val="both"/>
        <w:rPr>
          <w:rFonts w:eastAsia="Times New Roman"/>
        </w:rPr>
      </w:pPr>
      <w:r w:rsidRPr="00F30694">
        <w:rPr>
          <w:rFonts w:cstheme="minorHAnsi"/>
          <w:color w:val="000000" w:themeColor="text1"/>
        </w:rPr>
        <w:t xml:space="preserve">And while many countries are now recovering, increased levels of </w:t>
      </w:r>
      <w:r w:rsidR="00BD55AB" w:rsidRPr="00F30694">
        <w:rPr>
          <w:rFonts w:cstheme="minorHAnsi"/>
          <w:color w:val="000000" w:themeColor="text1"/>
        </w:rPr>
        <w:t xml:space="preserve">government </w:t>
      </w:r>
      <w:r w:rsidRPr="00F30694">
        <w:rPr>
          <w:rFonts w:cstheme="minorHAnsi"/>
          <w:color w:val="000000" w:themeColor="text1"/>
        </w:rPr>
        <w:t xml:space="preserve">debt </w:t>
      </w:r>
      <w:r w:rsidR="002E2B87" w:rsidRPr="00F30694">
        <w:rPr>
          <w:rFonts w:cstheme="minorHAnsi"/>
          <w:color w:val="000000" w:themeColor="text1"/>
        </w:rPr>
        <w:t xml:space="preserve">and debt servicing from annual budgets </w:t>
      </w:r>
      <w:r w:rsidRPr="00F30694">
        <w:rPr>
          <w:rFonts w:cstheme="minorHAnsi"/>
          <w:color w:val="000000" w:themeColor="text1"/>
        </w:rPr>
        <w:t xml:space="preserve">mean that public funding for health will remain limited in the near term. </w:t>
      </w:r>
      <w:r w:rsidR="002E7D0E" w:rsidRPr="00F30694">
        <w:rPr>
          <w:rFonts w:cstheme="minorHAnsi"/>
          <w:color w:val="000000" w:themeColor="text1"/>
        </w:rPr>
        <w:t>M</w:t>
      </w:r>
      <w:r w:rsidRPr="00F30694">
        <w:rPr>
          <w:rFonts w:cstheme="minorHAnsi"/>
          <w:color w:val="000000" w:themeColor="text1"/>
        </w:rPr>
        <w:t>any countries fac</w:t>
      </w:r>
      <w:r w:rsidR="002E7D0E" w:rsidRPr="00F30694">
        <w:rPr>
          <w:rFonts w:cstheme="minorHAnsi"/>
          <w:color w:val="000000" w:themeColor="text1"/>
        </w:rPr>
        <w:t>e</w:t>
      </w:r>
      <w:r w:rsidRPr="00F30694">
        <w:rPr>
          <w:rFonts w:cstheme="minorHAnsi"/>
          <w:color w:val="000000" w:themeColor="text1"/>
        </w:rPr>
        <w:t xml:space="preserve"> rising interest payments on debts incurred, which will reduce their overall government spending capacity by between 15% </w:t>
      </w:r>
      <w:r w:rsidR="00C16CDD" w:rsidRPr="00F30694">
        <w:rPr>
          <w:rFonts w:cstheme="minorHAnsi"/>
          <w:color w:val="000000" w:themeColor="text1"/>
        </w:rPr>
        <w:t xml:space="preserve">to </w:t>
      </w:r>
      <w:r w:rsidRPr="00F30694">
        <w:rPr>
          <w:rFonts w:cstheme="minorHAnsi"/>
          <w:color w:val="000000" w:themeColor="text1"/>
        </w:rPr>
        <w:t>30%.</w:t>
      </w:r>
      <w:r w:rsidR="00CF0478" w:rsidRPr="00F30694">
        <w:rPr>
          <w:rFonts w:cstheme="minorHAnsi"/>
          <w:color w:val="000000" w:themeColor="text1"/>
        </w:rPr>
        <w:t xml:space="preserve"> </w:t>
      </w:r>
      <w:r w:rsidR="00CF0478" w:rsidRPr="00F30694">
        <w:rPr>
          <w:rFonts w:eastAsia="Times New Roman"/>
          <w:color w:val="000000" w:themeColor="text1"/>
        </w:rPr>
        <w:t>In fact, some 3.3 billion people live in countries where debt interest payments are greater than expenditure on health or education.</w:t>
      </w:r>
      <w:r w:rsidR="00F30694" w:rsidRPr="00F30694">
        <w:rPr>
          <w:rFonts w:eastAsia="Times New Roman"/>
          <w:color w:val="000000" w:themeColor="text1"/>
        </w:rPr>
        <w:t xml:space="preserve"> </w:t>
      </w:r>
      <w:r w:rsidR="00F30694" w:rsidRPr="00F30694">
        <w:rPr>
          <w:rFonts w:eastAsia="Times New Roman"/>
        </w:rPr>
        <w:t>The mechanism of Debt-for-Health (</w:t>
      </w:r>
      <w:proofErr w:type="spellStart"/>
      <w:r w:rsidR="00F30694" w:rsidRPr="00F30694">
        <w:rPr>
          <w:rFonts w:eastAsia="Times New Roman"/>
        </w:rPr>
        <w:t>DfH</w:t>
      </w:r>
      <w:proofErr w:type="spellEnd"/>
      <w:r w:rsidR="00F30694" w:rsidRPr="00F30694">
        <w:rPr>
          <w:rFonts w:eastAsia="Times New Roman"/>
        </w:rPr>
        <w:t>) swap arrangements has the potential to unlock critical financing for health priorities, especially in countries facing severe fiscal constraints, even though improvements in this mechanism and further evaluations of its potential, challenges and strategic value are needed.</w:t>
      </w:r>
      <w:r w:rsidR="00136786">
        <w:rPr>
          <w:rFonts w:eastAsia="Times New Roman"/>
        </w:rPr>
        <w:t xml:space="preserve"> </w:t>
      </w:r>
    </w:p>
    <w:p w14:paraId="30680783" w14:textId="36BFC9B9" w:rsidR="00916436" w:rsidRPr="008B45B0" w:rsidRDefault="00916436" w:rsidP="008F2287">
      <w:pPr>
        <w:jc w:val="both"/>
        <w:rPr>
          <w:rFonts w:cstheme="minorHAnsi"/>
        </w:rPr>
      </w:pPr>
      <w:r w:rsidRPr="00A31F69">
        <w:rPr>
          <w:color w:val="000000" w:themeColor="text1"/>
        </w:rPr>
        <w:t xml:space="preserve">Moreover, fragmentation of the health financing system, such as different health coverage schemes for different population groups with a disjointed patchwork of different benefit packages, or multiple stand-alone and uncoordinated health </w:t>
      </w:r>
      <w:proofErr w:type="spellStart"/>
      <w:r w:rsidRPr="00A31F69">
        <w:rPr>
          <w:color w:val="000000" w:themeColor="text1"/>
        </w:rPr>
        <w:t>programmes</w:t>
      </w:r>
      <w:proofErr w:type="spellEnd"/>
      <w:r w:rsidRPr="00A31F69">
        <w:rPr>
          <w:color w:val="000000" w:themeColor="text1"/>
        </w:rPr>
        <w:t>, often vertically donor-funded and organized, has increased in many health systems over the past decade</w:t>
      </w:r>
      <w:r w:rsidR="001F1023" w:rsidRPr="00A31F69">
        <w:rPr>
          <w:color w:val="000000" w:themeColor="text1"/>
        </w:rPr>
        <w:t xml:space="preserve">. Often, this </w:t>
      </w:r>
      <w:r w:rsidR="001F1023">
        <w:t>has</w:t>
      </w:r>
      <w:r w:rsidR="00826F2D">
        <w:t xml:space="preserve"> contributed to </w:t>
      </w:r>
      <w:r>
        <w:t>waste and inefficiency, holding back the development of high-quality, well-coordinated and people-</w:t>
      </w:r>
      <w:r w:rsidR="00A1196A">
        <w:t>centered</w:t>
      </w:r>
      <w:r>
        <w:t xml:space="preserve"> health services, </w:t>
      </w:r>
      <w:r w:rsidR="00272B84">
        <w:t xml:space="preserve">which are vital to unlock the progress </w:t>
      </w:r>
      <w:r w:rsidR="00272B84" w:rsidRPr="008B45B0">
        <w:t>needed to meet UHC objectives.</w:t>
      </w:r>
    </w:p>
    <w:p w14:paraId="5C248CF3" w14:textId="290A12D0" w:rsidR="0063478A" w:rsidRDefault="005C2B71" w:rsidP="008F2287">
      <w:pPr>
        <w:jc w:val="both"/>
        <w:rPr>
          <w:rFonts w:cstheme="minorHAnsi"/>
        </w:rPr>
      </w:pPr>
      <w:r w:rsidRPr="008B45B0">
        <w:rPr>
          <w:rFonts w:cstheme="minorHAnsi"/>
        </w:rPr>
        <w:t>Against this context, it is i</w:t>
      </w:r>
      <w:r w:rsidR="00535A4D" w:rsidRPr="008B45B0">
        <w:rPr>
          <w:rFonts w:cstheme="minorHAnsi"/>
        </w:rPr>
        <w:t>mportant</w:t>
      </w:r>
      <w:r w:rsidRPr="008B45B0">
        <w:rPr>
          <w:rFonts w:cstheme="minorHAnsi"/>
        </w:rPr>
        <w:t xml:space="preserve"> to recognize </w:t>
      </w:r>
      <w:r w:rsidR="005044E0" w:rsidRPr="008B45B0">
        <w:rPr>
          <w:rFonts w:cstheme="minorHAnsi"/>
        </w:rPr>
        <w:t>the importance of the health sector</w:t>
      </w:r>
      <w:r w:rsidR="00AC5825" w:rsidRPr="008B45B0">
        <w:rPr>
          <w:rFonts w:cstheme="minorHAnsi"/>
        </w:rPr>
        <w:t xml:space="preserve"> more broadly</w:t>
      </w:r>
      <w:r w:rsidR="005044E0" w:rsidRPr="008B45B0">
        <w:rPr>
          <w:rFonts w:cstheme="minorHAnsi"/>
        </w:rPr>
        <w:t>. H</w:t>
      </w:r>
      <w:r w:rsidR="00567E49" w:rsidRPr="008B45B0">
        <w:rPr>
          <w:rFonts w:cstheme="minorHAnsi"/>
        </w:rPr>
        <w:t>ealth does not only serve the economy</w:t>
      </w:r>
      <w:r w:rsidR="004312C5" w:rsidRPr="008B45B0">
        <w:rPr>
          <w:rFonts w:cstheme="minorHAnsi"/>
        </w:rPr>
        <w:t xml:space="preserve"> but generates benefits for </w:t>
      </w:r>
      <w:proofErr w:type="gramStart"/>
      <w:r w:rsidR="00A81AB0" w:rsidRPr="008B45B0">
        <w:rPr>
          <w:rFonts w:cstheme="minorHAnsi"/>
        </w:rPr>
        <w:t xml:space="preserve">society </w:t>
      </w:r>
      <w:r w:rsidR="0003052E" w:rsidRPr="008B45B0">
        <w:rPr>
          <w:rFonts w:cstheme="minorHAnsi"/>
        </w:rPr>
        <w:t>as a whole</w:t>
      </w:r>
      <w:proofErr w:type="gramEnd"/>
      <w:r w:rsidR="00567E49" w:rsidRPr="008B45B0">
        <w:rPr>
          <w:rFonts w:cstheme="minorHAnsi"/>
        </w:rPr>
        <w:t xml:space="preserve">. </w:t>
      </w:r>
      <w:r w:rsidR="00F30694" w:rsidRPr="008B45B0">
        <w:rPr>
          <w:rFonts w:cstheme="minorHAnsi"/>
        </w:rPr>
        <w:t>In t</w:t>
      </w:r>
      <w:r w:rsidR="007469EF" w:rsidRPr="008B45B0">
        <w:rPr>
          <w:rFonts w:cstheme="minorHAnsi"/>
        </w:rPr>
        <w:t xml:space="preserve">he </w:t>
      </w:r>
      <w:hyperlink r:id="rId9" w:history="1">
        <w:r w:rsidR="00CA715D" w:rsidRPr="008B45B0">
          <w:rPr>
            <w:rStyle w:val="Hyperlink"/>
            <w:rFonts w:cstheme="minorHAnsi"/>
          </w:rPr>
          <w:t xml:space="preserve">World Health </w:t>
        </w:r>
        <w:r w:rsidR="008C1F80" w:rsidRPr="008B45B0">
          <w:rPr>
            <w:rStyle w:val="Hyperlink"/>
            <w:rFonts w:cstheme="minorHAnsi"/>
          </w:rPr>
          <w:t xml:space="preserve">Assembly </w:t>
        </w:r>
        <w:r w:rsidR="00CA715D" w:rsidRPr="008B45B0">
          <w:rPr>
            <w:rStyle w:val="Hyperlink"/>
            <w:rFonts w:cstheme="minorHAnsi"/>
          </w:rPr>
          <w:t xml:space="preserve">Resolution </w:t>
        </w:r>
        <w:r w:rsidR="008C1F80" w:rsidRPr="008B45B0">
          <w:rPr>
            <w:rStyle w:val="Hyperlink"/>
            <w:rFonts w:cstheme="minorHAnsi"/>
          </w:rPr>
          <w:t>WHA77.13</w:t>
        </w:r>
      </w:hyperlink>
      <w:r w:rsidR="008C1F80" w:rsidRPr="008B45B0">
        <w:rPr>
          <w:rFonts w:cstheme="minorHAnsi"/>
        </w:rPr>
        <w:t xml:space="preserve"> </w:t>
      </w:r>
      <w:r w:rsidR="00CA715D" w:rsidRPr="008B45B0">
        <w:rPr>
          <w:rFonts w:cstheme="minorHAnsi"/>
        </w:rPr>
        <w:t xml:space="preserve">on </w:t>
      </w:r>
      <w:r w:rsidR="00A81AB0" w:rsidRPr="008B45B0">
        <w:rPr>
          <w:rFonts w:cstheme="minorHAnsi"/>
        </w:rPr>
        <w:t xml:space="preserve">the </w:t>
      </w:r>
      <w:r w:rsidR="00CA715D" w:rsidRPr="008B45B0">
        <w:rPr>
          <w:rFonts w:cstheme="minorHAnsi"/>
        </w:rPr>
        <w:t xml:space="preserve">Economics </w:t>
      </w:r>
      <w:r w:rsidR="007902C9" w:rsidRPr="008B45B0">
        <w:rPr>
          <w:rFonts w:cstheme="minorHAnsi"/>
        </w:rPr>
        <w:t xml:space="preserve">of </w:t>
      </w:r>
      <w:r w:rsidR="00CA715D" w:rsidRPr="008B45B0">
        <w:rPr>
          <w:rFonts w:cstheme="minorHAnsi"/>
        </w:rPr>
        <w:t xml:space="preserve">Health </w:t>
      </w:r>
      <w:r w:rsidR="007902C9" w:rsidRPr="008B45B0">
        <w:rPr>
          <w:rFonts w:cstheme="minorHAnsi"/>
        </w:rPr>
        <w:t>for All</w:t>
      </w:r>
      <w:r w:rsidR="00F30694" w:rsidRPr="008B45B0">
        <w:rPr>
          <w:rFonts w:cstheme="minorHAnsi"/>
        </w:rPr>
        <w:t>, member states</w:t>
      </w:r>
      <w:r w:rsidR="00257260" w:rsidRPr="008B45B0">
        <w:rPr>
          <w:rFonts w:cstheme="minorHAnsi"/>
        </w:rPr>
        <w:t xml:space="preserve"> stress that </w:t>
      </w:r>
      <w:r w:rsidR="00C05C6E" w:rsidRPr="008B45B0">
        <w:rPr>
          <w:rFonts w:cstheme="minorHAnsi"/>
        </w:rPr>
        <w:t>health itself is important</w:t>
      </w:r>
      <w:r w:rsidR="005E28B1" w:rsidRPr="008B45B0">
        <w:rPr>
          <w:rFonts w:cstheme="minorHAnsi"/>
        </w:rPr>
        <w:t xml:space="preserve"> and of intrinsic</w:t>
      </w:r>
      <w:r w:rsidR="005E28B1" w:rsidRPr="00990CD9">
        <w:rPr>
          <w:rFonts w:cstheme="minorHAnsi"/>
        </w:rPr>
        <w:t xml:space="preserve"> value</w:t>
      </w:r>
      <w:r w:rsidR="0055744B">
        <w:rPr>
          <w:rFonts w:cstheme="minorHAnsi"/>
        </w:rPr>
        <w:t>, and that</w:t>
      </w:r>
      <w:r w:rsidR="001D71EA" w:rsidRPr="00990CD9">
        <w:rPr>
          <w:rFonts w:cstheme="minorHAnsi"/>
        </w:rPr>
        <w:t xml:space="preserve"> </w:t>
      </w:r>
      <w:r w:rsidR="002D636B" w:rsidRPr="00990CD9">
        <w:rPr>
          <w:rFonts w:cstheme="minorHAnsi"/>
        </w:rPr>
        <w:t>“</w:t>
      </w:r>
      <w:r w:rsidR="003C18A5" w:rsidRPr="00990CD9">
        <w:rPr>
          <w:rFonts w:cstheme="minorHAnsi"/>
        </w:rPr>
        <w:t xml:space="preserve">an economy of well-being perspective can be used to put people and their health and well-being at the </w:t>
      </w:r>
      <w:proofErr w:type="spellStart"/>
      <w:r w:rsidR="003C18A5" w:rsidRPr="00990CD9">
        <w:rPr>
          <w:rFonts w:cstheme="minorHAnsi"/>
        </w:rPr>
        <w:t>centre</w:t>
      </w:r>
      <w:proofErr w:type="spellEnd"/>
      <w:r w:rsidR="003C18A5" w:rsidRPr="00990CD9">
        <w:rPr>
          <w:rFonts w:cstheme="minorHAnsi"/>
        </w:rPr>
        <w:t xml:space="preserve"> of decision-making, underlining the mutually reinforcing nature of health, well-</w:t>
      </w:r>
      <w:r w:rsidR="003C18A5" w:rsidRPr="00CE3DB1">
        <w:rPr>
          <w:rFonts w:cstheme="minorHAnsi"/>
        </w:rPr>
        <w:t>being and the economy</w:t>
      </w:r>
      <w:r w:rsidR="002D636B" w:rsidRPr="00CE3DB1">
        <w:rPr>
          <w:rFonts w:cstheme="minorHAnsi"/>
        </w:rPr>
        <w:t>”</w:t>
      </w:r>
      <w:r w:rsidR="000447FB" w:rsidRPr="00CE3DB1">
        <w:rPr>
          <w:rFonts w:cstheme="minorHAnsi"/>
        </w:rPr>
        <w:t>, and</w:t>
      </w:r>
      <w:r w:rsidR="007902C9" w:rsidRPr="00CE3DB1">
        <w:rPr>
          <w:rFonts w:cstheme="minorHAnsi"/>
        </w:rPr>
        <w:t xml:space="preserve"> </w:t>
      </w:r>
      <w:r w:rsidR="004D4F85">
        <w:rPr>
          <w:rFonts w:cstheme="minorHAnsi"/>
        </w:rPr>
        <w:t xml:space="preserve">that </w:t>
      </w:r>
      <w:r w:rsidR="002D636B" w:rsidRPr="00CE3DB1">
        <w:rPr>
          <w:rFonts w:cstheme="minorHAnsi"/>
        </w:rPr>
        <w:t>“</w:t>
      </w:r>
      <w:r w:rsidR="000447FB" w:rsidRPr="00CE3DB1">
        <w:rPr>
          <w:rFonts w:cstheme="minorHAnsi"/>
        </w:rPr>
        <w:t>e</w:t>
      </w:r>
      <w:r w:rsidR="00F97316" w:rsidRPr="00CE3DB1">
        <w:rPr>
          <w:rFonts w:cstheme="minorHAnsi"/>
        </w:rPr>
        <w:t>fficient, long-term investments in the determinants of health and well-being can contribute to curbing the rise in health and social welfare costs, and are therefore an investment in future generations</w:t>
      </w:r>
      <w:r w:rsidR="00FE2F8A" w:rsidRPr="00CE3DB1">
        <w:rPr>
          <w:rFonts w:cstheme="minorHAnsi"/>
        </w:rPr>
        <w:t>.</w:t>
      </w:r>
      <w:r w:rsidR="002D636B" w:rsidRPr="00CE3DB1">
        <w:rPr>
          <w:rFonts w:cstheme="minorHAnsi"/>
        </w:rPr>
        <w:t>”</w:t>
      </w:r>
    </w:p>
    <w:p w14:paraId="25B5098F" w14:textId="71B8DDDE" w:rsidR="0063478A" w:rsidRPr="0063478A" w:rsidRDefault="0063478A" w:rsidP="008F2287">
      <w:pPr>
        <w:jc w:val="both"/>
        <w:rPr>
          <w:rFonts w:cstheme="minorHAnsi"/>
          <w:b/>
          <w:bCs/>
          <w:u w:val="single"/>
        </w:rPr>
      </w:pPr>
      <w:r w:rsidRPr="0063478A">
        <w:rPr>
          <w:rFonts w:cstheme="minorHAnsi"/>
          <w:b/>
          <w:bCs/>
          <w:u w:val="single"/>
        </w:rPr>
        <w:t>Policy solutions</w:t>
      </w:r>
    </w:p>
    <w:p w14:paraId="72846A67" w14:textId="01380541" w:rsidR="00CF0478" w:rsidRPr="00CF0478" w:rsidRDefault="00015E3E" w:rsidP="008F2287">
      <w:pPr>
        <w:jc w:val="both"/>
        <w:rPr>
          <w:rFonts w:cstheme="minorHAnsi"/>
          <w:b/>
          <w:bCs/>
        </w:rPr>
      </w:pPr>
      <w:r w:rsidRPr="00990CD9">
        <w:rPr>
          <w:rFonts w:cstheme="minorHAnsi"/>
          <w:b/>
          <w:bCs/>
        </w:rPr>
        <w:t xml:space="preserve">Message </w:t>
      </w:r>
      <w:r w:rsidR="00D85FB3">
        <w:rPr>
          <w:rFonts w:cstheme="minorHAnsi"/>
          <w:b/>
          <w:bCs/>
        </w:rPr>
        <w:t>1</w:t>
      </w:r>
      <w:r w:rsidRPr="00990CD9">
        <w:rPr>
          <w:rFonts w:cstheme="minorHAnsi"/>
          <w:b/>
          <w:bCs/>
        </w:rPr>
        <w:t>:</w:t>
      </w:r>
      <w:r w:rsidR="00CF0478">
        <w:rPr>
          <w:rFonts w:cstheme="minorHAnsi"/>
          <w:b/>
          <w:bCs/>
        </w:rPr>
        <w:t xml:space="preserve"> </w:t>
      </w:r>
      <w:r w:rsidR="00CF0478" w:rsidRPr="00CF0478">
        <w:rPr>
          <w:rStyle w:val="cf01"/>
          <w:rFonts w:asciiTheme="minorHAnsi" w:hAnsiTheme="minorHAnsi" w:cstheme="minorHAnsi"/>
          <w:b/>
          <w:bCs/>
          <w:sz w:val="22"/>
          <w:szCs w:val="22"/>
        </w:rPr>
        <w:t xml:space="preserve">Improvements in health/development can only be achieved with sustained domestic public </w:t>
      </w:r>
      <w:proofErr w:type="gramStart"/>
      <w:r w:rsidR="00CF0478" w:rsidRPr="00CF0478">
        <w:rPr>
          <w:rStyle w:val="cf01"/>
          <w:rFonts w:asciiTheme="minorHAnsi" w:hAnsiTheme="minorHAnsi" w:cstheme="minorHAnsi"/>
          <w:b/>
          <w:bCs/>
          <w:sz w:val="22"/>
          <w:szCs w:val="22"/>
        </w:rPr>
        <w:t>financing</w:t>
      </w:r>
      <w:proofErr w:type="gramEnd"/>
      <w:r w:rsidR="00CF0478">
        <w:rPr>
          <w:rFonts w:cstheme="minorHAnsi"/>
          <w:b/>
          <w:bCs/>
        </w:rPr>
        <w:t xml:space="preserve"> </w:t>
      </w:r>
    </w:p>
    <w:p w14:paraId="30165CA5" w14:textId="77777777" w:rsidR="008B1CB8" w:rsidRDefault="00AE0911" w:rsidP="008F2287">
      <w:pPr>
        <w:jc w:val="both"/>
      </w:pPr>
      <w:r w:rsidRPr="5473BDE1">
        <w:t xml:space="preserve">To progress towards </w:t>
      </w:r>
      <w:r w:rsidR="00C16CDD" w:rsidRPr="5473BDE1">
        <w:t>UHC</w:t>
      </w:r>
      <w:r w:rsidRPr="5473BDE1">
        <w:t xml:space="preserve">, countries need to </w:t>
      </w:r>
      <w:r w:rsidR="00213EAB" w:rsidRPr="5473BDE1">
        <w:t>ensure adequate levels</w:t>
      </w:r>
      <w:r w:rsidR="003D6921" w:rsidRPr="5473BDE1">
        <w:t xml:space="preserve"> o</w:t>
      </w:r>
      <w:r w:rsidR="00213EAB" w:rsidRPr="5473BDE1">
        <w:t xml:space="preserve">f </w:t>
      </w:r>
      <w:r w:rsidR="005D1FA4" w:rsidRPr="5473BDE1">
        <w:t>general government revenues</w:t>
      </w:r>
      <w:r w:rsidRPr="5473BDE1">
        <w:t xml:space="preserve"> to finance health.</w:t>
      </w:r>
      <w:r w:rsidR="002D68DA" w:rsidRPr="5473BDE1">
        <w:t xml:space="preserve"> Evidence is </w:t>
      </w:r>
      <w:r w:rsidR="004508F6" w:rsidRPr="5473BDE1">
        <w:t>clear</w:t>
      </w:r>
      <w:r w:rsidR="002D68DA" w:rsidRPr="5473BDE1">
        <w:t xml:space="preserve"> that v</w:t>
      </w:r>
      <w:r w:rsidR="005D1FA4" w:rsidRPr="5473BDE1">
        <w:t xml:space="preserve">oluntary contributions and voluntary health insurance </w:t>
      </w:r>
      <w:r w:rsidR="002D68DA" w:rsidRPr="5473BDE1">
        <w:t>are</w:t>
      </w:r>
      <w:r w:rsidR="005D1FA4" w:rsidRPr="5473BDE1">
        <w:t xml:space="preserve"> not a </w:t>
      </w:r>
    </w:p>
    <w:p w14:paraId="6D439928" w14:textId="60219638" w:rsidR="006C28E4" w:rsidRPr="005F37EF" w:rsidRDefault="005D1FA4" w:rsidP="008F2287">
      <w:pPr>
        <w:jc w:val="both"/>
        <w:rPr>
          <w:rFonts w:cstheme="minorHAnsi"/>
        </w:rPr>
      </w:pPr>
      <w:r w:rsidRPr="5473BDE1">
        <w:t>viable path towards UHC</w:t>
      </w:r>
      <w:r w:rsidR="003D6921" w:rsidRPr="5473BDE1">
        <w:t xml:space="preserve">; no country </w:t>
      </w:r>
      <w:r w:rsidR="0039737B" w:rsidRPr="5473BDE1">
        <w:t>has made significant progress to UHC with a predominant reliance on private spending</w:t>
      </w:r>
      <w:r w:rsidRPr="5473BDE1">
        <w:t>.</w:t>
      </w:r>
      <w:r w:rsidR="002D68DA" w:rsidRPr="5473BDE1">
        <w:t xml:space="preserve"> </w:t>
      </w:r>
      <w:r w:rsidR="00945F7B" w:rsidRPr="5473BDE1">
        <w:t xml:space="preserve">Despite this, out-of-pocket spending on health continues to dominate </w:t>
      </w:r>
      <w:r w:rsidRPr="5473BDE1">
        <w:t xml:space="preserve">in many </w:t>
      </w:r>
      <w:r w:rsidR="00BB1247" w:rsidRPr="5473BDE1">
        <w:t xml:space="preserve">low- and middle-income </w:t>
      </w:r>
      <w:r w:rsidR="00BB1247" w:rsidRPr="005F37EF">
        <w:rPr>
          <w:rFonts w:cstheme="minorHAnsi"/>
        </w:rPr>
        <w:t>countries</w:t>
      </w:r>
      <w:r w:rsidR="00D46C1F" w:rsidRPr="005F37EF">
        <w:rPr>
          <w:rFonts w:cstheme="minorHAnsi"/>
        </w:rPr>
        <w:t>,</w:t>
      </w:r>
      <w:r w:rsidRPr="005F37EF">
        <w:rPr>
          <w:rFonts w:cstheme="minorHAnsi"/>
        </w:rPr>
        <w:t xml:space="preserve"> lead</w:t>
      </w:r>
      <w:r w:rsidR="00D46C1F" w:rsidRPr="005F37EF">
        <w:rPr>
          <w:rFonts w:cstheme="minorHAnsi"/>
        </w:rPr>
        <w:t>ing</w:t>
      </w:r>
      <w:r w:rsidRPr="005F37EF">
        <w:rPr>
          <w:rFonts w:cstheme="minorHAnsi"/>
        </w:rPr>
        <w:t xml:space="preserve"> to foregone care and financial hardship</w:t>
      </w:r>
      <w:r w:rsidR="00926B46">
        <w:rPr>
          <w:rFonts w:cstheme="minorHAnsi"/>
        </w:rPr>
        <w:t xml:space="preserve">. </w:t>
      </w:r>
      <w:proofErr w:type="gramStart"/>
      <w:r w:rsidR="00926B46">
        <w:rPr>
          <w:rFonts w:cstheme="minorHAnsi"/>
        </w:rPr>
        <w:t>T</w:t>
      </w:r>
      <w:r w:rsidR="00CB15E7" w:rsidRPr="005F37EF">
        <w:rPr>
          <w:rFonts w:cstheme="minorHAnsi"/>
        </w:rPr>
        <w:t>herefore</w:t>
      </w:r>
      <w:proofErr w:type="gramEnd"/>
      <w:r w:rsidR="00CB15E7" w:rsidRPr="005F37EF">
        <w:rPr>
          <w:rFonts w:cstheme="minorHAnsi"/>
        </w:rPr>
        <w:t xml:space="preserve"> </w:t>
      </w:r>
      <w:r w:rsidR="00D138FF" w:rsidRPr="005F37EF">
        <w:rPr>
          <w:rFonts w:cstheme="minorHAnsi"/>
        </w:rPr>
        <w:t xml:space="preserve">it is </w:t>
      </w:r>
      <w:r w:rsidR="00CB15E7" w:rsidRPr="005F37EF">
        <w:rPr>
          <w:rFonts w:cstheme="minorHAnsi"/>
        </w:rPr>
        <w:t>imperative to</w:t>
      </w:r>
      <w:r w:rsidR="005F37EF" w:rsidRPr="005F37EF">
        <w:rPr>
          <w:rFonts w:cstheme="minorHAnsi"/>
        </w:rPr>
        <w:t xml:space="preserve"> </w:t>
      </w:r>
      <w:r w:rsidR="006C28E4" w:rsidRPr="005F37EF">
        <w:rPr>
          <w:rStyle w:val="cf01"/>
          <w:rFonts w:asciiTheme="minorHAnsi" w:hAnsiTheme="minorHAnsi" w:cstheme="minorHAnsi"/>
          <w:sz w:val="22"/>
          <w:szCs w:val="22"/>
        </w:rPr>
        <w:t>put explicit limits on out-of-pocket health spending, with exemptions for people living in poverty or in vulnerable and marginalized situations</w:t>
      </w:r>
      <w:r w:rsidR="001643F9">
        <w:rPr>
          <w:rStyle w:val="cf01"/>
          <w:rFonts w:asciiTheme="minorHAnsi" w:hAnsiTheme="minorHAnsi" w:cstheme="minorHAnsi"/>
          <w:sz w:val="22"/>
          <w:szCs w:val="22"/>
        </w:rPr>
        <w:t>,</w:t>
      </w:r>
      <w:r w:rsidR="006C28E4" w:rsidRPr="005F37EF">
        <w:rPr>
          <w:rStyle w:val="cf01"/>
          <w:rFonts w:asciiTheme="minorHAnsi" w:hAnsiTheme="minorHAnsi" w:cstheme="minorHAnsi"/>
          <w:sz w:val="22"/>
          <w:szCs w:val="22"/>
        </w:rPr>
        <w:t xml:space="preserve"> </w:t>
      </w:r>
      <w:r w:rsidR="005F37EF" w:rsidRPr="005F37EF">
        <w:rPr>
          <w:rStyle w:val="cf01"/>
          <w:rFonts w:asciiTheme="minorHAnsi" w:hAnsiTheme="minorHAnsi" w:cstheme="minorHAnsi"/>
          <w:sz w:val="22"/>
          <w:szCs w:val="22"/>
        </w:rPr>
        <w:t xml:space="preserve">in order </w:t>
      </w:r>
      <w:r w:rsidR="006C28E4" w:rsidRPr="005F37EF">
        <w:rPr>
          <w:rStyle w:val="cf01"/>
          <w:rFonts w:asciiTheme="minorHAnsi" w:hAnsiTheme="minorHAnsi" w:cstheme="minorHAnsi"/>
          <w:sz w:val="22"/>
          <w:szCs w:val="22"/>
        </w:rPr>
        <w:t>to eliminate poverty induced by health care costs</w:t>
      </w:r>
      <w:r w:rsidR="005F37EF">
        <w:rPr>
          <w:rStyle w:val="cf01"/>
          <w:rFonts w:asciiTheme="minorHAnsi" w:hAnsiTheme="minorHAnsi" w:cstheme="minorHAnsi"/>
          <w:sz w:val="22"/>
          <w:szCs w:val="22"/>
        </w:rPr>
        <w:t>.</w:t>
      </w:r>
    </w:p>
    <w:p w14:paraId="4A23BD51" w14:textId="2FB3264F" w:rsidR="00375B56" w:rsidRPr="00990CD9" w:rsidRDefault="005364D3" w:rsidP="008F2287">
      <w:pPr>
        <w:jc w:val="both"/>
      </w:pPr>
      <w:r>
        <w:lastRenderedPageBreak/>
        <w:t>C</w:t>
      </w:r>
      <w:r w:rsidR="005548C8" w:rsidRPr="5473BDE1">
        <w:t xml:space="preserve">ountries with a </w:t>
      </w:r>
      <w:r w:rsidR="00864D60" w:rsidRPr="5473BDE1">
        <w:t>national</w:t>
      </w:r>
      <w:r w:rsidR="00D673DE" w:rsidRPr="5473BDE1">
        <w:t xml:space="preserve">, mandatory </w:t>
      </w:r>
      <w:r w:rsidR="005548C8" w:rsidRPr="5473BDE1">
        <w:t>health insurance scheme</w:t>
      </w:r>
      <w:r>
        <w:t xml:space="preserve"> </w:t>
      </w:r>
      <w:r w:rsidR="005548C8" w:rsidRPr="5473BDE1">
        <w:t xml:space="preserve">need to think about how to finance </w:t>
      </w:r>
      <w:r w:rsidR="00DF2500" w:rsidRPr="5473BDE1">
        <w:t>coverage expansion</w:t>
      </w:r>
      <w:r w:rsidR="005548C8" w:rsidRPr="5473BDE1">
        <w:t xml:space="preserve"> in a context of high informality. Hybrid financing, </w:t>
      </w:r>
      <w:r w:rsidR="001643F9">
        <w:t xml:space="preserve">i.e. </w:t>
      </w:r>
      <w:r w:rsidR="005548C8" w:rsidRPr="5473BDE1">
        <w:t>the combination of payroll deductions (health insurance contributions) from formal sector employee and budget transfers from general government revenues for those unable to contribute</w:t>
      </w:r>
      <w:r w:rsidR="00D03CF8">
        <w:t xml:space="preserve"> and</w:t>
      </w:r>
      <w:r w:rsidR="005548C8" w:rsidRPr="5473BDE1">
        <w:t xml:space="preserve"> </w:t>
      </w:r>
      <w:r w:rsidR="00DF0F30" w:rsidRPr="5473BDE1">
        <w:t>some</w:t>
      </w:r>
      <w:r w:rsidR="009B2BEC">
        <w:t xml:space="preserve"> population groups within the informal sector</w:t>
      </w:r>
      <w:r w:rsidR="00DF0F30" w:rsidRPr="5473BDE1">
        <w:t xml:space="preserve"> c</w:t>
      </w:r>
      <w:r w:rsidR="005548C8" w:rsidRPr="5473BDE1">
        <w:t>an play a decisive role</w:t>
      </w:r>
      <w:r w:rsidR="00695545" w:rsidRPr="5473BDE1">
        <w:t xml:space="preserve">. </w:t>
      </w:r>
      <w:r w:rsidR="00A46ACF" w:rsidRPr="5473BDE1">
        <w:t xml:space="preserve">This is needed to </w:t>
      </w:r>
      <w:r w:rsidR="00E95B6A" w:rsidRPr="5473BDE1">
        <w:t>avoid a</w:t>
      </w:r>
      <w:r w:rsidR="000A0E81" w:rsidRPr="5473BDE1">
        <w:t>n</w:t>
      </w:r>
      <w:r w:rsidR="00E95B6A" w:rsidRPr="5473BDE1">
        <w:t xml:space="preserve"> uncovered “missing middle”</w:t>
      </w:r>
      <w:r w:rsidR="005548C8" w:rsidRPr="5473BDE1">
        <w:t>.</w:t>
      </w:r>
    </w:p>
    <w:p w14:paraId="2341831E" w14:textId="4367591A" w:rsidR="005D1FA4" w:rsidRPr="00990CD9" w:rsidRDefault="00015E3E" w:rsidP="008F2287">
      <w:pPr>
        <w:jc w:val="both"/>
        <w:rPr>
          <w:rFonts w:cstheme="minorHAnsi"/>
          <w:b/>
          <w:bCs/>
        </w:rPr>
      </w:pPr>
      <w:r w:rsidRPr="00990CD9">
        <w:rPr>
          <w:rFonts w:cstheme="minorHAnsi"/>
          <w:b/>
          <w:bCs/>
        </w:rPr>
        <w:t xml:space="preserve">Message </w:t>
      </w:r>
      <w:r w:rsidR="0063478A">
        <w:rPr>
          <w:rFonts w:cstheme="minorHAnsi"/>
          <w:b/>
          <w:bCs/>
        </w:rPr>
        <w:t>2</w:t>
      </w:r>
      <w:r w:rsidRPr="00990CD9">
        <w:rPr>
          <w:rFonts w:cstheme="minorHAnsi"/>
          <w:b/>
          <w:bCs/>
        </w:rPr>
        <w:t xml:space="preserve">: </w:t>
      </w:r>
      <w:r w:rsidR="002328CB">
        <w:rPr>
          <w:rFonts w:cstheme="minorHAnsi"/>
          <w:b/>
          <w:bCs/>
        </w:rPr>
        <w:t>Guaranteeing access to e</w:t>
      </w:r>
      <w:r w:rsidR="005D1FA4" w:rsidRPr="00990CD9">
        <w:rPr>
          <w:rFonts w:cstheme="minorHAnsi"/>
          <w:b/>
          <w:bCs/>
        </w:rPr>
        <w:t>ssential health services</w:t>
      </w:r>
      <w:r w:rsidR="002328CB">
        <w:rPr>
          <w:rFonts w:cstheme="minorHAnsi"/>
          <w:b/>
          <w:bCs/>
        </w:rPr>
        <w:t xml:space="preserve">, </w:t>
      </w:r>
      <w:proofErr w:type="spellStart"/>
      <w:r w:rsidR="002328CB">
        <w:rPr>
          <w:rFonts w:cstheme="minorHAnsi"/>
          <w:b/>
          <w:bCs/>
        </w:rPr>
        <w:t>centred</w:t>
      </w:r>
      <w:proofErr w:type="spellEnd"/>
      <w:r w:rsidR="002328CB">
        <w:rPr>
          <w:rFonts w:cstheme="minorHAnsi"/>
          <w:b/>
          <w:bCs/>
        </w:rPr>
        <w:t xml:space="preserve"> </w:t>
      </w:r>
      <w:r w:rsidR="00460BB6" w:rsidRPr="00990CD9">
        <w:rPr>
          <w:rFonts w:cstheme="minorHAnsi"/>
          <w:b/>
          <w:bCs/>
        </w:rPr>
        <w:t xml:space="preserve">on primary </w:t>
      </w:r>
      <w:r w:rsidR="00397B58">
        <w:rPr>
          <w:rFonts w:cstheme="minorHAnsi"/>
          <w:b/>
          <w:bCs/>
        </w:rPr>
        <w:t xml:space="preserve">health </w:t>
      </w:r>
      <w:r w:rsidR="00460BB6" w:rsidRPr="00990CD9">
        <w:rPr>
          <w:rFonts w:cstheme="minorHAnsi"/>
          <w:b/>
          <w:bCs/>
        </w:rPr>
        <w:t>care</w:t>
      </w:r>
      <w:r w:rsidR="002328CB">
        <w:rPr>
          <w:rFonts w:cstheme="minorHAnsi"/>
          <w:b/>
          <w:bCs/>
        </w:rPr>
        <w:t xml:space="preserve">, can </w:t>
      </w:r>
      <w:r w:rsidR="008E0526">
        <w:rPr>
          <w:rFonts w:cstheme="minorHAnsi"/>
          <w:b/>
          <w:bCs/>
        </w:rPr>
        <w:t>unlock the progress needed to meet SDG 3.8</w:t>
      </w:r>
    </w:p>
    <w:p w14:paraId="62CFBD85" w14:textId="34CD6BEE" w:rsidR="00DF15E3" w:rsidRDefault="00630D8C" w:rsidP="008F2287">
      <w:pPr>
        <w:shd w:val="clear" w:color="auto" w:fill="FFFFFF"/>
        <w:spacing w:before="100" w:beforeAutospacing="1" w:after="75" w:line="240" w:lineRule="auto"/>
        <w:jc w:val="both"/>
        <w:rPr>
          <w:rStyle w:val="cf01"/>
          <w:rFonts w:asciiTheme="minorHAnsi" w:hAnsiTheme="minorHAnsi" w:cstheme="minorHAnsi"/>
          <w:sz w:val="22"/>
          <w:szCs w:val="22"/>
        </w:rPr>
      </w:pPr>
      <w:proofErr w:type="gramStart"/>
      <w:r w:rsidRPr="00DF15E3">
        <w:rPr>
          <w:rFonts w:eastAsia="Times New Roman" w:cstheme="minorHAnsi"/>
          <w:kern w:val="0"/>
          <w14:ligatures w14:val="none"/>
        </w:rPr>
        <w:t>The majority of</w:t>
      </w:r>
      <w:proofErr w:type="gramEnd"/>
      <w:r w:rsidRPr="00DF15E3">
        <w:rPr>
          <w:rFonts w:eastAsia="Times New Roman" w:cstheme="minorHAnsi"/>
          <w:kern w:val="0"/>
          <w14:ligatures w14:val="none"/>
        </w:rPr>
        <w:t xml:space="preserve"> essential interventions (90%) for </w:t>
      </w:r>
      <w:r w:rsidR="00FF0138">
        <w:rPr>
          <w:rFonts w:eastAsia="Times New Roman" w:cstheme="minorHAnsi"/>
          <w:kern w:val="0"/>
          <w14:ligatures w14:val="none"/>
        </w:rPr>
        <w:t>UHC</w:t>
      </w:r>
      <w:r w:rsidRPr="00DF15E3">
        <w:rPr>
          <w:rFonts w:eastAsia="Times New Roman" w:cstheme="minorHAnsi"/>
          <w:kern w:val="0"/>
          <w14:ligatures w14:val="none"/>
        </w:rPr>
        <w:t xml:space="preserve"> can be delivered using a </w:t>
      </w:r>
      <w:r w:rsidRPr="00630D8C">
        <w:rPr>
          <w:rFonts w:eastAsia="Times New Roman" w:cstheme="minorHAnsi"/>
          <w:kern w:val="0"/>
          <w14:ligatures w14:val="none"/>
        </w:rPr>
        <w:t>primary health care (</w:t>
      </w:r>
      <w:r w:rsidRPr="00DF15E3">
        <w:rPr>
          <w:rFonts w:eastAsia="Times New Roman" w:cstheme="minorHAnsi"/>
          <w:kern w:val="0"/>
          <w14:ligatures w14:val="none"/>
        </w:rPr>
        <w:t>PHC</w:t>
      </w:r>
      <w:r w:rsidRPr="00630D8C">
        <w:rPr>
          <w:rFonts w:eastAsia="Times New Roman" w:cstheme="minorHAnsi"/>
          <w:kern w:val="0"/>
          <w14:ligatures w14:val="none"/>
        </w:rPr>
        <w:t>)</w:t>
      </w:r>
      <w:r w:rsidRPr="00DF15E3">
        <w:rPr>
          <w:rFonts w:eastAsia="Times New Roman" w:cstheme="minorHAnsi"/>
          <w:kern w:val="0"/>
          <w14:ligatures w14:val="none"/>
        </w:rPr>
        <w:t xml:space="preserve"> approach.</w:t>
      </w:r>
      <w:r w:rsidRPr="00630D8C">
        <w:rPr>
          <w:rFonts w:eastAsia="Times New Roman" w:cstheme="minorHAnsi"/>
          <w:kern w:val="0"/>
          <w14:ligatures w14:val="none"/>
        </w:rPr>
        <w:t xml:space="preserve"> </w:t>
      </w:r>
      <w:r w:rsidRPr="00DF15E3">
        <w:rPr>
          <w:rFonts w:eastAsia="Times New Roman" w:cstheme="minorHAnsi"/>
          <w:kern w:val="0"/>
          <w14:ligatures w14:val="none"/>
        </w:rPr>
        <w:t xml:space="preserve">An estimated 75% of the projected health gains from the </w:t>
      </w:r>
      <w:r w:rsidRPr="00630D8C">
        <w:rPr>
          <w:rFonts w:eastAsia="Times New Roman" w:cstheme="minorHAnsi"/>
          <w:kern w:val="0"/>
          <w14:ligatures w14:val="none"/>
        </w:rPr>
        <w:t xml:space="preserve">SDGs </w:t>
      </w:r>
      <w:r w:rsidRPr="00DF15E3">
        <w:rPr>
          <w:rFonts w:eastAsia="Times New Roman" w:cstheme="minorHAnsi"/>
          <w:kern w:val="0"/>
          <w14:ligatures w14:val="none"/>
        </w:rPr>
        <w:t>could be achieved through PHC.</w:t>
      </w:r>
      <w:r>
        <w:rPr>
          <w:rFonts w:eastAsia="Times New Roman" w:cstheme="minorHAnsi"/>
          <w:kern w:val="0"/>
          <w14:ligatures w14:val="none"/>
        </w:rPr>
        <w:t xml:space="preserve"> </w:t>
      </w:r>
      <w:r w:rsidR="00614C23" w:rsidRPr="00397B58">
        <w:rPr>
          <w:rStyle w:val="SubtleEmphasis"/>
          <w:rFonts w:cstheme="minorHAnsi"/>
          <w:i w:val="0"/>
          <w:iCs w:val="0"/>
          <w:color w:val="auto"/>
        </w:rPr>
        <w:t>The</w:t>
      </w:r>
      <w:r w:rsidR="00EC4FBE">
        <w:rPr>
          <w:rStyle w:val="SubtleEmphasis"/>
          <w:rFonts w:cstheme="minorHAnsi"/>
          <w:i w:val="0"/>
          <w:iCs w:val="0"/>
          <w:color w:val="auto"/>
        </w:rPr>
        <w:t xml:space="preserve"> </w:t>
      </w:r>
      <w:hyperlink r:id="rId10" w:history="1">
        <w:r w:rsidR="00EC4FBE" w:rsidRPr="00EC4FBE">
          <w:rPr>
            <w:rStyle w:val="Hyperlink"/>
            <w:rFonts w:cstheme="minorHAnsi"/>
          </w:rPr>
          <w:t>global commitment</w:t>
        </w:r>
      </w:hyperlink>
      <w:r w:rsidR="00EC4FBE">
        <w:rPr>
          <w:rStyle w:val="SubtleEmphasis"/>
          <w:rFonts w:cstheme="minorHAnsi"/>
          <w:i w:val="0"/>
          <w:iCs w:val="0"/>
          <w:color w:val="auto"/>
        </w:rPr>
        <w:t xml:space="preserve"> </w:t>
      </w:r>
      <w:r w:rsidR="00614C23" w:rsidRPr="00397B58">
        <w:rPr>
          <w:rStyle w:val="SubtleEmphasis"/>
          <w:rFonts w:cstheme="minorHAnsi"/>
          <w:i w:val="0"/>
          <w:iCs w:val="0"/>
          <w:color w:val="auto"/>
        </w:rPr>
        <w:t>to PHC-</w:t>
      </w:r>
      <w:r w:rsidR="00B11004">
        <w:rPr>
          <w:rStyle w:val="SubtleEmphasis"/>
          <w:rFonts w:cstheme="minorHAnsi"/>
          <w:i w:val="0"/>
          <w:iCs w:val="0"/>
          <w:color w:val="auto"/>
        </w:rPr>
        <w:t>oriented</w:t>
      </w:r>
      <w:r w:rsidR="00614C23" w:rsidRPr="00397B58">
        <w:rPr>
          <w:rStyle w:val="SubtleEmphasis"/>
          <w:rFonts w:cstheme="minorHAnsi"/>
          <w:i w:val="0"/>
          <w:iCs w:val="0"/>
          <w:color w:val="auto"/>
        </w:rPr>
        <w:t xml:space="preserve"> health system strengthening to advance UHC provides the direction of reform by recognizing that people’s health and the systems that support it require coordinated and comprehensive approaches.</w:t>
      </w:r>
      <w:r w:rsidR="00CF0478" w:rsidRPr="00397B58">
        <w:rPr>
          <w:rStyle w:val="SubtleEmphasis"/>
          <w:rFonts w:cstheme="minorHAnsi"/>
          <w:i w:val="0"/>
          <w:iCs w:val="0"/>
          <w:color w:val="auto"/>
        </w:rPr>
        <w:t xml:space="preserve"> </w:t>
      </w:r>
    </w:p>
    <w:p w14:paraId="120EBF5C" w14:textId="064F5FCD" w:rsidR="00A27B3E" w:rsidRPr="00630D8C" w:rsidRDefault="00614C23" w:rsidP="008F2287">
      <w:pPr>
        <w:pStyle w:val="pf0"/>
        <w:jc w:val="both"/>
        <w:rPr>
          <w:rFonts w:asciiTheme="minorHAnsi" w:hAnsiTheme="minorHAnsi" w:cstheme="minorBidi"/>
          <w:sz w:val="22"/>
          <w:szCs w:val="22"/>
        </w:rPr>
      </w:pPr>
      <w:r w:rsidRPr="5473BDE1">
        <w:rPr>
          <w:rStyle w:val="normaltextrun"/>
          <w:rFonts w:asciiTheme="minorHAnsi" w:hAnsiTheme="minorHAnsi" w:cstheme="minorBidi"/>
          <w:sz w:val="22"/>
          <w:szCs w:val="22"/>
        </w:rPr>
        <w:t>Specifically, t</w:t>
      </w:r>
      <w:r w:rsidR="002A2F2E" w:rsidRPr="5473BDE1">
        <w:rPr>
          <w:rStyle w:val="normaltextrun"/>
          <w:rFonts w:asciiTheme="minorHAnsi" w:hAnsiTheme="minorHAnsi" w:cstheme="minorBidi"/>
          <w:sz w:val="22"/>
          <w:szCs w:val="22"/>
        </w:rPr>
        <w:t>here is need to p</w:t>
      </w:r>
      <w:proofErr w:type="spellStart"/>
      <w:r w:rsidR="00586A9E" w:rsidRPr="5473BDE1">
        <w:rPr>
          <w:rStyle w:val="normaltextrun"/>
          <w:rFonts w:asciiTheme="minorHAnsi" w:hAnsiTheme="minorHAnsi" w:cstheme="minorBidi"/>
          <w:sz w:val="22"/>
          <w:szCs w:val="22"/>
          <w:lang w:val="en-GB"/>
        </w:rPr>
        <w:t>rioriti</w:t>
      </w:r>
      <w:r w:rsidR="006823CD" w:rsidRPr="5473BDE1">
        <w:rPr>
          <w:rStyle w:val="normaltextrun"/>
          <w:rFonts w:asciiTheme="minorHAnsi" w:hAnsiTheme="minorHAnsi" w:cstheme="minorBidi"/>
          <w:sz w:val="22"/>
          <w:szCs w:val="22"/>
          <w:lang w:val="en-GB"/>
        </w:rPr>
        <w:t>z</w:t>
      </w:r>
      <w:r w:rsidR="00586A9E" w:rsidRPr="5473BDE1">
        <w:rPr>
          <w:rStyle w:val="normaltextrun"/>
          <w:rFonts w:asciiTheme="minorHAnsi" w:hAnsiTheme="minorHAnsi" w:cstheme="minorBidi"/>
          <w:sz w:val="22"/>
          <w:szCs w:val="22"/>
          <w:lang w:val="en-GB"/>
        </w:rPr>
        <w:t>e</w:t>
      </w:r>
      <w:proofErr w:type="spellEnd"/>
      <w:r w:rsidR="00586A9E" w:rsidRPr="5473BDE1">
        <w:rPr>
          <w:rStyle w:val="normaltextrun"/>
          <w:rFonts w:asciiTheme="minorHAnsi" w:hAnsiTheme="minorHAnsi" w:cstheme="minorBidi"/>
          <w:sz w:val="22"/>
          <w:szCs w:val="22"/>
          <w:lang w:val="en-GB"/>
        </w:rPr>
        <w:t xml:space="preserve"> </w:t>
      </w:r>
      <w:r w:rsidR="00E423F4" w:rsidRPr="5473BDE1">
        <w:rPr>
          <w:rStyle w:val="normaltextrun"/>
          <w:rFonts w:asciiTheme="minorHAnsi" w:hAnsiTheme="minorHAnsi" w:cstheme="minorBidi"/>
          <w:sz w:val="22"/>
          <w:szCs w:val="22"/>
          <w:lang w:val="en-GB"/>
        </w:rPr>
        <w:t xml:space="preserve">the </w:t>
      </w:r>
      <w:r w:rsidR="00586A9E" w:rsidRPr="5473BDE1">
        <w:rPr>
          <w:rStyle w:val="normaltextrun"/>
          <w:rFonts w:asciiTheme="minorHAnsi" w:hAnsiTheme="minorHAnsi" w:cstheme="minorBidi"/>
          <w:sz w:val="22"/>
          <w:szCs w:val="22"/>
          <w:lang w:val="en-GB"/>
        </w:rPr>
        <w:t xml:space="preserve">poor and other vulnerable groups within </w:t>
      </w:r>
      <w:r w:rsidR="00E423F4" w:rsidRPr="5473BDE1">
        <w:rPr>
          <w:rStyle w:val="normaltextrun"/>
          <w:rFonts w:asciiTheme="minorHAnsi" w:hAnsiTheme="minorHAnsi" w:cstheme="minorBidi"/>
          <w:sz w:val="22"/>
          <w:szCs w:val="22"/>
          <w:lang w:val="en-GB"/>
        </w:rPr>
        <w:t xml:space="preserve">the </w:t>
      </w:r>
      <w:r w:rsidR="00586A9E" w:rsidRPr="5473BDE1">
        <w:rPr>
          <w:rStyle w:val="normaltextrun"/>
          <w:rFonts w:asciiTheme="minorHAnsi" w:hAnsiTheme="minorHAnsi" w:cstheme="minorBidi"/>
          <w:sz w:val="22"/>
          <w:szCs w:val="22"/>
          <w:lang w:val="en-GB"/>
        </w:rPr>
        <w:t>overall benefit design</w:t>
      </w:r>
      <w:r w:rsidR="00E423F4" w:rsidRPr="5473BDE1">
        <w:rPr>
          <w:rStyle w:val="normaltextrun"/>
          <w:rFonts w:asciiTheme="minorHAnsi" w:hAnsiTheme="minorHAnsi" w:cstheme="minorBidi"/>
          <w:sz w:val="22"/>
          <w:szCs w:val="22"/>
          <w:lang w:val="en-GB"/>
        </w:rPr>
        <w:t xml:space="preserve"> process, </w:t>
      </w:r>
      <w:r w:rsidR="00B87887" w:rsidRPr="5473BDE1">
        <w:rPr>
          <w:rStyle w:val="normaltextrun"/>
          <w:rFonts w:asciiTheme="minorHAnsi" w:hAnsiTheme="minorHAnsi" w:cstheme="minorBidi"/>
          <w:sz w:val="22"/>
          <w:szCs w:val="22"/>
          <w:lang w:val="en-GB"/>
        </w:rPr>
        <w:t xml:space="preserve">which – apart from a </w:t>
      </w:r>
      <w:r w:rsidR="00E423F4" w:rsidRPr="5473BDE1">
        <w:rPr>
          <w:rStyle w:val="normaltextrun"/>
          <w:rFonts w:asciiTheme="minorHAnsi" w:hAnsiTheme="minorHAnsi" w:cstheme="minorBidi"/>
          <w:sz w:val="22"/>
          <w:szCs w:val="22"/>
          <w:lang w:val="en-GB"/>
        </w:rPr>
        <w:t xml:space="preserve">strong equity </w:t>
      </w:r>
      <w:r w:rsidR="006A0274" w:rsidRPr="5473BDE1">
        <w:rPr>
          <w:rStyle w:val="normaltextrun"/>
          <w:rFonts w:asciiTheme="minorHAnsi" w:hAnsiTheme="minorHAnsi" w:cstheme="minorBidi"/>
          <w:sz w:val="22"/>
          <w:szCs w:val="22"/>
          <w:lang w:val="en-GB"/>
        </w:rPr>
        <w:t>orientation</w:t>
      </w:r>
      <w:r w:rsidR="00B87887" w:rsidRPr="5473BDE1">
        <w:rPr>
          <w:rStyle w:val="normaltextrun"/>
          <w:rFonts w:asciiTheme="minorHAnsi" w:hAnsiTheme="minorHAnsi" w:cstheme="minorBidi"/>
          <w:sz w:val="22"/>
          <w:szCs w:val="22"/>
          <w:lang w:val="en-GB"/>
        </w:rPr>
        <w:t xml:space="preserve"> – needs to be guided by</w:t>
      </w:r>
      <w:r w:rsidR="00E423F4" w:rsidRPr="5473BDE1">
        <w:rPr>
          <w:rStyle w:val="normaltextrun"/>
          <w:rFonts w:asciiTheme="minorHAnsi" w:hAnsiTheme="minorHAnsi" w:cstheme="minorBidi"/>
          <w:sz w:val="22"/>
          <w:szCs w:val="22"/>
          <w:lang w:val="en-GB"/>
        </w:rPr>
        <w:t xml:space="preserve"> cost-effectiveness considerations and a focus on primary care</w:t>
      </w:r>
      <w:r w:rsidR="00B87887" w:rsidRPr="5473BDE1">
        <w:rPr>
          <w:rStyle w:val="normaltextrun"/>
          <w:rFonts w:asciiTheme="minorHAnsi" w:hAnsiTheme="minorHAnsi" w:cstheme="minorBidi"/>
          <w:sz w:val="22"/>
          <w:szCs w:val="22"/>
          <w:lang w:val="en-GB"/>
        </w:rPr>
        <w:t xml:space="preserve">. </w:t>
      </w:r>
      <w:r w:rsidR="00EE12BB" w:rsidRPr="5473BDE1">
        <w:rPr>
          <w:rStyle w:val="normaltextrun"/>
          <w:rFonts w:asciiTheme="minorHAnsi" w:hAnsiTheme="minorHAnsi" w:cstheme="minorBidi"/>
          <w:sz w:val="22"/>
          <w:szCs w:val="22"/>
          <w:lang w:val="en-GB"/>
        </w:rPr>
        <w:t xml:space="preserve">Abolishing or </w:t>
      </w:r>
      <w:r w:rsidR="371A74F5" w:rsidRPr="5473BDE1">
        <w:rPr>
          <w:rStyle w:val="normaltextrun"/>
          <w:rFonts w:asciiTheme="minorHAnsi" w:hAnsiTheme="minorHAnsi" w:cstheme="minorBidi"/>
          <w:sz w:val="22"/>
          <w:szCs w:val="22"/>
          <w:lang w:val="en-GB"/>
        </w:rPr>
        <w:t>limit</w:t>
      </w:r>
      <w:r w:rsidR="00CF4CDF">
        <w:rPr>
          <w:rStyle w:val="normaltextrun"/>
          <w:rFonts w:asciiTheme="minorHAnsi" w:hAnsiTheme="minorHAnsi" w:cstheme="minorBidi"/>
          <w:sz w:val="22"/>
          <w:szCs w:val="22"/>
          <w:lang w:val="en-GB"/>
        </w:rPr>
        <w:t>ing</w:t>
      </w:r>
      <w:r w:rsidR="00EE12BB" w:rsidRPr="5473BDE1">
        <w:rPr>
          <w:rStyle w:val="normaltextrun"/>
          <w:rFonts w:asciiTheme="minorHAnsi" w:hAnsiTheme="minorHAnsi" w:cstheme="minorBidi"/>
          <w:sz w:val="22"/>
          <w:szCs w:val="22"/>
          <w:lang w:val="en-GB"/>
        </w:rPr>
        <w:t xml:space="preserve"> cost-sharing at primary care level is critical </w:t>
      </w:r>
      <w:r w:rsidR="007F6C81" w:rsidRPr="5473BDE1">
        <w:rPr>
          <w:rStyle w:val="normaltextrun"/>
          <w:rFonts w:asciiTheme="minorHAnsi" w:hAnsiTheme="minorHAnsi" w:cstheme="minorBidi"/>
          <w:sz w:val="22"/>
          <w:szCs w:val="22"/>
          <w:lang w:val="en-GB"/>
        </w:rPr>
        <w:t xml:space="preserve">to </w:t>
      </w:r>
      <w:r w:rsidR="00BF645C" w:rsidRPr="5473BDE1">
        <w:rPr>
          <w:rStyle w:val="normaltextrun"/>
          <w:rFonts w:asciiTheme="minorHAnsi" w:hAnsiTheme="minorHAnsi" w:cstheme="minorBidi"/>
          <w:sz w:val="22"/>
          <w:szCs w:val="22"/>
          <w:lang w:val="en-GB"/>
        </w:rPr>
        <w:t xml:space="preserve">safeguard </w:t>
      </w:r>
      <w:r w:rsidR="00EE12BB" w:rsidRPr="5473BDE1">
        <w:rPr>
          <w:rStyle w:val="normaltextrun"/>
          <w:rFonts w:asciiTheme="minorHAnsi" w:hAnsiTheme="minorHAnsi" w:cstheme="minorBidi"/>
          <w:sz w:val="22"/>
          <w:szCs w:val="22"/>
          <w:lang w:val="en-GB"/>
        </w:rPr>
        <w:t xml:space="preserve">access, while additional funding is required to ensure </w:t>
      </w:r>
      <w:r w:rsidR="00BF645C" w:rsidRPr="5473BDE1">
        <w:rPr>
          <w:rStyle w:val="normaltextrun"/>
          <w:rFonts w:asciiTheme="minorHAnsi" w:hAnsiTheme="minorHAnsi" w:cstheme="minorBidi"/>
          <w:sz w:val="22"/>
          <w:szCs w:val="22"/>
          <w:lang w:val="en-GB"/>
        </w:rPr>
        <w:t>the availability of medicines, health workers and infrastructure.</w:t>
      </w:r>
    </w:p>
    <w:p w14:paraId="0AC44E3A" w14:textId="76F0BEF0" w:rsidR="005D1FA4" w:rsidRPr="00990CD9" w:rsidRDefault="000F1068" w:rsidP="008F2287">
      <w:pPr>
        <w:jc w:val="both"/>
        <w:rPr>
          <w:rFonts w:cstheme="minorHAnsi"/>
          <w:b/>
          <w:bCs/>
        </w:rPr>
      </w:pPr>
      <w:r w:rsidRPr="00990CD9">
        <w:rPr>
          <w:rFonts w:cstheme="minorHAnsi"/>
          <w:b/>
          <w:bCs/>
        </w:rPr>
        <w:t xml:space="preserve">Message </w:t>
      </w:r>
      <w:r w:rsidR="00616948">
        <w:rPr>
          <w:rFonts w:cstheme="minorHAnsi"/>
          <w:b/>
          <w:bCs/>
        </w:rPr>
        <w:t>3</w:t>
      </w:r>
      <w:r w:rsidRPr="00990CD9">
        <w:rPr>
          <w:rFonts w:cstheme="minorHAnsi"/>
          <w:b/>
          <w:bCs/>
        </w:rPr>
        <w:t xml:space="preserve">: </w:t>
      </w:r>
      <w:r w:rsidR="00052F31">
        <w:rPr>
          <w:rFonts w:cstheme="minorHAnsi"/>
          <w:b/>
          <w:bCs/>
        </w:rPr>
        <w:t xml:space="preserve">Strong health systems are needed to spend </w:t>
      </w:r>
      <w:r w:rsidR="005D1FA4" w:rsidRPr="00990CD9">
        <w:rPr>
          <w:rFonts w:cstheme="minorHAnsi"/>
          <w:b/>
          <w:bCs/>
        </w:rPr>
        <w:t xml:space="preserve">existing funds </w:t>
      </w:r>
      <w:proofErr w:type="spellStart"/>
      <w:proofErr w:type="gramStart"/>
      <w:r w:rsidR="005D1FA4" w:rsidRPr="00990CD9">
        <w:rPr>
          <w:rFonts w:cstheme="minorHAnsi"/>
          <w:b/>
          <w:bCs/>
        </w:rPr>
        <w:t>efficiently</w:t>
      </w:r>
      <w:r w:rsidR="00CF4CDF">
        <w:rPr>
          <w:rFonts w:cstheme="minorHAnsi"/>
          <w:b/>
          <w:bCs/>
        </w:rPr>
        <w:t>ng</w:t>
      </w:r>
      <w:proofErr w:type="spellEnd"/>
      <w:proofErr w:type="gramEnd"/>
    </w:p>
    <w:p w14:paraId="5496F116" w14:textId="5B8D0313" w:rsidR="00461D85" w:rsidRDefault="00637D7F" w:rsidP="008F2287">
      <w:pPr>
        <w:pStyle w:val="paragraph"/>
        <w:spacing w:before="0" w:beforeAutospacing="0" w:after="0" w:afterAutospacing="0"/>
        <w:jc w:val="both"/>
        <w:textAlignment w:val="baseline"/>
        <w:rPr>
          <w:rStyle w:val="normaltextrun"/>
          <w:rFonts w:asciiTheme="minorHAnsi" w:hAnsiTheme="minorHAnsi" w:cstheme="minorHAnsi"/>
          <w:sz w:val="22"/>
          <w:szCs w:val="22"/>
          <w:lang w:val="en-GB"/>
        </w:rPr>
      </w:pPr>
      <w:r w:rsidRPr="003B245E">
        <w:rPr>
          <w:rStyle w:val="cf01"/>
          <w:rFonts w:asciiTheme="minorHAnsi" w:hAnsiTheme="minorHAnsi" w:cstheme="minorHAnsi"/>
          <w:sz w:val="22"/>
          <w:szCs w:val="22"/>
        </w:rPr>
        <w:t xml:space="preserve">It takes people, policies, information systems, financial </w:t>
      </w:r>
      <w:proofErr w:type="gramStart"/>
      <w:r w:rsidRPr="003B245E">
        <w:rPr>
          <w:rStyle w:val="cf01"/>
          <w:rFonts w:asciiTheme="minorHAnsi" w:hAnsiTheme="minorHAnsi" w:cstheme="minorHAnsi"/>
          <w:sz w:val="22"/>
          <w:szCs w:val="22"/>
        </w:rPr>
        <w:t>systems</w:t>
      </w:r>
      <w:proofErr w:type="gramEnd"/>
      <w:r w:rsidR="00DA4675">
        <w:rPr>
          <w:rStyle w:val="cf01"/>
          <w:rFonts w:asciiTheme="minorHAnsi" w:hAnsiTheme="minorHAnsi" w:cstheme="minorHAnsi"/>
          <w:sz w:val="22"/>
          <w:szCs w:val="22"/>
        </w:rPr>
        <w:t xml:space="preserve"> and </w:t>
      </w:r>
      <w:r w:rsidRPr="003B245E">
        <w:rPr>
          <w:rStyle w:val="cf01"/>
          <w:rFonts w:asciiTheme="minorHAnsi" w:hAnsiTheme="minorHAnsi" w:cstheme="minorHAnsi"/>
          <w:sz w:val="22"/>
          <w:szCs w:val="22"/>
        </w:rPr>
        <w:t>accounting systems</w:t>
      </w:r>
      <w:r w:rsidR="00DA4675">
        <w:rPr>
          <w:rStyle w:val="cf01"/>
          <w:rFonts w:asciiTheme="minorHAnsi" w:hAnsiTheme="minorHAnsi" w:cstheme="minorHAnsi"/>
          <w:sz w:val="22"/>
          <w:szCs w:val="22"/>
        </w:rPr>
        <w:t xml:space="preserve"> </w:t>
      </w:r>
      <w:r w:rsidRPr="003B245E">
        <w:rPr>
          <w:rStyle w:val="cf01"/>
          <w:rFonts w:asciiTheme="minorHAnsi" w:hAnsiTheme="minorHAnsi" w:cstheme="minorHAnsi"/>
          <w:sz w:val="22"/>
          <w:szCs w:val="22"/>
        </w:rPr>
        <w:t>to spend money on time and to spend it well.</w:t>
      </w:r>
      <w:r w:rsidR="008162FA">
        <w:rPr>
          <w:rStyle w:val="cf01"/>
          <w:rFonts w:asciiTheme="minorHAnsi" w:hAnsiTheme="minorHAnsi" w:cstheme="minorHAnsi"/>
          <w:sz w:val="22"/>
          <w:szCs w:val="22"/>
        </w:rPr>
        <w:t xml:space="preserve"> In other words, c</w:t>
      </w:r>
      <w:proofErr w:type="spellStart"/>
      <w:r w:rsidR="00566374" w:rsidRPr="00990CD9">
        <w:rPr>
          <w:rStyle w:val="normaltextrun"/>
          <w:rFonts w:asciiTheme="minorHAnsi" w:hAnsiTheme="minorHAnsi" w:cstheme="minorHAnsi"/>
          <w:sz w:val="22"/>
          <w:szCs w:val="22"/>
          <w:lang w:val="en-GB"/>
        </w:rPr>
        <w:t>ountries</w:t>
      </w:r>
      <w:proofErr w:type="spellEnd"/>
      <w:r w:rsidR="00566374" w:rsidRPr="00990CD9">
        <w:rPr>
          <w:rStyle w:val="normaltextrun"/>
          <w:rFonts w:asciiTheme="minorHAnsi" w:hAnsiTheme="minorHAnsi" w:cstheme="minorHAnsi"/>
          <w:sz w:val="22"/>
          <w:szCs w:val="22"/>
          <w:lang w:val="en-GB"/>
        </w:rPr>
        <w:t xml:space="preserve"> need to ensure the basic </w:t>
      </w:r>
      <w:r w:rsidR="00561457">
        <w:rPr>
          <w:rStyle w:val="normaltextrun"/>
          <w:rFonts w:asciiTheme="minorHAnsi" w:hAnsiTheme="minorHAnsi" w:cstheme="minorHAnsi"/>
          <w:sz w:val="22"/>
          <w:szCs w:val="22"/>
          <w:lang w:val="en-GB"/>
        </w:rPr>
        <w:t>p</w:t>
      </w:r>
      <w:r w:rsidR="002A0F29">
        <w:rPr>
          <w:rStyle w:val="normaltextrun"/>
          <w:rFonts w:asciiTheme="minorHAnsi" w:hAnsiTheme="minorHAnsi" w:cstheme="minorHAnsi"/>
          <w:sz w:val="22"/>
          <w:szCs w:val="22"/>
          <w:lang w:val="en-GB"/>
        </w:rPr>
        <w:t xml:space="preserve">ublic </w:t>
      </w:r>
      <w:r w:rsidR="00561457">
        <w:rPr>
          <w:rStyle w:val="normaltextrun"/>
          <w:rFonts w:asciiTheme="minorHAnsi" w:hAnsiTheme="minorHAnsi" w:cstheme="minorHAnsi"/>
          <w:sz w:val="22"/>
          <w:szCs w:val="22"/>
          <w:lang w:val="en-GB"/>
        </w:rPr>
        <w:t>f</w:t>
      </w:r>
      <w:r w:rsidR="002A0F29">
        <w:rPr>
          <w:rStyle w:val="normaltextrun"/>
          <w:rFonts w:asciiTheme="minorHAnsi" w:hAnsiTheme="minorHAnsi" w:cstheme="minorHAnsi"/>
          <w:sz w:val="22"/>
          <w:szCs w:val="22"/>
          <w:lang w:val="en-GB"/>
        </w:rPr>
        <w:t xml:space="preserve">inancial </w:t>
      </w:r>
      <w:r w:rsidR="00561457">
        <w:rPr>
          <w:rStyle w:val="normaltextrun"/>
          <w:rFonts w:asciiTheme="minorHAnsi" w:hAnsiTheme="minorHAnsi" w:cstheme="minorHAnsi"/>
          <w:sz w:val="22"/>
          <w:szCs w:val="22"/>
          <w:lang w:val="en-GB"/>
        </w:rPr>
        <w:t>m</w:t>
      </w:r>
      <w:r w:rsidR="002A0F29">
        <w:rPr>
          <w:rStyle w:val="normaltextrun"/>
          <w:rFonts w:asciiTheme="minorHAnsi" w:hAnsiTheme="minorHAnsi" w:cstheme="minorHAnsi"/>
          <w:sz w:val="22"/>
          <w:szCs w:val="22"/>
          <w:lang w:val="en-GB"/>
        </w:rPr>
        <w:t>anagement</w:t>
      </w:r>
      <w:r w:rsidR="00276459">
        <w:rPr>
          <w:rStyle w:val="normaltextrun"/>
          <w:rFonts w:asciiTheme="minorHAnsi" w:hAnsiTheme="minorHAnsi" w:cstheme="minorHAnsi"/>
          <w:sz w:val="22"/>
          <w:szCs w:val="22"/>
          <w:lang w:val="en-GB"/>
        </w:rPr>
        <w:t xml:space="preserve"> (PFM)</w:t>
      </w:r>
      <w:r w:rsidR="002A0F29">
        <w:rPr>
          <w:rStyle w:val="normaltextrun"/>
          <w:rFonts w:asciiTheme="minorHAnsi" w:hAnsiTheme="minorHAnsi" w:cstheme="minorHAnsi"/>
          <w:sz w:val="22"/>
          <w:szCs w:val="22"/>
          <w:lang w:val="en-GB"/>
        </w:rPr>
        <w:t xml:space="preserve"> </w:t>
      </w:r>
      <w:r w:rsidR="00566374" w:rsidRPr="00990CD9">
        <w:rPr>
          <w:rStyle w:val="normaltextrun"/>
          <w:rFonts w:asciiTheme="minorHAnsi" w:hAnsiTheme="minorHAnsi" w:cstheme="minorHAnsi"/>
          <w:sz w:val="22"/>
          <w:szCs w:val="22"/>
          <w:lang w:val="en-GB"/>
        </w:rPr>
        <w:t xml:space="preserve">functions are in place to enable credible and predictable resource allocations for health, </w:t>
      </w:r>
      <w:r w:rsidR="00AE6437">
        <w:rPr>
          <w:rStyle w:val="normaltextrun"/>
          <w:rFonts w:asciiTheme="minorHAnsi" w:hAnsiTheme="minorHAnsi" w:cstheme="minorHAnsi"/>
          <w:sz w:val="22"/>
          <w:szCs w:val="22"/>
          <w:lang w:val="en-GB"/>
        </w:rPr>
        <w:t xml:space="preserve">effective budget execution, </w:t>
      </w:r>
      <w:r w:rsidR="00566374" w:rsidRPr="00990CD9">
        <w:rPr>
          <w:rStyle w:val="normaltextrun"/>
          <w:rFonts w:asciiTheme="minorHAnsi" w:hAnsiTheme="minorHAnsi" w:cstheme="minorHAnsi"/>
          <w:sz w:val="22"/>
          <w:szCs w:val="22"/>
          <w:lang w:val="en-GB"/>
        </w:rPr>
        <w:t xml:space="preserve">timely and full disbursements to </w:t>
      </w:r>
      <w:r w:rsidR="00FF1434">
        <w:rPr>
          <w:rStyle w:val="normaltextrun"/>
          <w:rFonts w:asciiTheme="minorHAnsi" w:hAnsiTheme="minorHAnsi" w:cstheme="minorHAnsi"/>
          <w:sz w:val="22"/>
          <w:szCs w:val="22"/>
          <w:lang w:val="en-GB"/>
        </w:rPr>
        <w:t xml:space="preserve">health facilities </w:t>
      </w:r>
      <w:r w:rsidR="00566374" w:rsidRPr="00990CD9">
        <w:rPr>
          <w:rStyle w:val="normaltextrun"/>
          <w:rFonts w:asciiTheme="minorHAnsi" w:hAnsiTheme="minorHAnsi" w:cstheme="minorHAnsi"/>
          <w:sz w:val="22"/>
          <w:szCs w:val="22"/>
          <w:lang w:val="en-GB"/>
        </w:rPr>
        <w:t>and transparent monitoring and reporting of health expenditures. </w:t>
      </w:r>
    </w:p>
    <w:p w14:paraId="0F630647" w14:textId="77777777" w:rsidR="001F6E0E" w:rsidRDefault="001F6E0E" w:rsidP="008F2287">
      <w:pPr>
        <w:pStyle w:val="paragraph"/>
        <w:spacing w:before="0" w:beforeAutospacing="0" w:after="0" w:afterAutospacing="0"/>
        <w:jc w:val="both"/>
        <w:textAlignment w:val="baseline"/>
        <w:rPr>
          <w:rStyle w:val="normaltextrun"/>
          <w:rFonts w:asciiTheme="minorHAnsi" w:hAnsiTheme="minorHAnsi" w:cstheme="minorHAnsi"/>
          <w:sz w:val="22"/>
          <w:szCs w:val="22"/>
          <w:lang w:val="en-GB"/>
        </w:rPr>
      </w:pPr>
    </w:p>
    <w:p w14:paraId="0D8B29AF" w14:textId="2CAA4D37" w:rsidR="00461D85" w:rsidRDefault="00566374" w:rsidP="008F2287">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990CD9">
        <w:rPr>
          <w:rStyle w:val="normaltextrun"/>
          <w:rFonts w:asciiTheme="minorHAnsi" w:hAnsiTheme="minorHAnsi" w:cstheme="minorHAnsi"/>
          <w:sz w:val="22"/>
          <w:szCs w:val="22"/>
          <w:lang w:val="en-GB"/>
        </w:rPr>
        <w:t>T</w:t>
      </w:r>
      <w:r w:rsidRPr="00990CD9">
        <w:rPr>
          <w:rStyle w:val="normaltextrun"/>
          <w:rFonts w:asciiTheme="minorHAnsi" w:hAnsiTheme="minorHAnsi" w:cstheme="minorHAnsi"/>
          <w:sz w:val="22"/>
          <w:szCs w:val="22"/>
        </w:rPr>
        <w:t xml:space="preserve">his foundation creates an enabling environment to align purchasing mechanisms </w:t>
      </w:r>
      <w:r w:rsidR="00F42C1F">
        <w:rPr>
          <w:rStyle w:val="normaltextrun"/>
          <w:rFonts w:asciiTheme="minorHAnsi" w:hAnsiTheme="minorHAnsi" w:cstheme="minorHAnsi"/>
          <w:sz w:val="22"/>
          <w:szCs w:val="22"/>
        </w:rPr>
        <w:t xml:space="preserve">and provider payment methods </w:t>
      </w:r>
      <w:r w:rsidRPr="00990CD9">
        <w:rPr>
          <w:rStyle w:val="normaltextrun"/>
          <w:rFonts w:asciiTheme="minorHAnsi" w:hAnsiTheme="minorHAnsi" w:cstheme="minorHAnsi"/>
          <w:sz w:val="22"/>
          <w:szCs w:val="22"/>
        </w:rPr>
        <w:t>with defined</w:t>
      </w:r>
      <w:r w:rsidR="0055045B">
        <w:rPr>
          <w:rStyle w:val="normaltextrun"/>
          <w:rFonts w:asciiTheme="minorHAnsi" w:hAnsiTheme="minorHAnsi" w:cstheme="minorHAnsi"/>
          <w:sz w:val="22"/>
          <w:szCs w:val="22"/>
        </w:rPr>
        <w:t xml:space="preserve"> and </w:t>
      </w:r>
      <w:r w:rsidRPr="00990CD9">
        <w:rPr>
          <w:rStyle w:val="normaltextrun"/>
          <w:rFonts w:asciiTheme="minorHAnsi" w:hAnsiTheme="minorHAnsi" w:cstheme="minorHAnsi"/>
          <w:sz w:val="22"/>
          <w:szCs w:val="22"/>
        </w:rPr>
        <w:t>explicit benefits. </w:t>
      </w:r>
      <w:r w:rsidR="00861191" w:rsidRPr="00990CD9">
        <w:rPr>
          <w:rStyle w:val="normaltextrun"/>
          <w:rFonts w:asciiTheme="minorHAnsi" w:hAnsiTheme="minorHAnsi" w:cstheme="minorHAnsi"/>
          <w:sz w:val="22"/>
          <w:szCs w:val="22"/>
        </w:rPr>
        <w:t>S</w:t>
      </w:r>
      <w:r w:rsidRPr="00990CD9">
        <w:rPr>
          <w:rStyle w:val="normaltextrun"/>
          <w:rFonts w:asciiTheme="minorHAnsi" w:hAnsiTheme="minorHAnsi" w:cstheme="minorHAnsi"/>
          <w:sz w:val="22"/>
          <w:szCs w:val="22"/>
        </w:rPr>
        <w:t>trengthening purchasing</w:t>
      </w:r>
      <w:r w:rsidR="00F42C1F">
        <w:rPr>
          <w:rStyle w:val="normaltextrun"/>
          <w:rFonts w:asciiTheme="minorHAnsi" w:hAnsiTheme="minorHAnsi" w:cstheme="minorHAnsi"/>
          <w:sz w:val="22"/>
          <w:szCs w:val="22"/>
        </w:rPr>
        <w:t xml:space="preserve"> and making it more strategic</w:t>
      </w:r>
      <w:r w:rsidRPr="00990CD9">
        <w:rPr>
          <w:rStyle w:val="normaltextrun"/>
          <w:rFonts w:asciiTheme="minorHAnsi" w:hAnsiTheme="minorHAnsi" w:cstheme="minorHAnsi"/>
          <w:sz w:val="22"/>
          <w:szCs w:val="22"/>
        </w:rPr>
        <w:t xml:space="preserve">, whether this is done within the budget process or by channeling general revenue funds to a public insurance agency and pooling these with contributions, </w:t>
      </w:r>
      <w:r w:rsidR="00740EE1">
        <w:rPr>
          <w:rStyle w:val="normaltextrun"/>
          <w:rFonts w:asciiTheme="minorHAnsi" w:hAnsiTheme="minorHAnsi" w:cstheme="minorHAnsi"/>
          <w:sz w:val="22"/>
          <w:szCs w:val="22"/>
        </w:rPr>
        <w:t xml:space="preserve">is </w:t>
      </w:r>
      <w:r w:rsidRPr="00990CD9">
        <w:rPr>
          <w:rStyle w:val="normaltextrun"/>
          <w:rFonts w:asciiTheme="minorHAnsi" w:hAnsiTheme="minorHAnsi" w:cstheme="minorHAnsi"/>
          <w:sz w:val="22"/>
          <w:szCs w:val="22"/>
        </w:rPr>
        <w:t xml:space="preserve">a key driver for system improvement. </w:t>
      </w:r>
      <w:r w:rsidR="002A0F29" w:rsidRPr="00990CD9">
        <w:rPr>
          <w:rStyle w:val="normaltextrun"/>
          <w:rFonts w:asciiTheme="minorHAnsi" w:hAnsiTheme="minorHAnsi" w:cstheme="minorHAnsi"/>
          <w:sz w:val="22"/>
          <w:szCs w:val="22"/>
          <w:lang w:val="en-GB"/>
        </w:rPr>
        <w:t xml:space="preserve">Spending more on health from the budget needs to be done strategically to support more efficient use of resources and better matching funds to defined priorities. This also requires changes to </w:t>
      </w:r>
      <w:r w:rsidR="002A0F29" w:rsidRPr="00990CD9">
        <w:rPr>
          <w:rStyle w:val="normaltextrun"/>
          <w:rFonts w:asciiTheme="minorHAnsi" w:hAnsiTheme="minorHAnsi" w:cstheme="minorHAnsi"/>
          <w:sz w:val="22"/>
          <w:szCs w:val="22"/>
        </w:rPr>
        <w:t>PFM rules</w:t>
      </w:r>
      <w:r w:rsidR="00276459">
        <w:rPr>
          <w:rStyle w:val="normaltextrun"/>
          <w:rFonts w:asciiTheme="minorHAnsi" w:hAnsiTheme="minorHAnsi" w:cstheme="minorHAnsi"/>
          <w:sz w:val="22"/>
          <w:szCs w:val="22"/>
        </w:rPr>
        <w:t xml:space="preserve"> more broadly</w:t>
      </w:r>
      <w:r w:rsidR="002A0F29" w:rsidRPr="00990CD9">
        <w:rPr>
          <w:rStyle w:val="normaltextrun"/>
          <w:rFonts w:asciiTheme="minorHAnsi" w:hAnsiTheme="minorHAnsi" w:cstheme="minorHAnsi"/>
          <w:sz w:val="22"/>
          <w:szCs w:val="22"/>
        </w:rPr>
        <w:t xml:space="preserve">. </w:t>
      </w:r>
    </w:p>
    <w:p w14:paraId="2045E73D" w14:textId="77777777" w:rsidR="008B1CB8" w:rsidRDefault="008B1CB8" w:rsidP="008F2287">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4111C564" w14:textId="6F9D61D2" w:rsidR="003271A9" w:rsidRPr="00CF0478" w:rsidRDefault="003271A9" w:rsidP="008F2287">
      <w:pPr>
        <w:jc w:val="both"/>
        <w:rPr>
          <w:rFonts w:cstheme="minorHAnsi"/>
          <w:b/>
          <w:bCs/>
        </w:rPr>
      </w:pPr>
      <w:r w:rsidRPr="00990CD9">
        <w:rPr>
          <w:rFonts w:cstheme="minorHAnsi"/>
          <w:b/>
          <w:bCs/>
        </w:rPr>
        <w:t xml:space="preserve">Message </w:t>
      </w:r>
      <w:r w:rsidR="001F1023">
        <w:rPr>
          <w:rFonts w:cstheme="minorHAnsi"/>
          <w:b/>
          <w:bCs/>
        </w:rPr>
        <w:t>4</w:t>
      </w:r>
      <w:r w:rsidRPr="00990CD9">
        <w:rPr>
          <w:rFonts w:cstheme="minorHAnsi"/>
          <w:b/>
          <w:bCs/>
        </w:rPr>
        <w:t>:</w:t>
      </w:r>
      <w:r>
        <w:rPr>
          <w:rFonts w:cstheme="minorHAnsi"/>
          <w:b/>
          <w:bCs/>
        </w:rPr>
        <w:t xml:space="preserve"> </w:t>
      </w:r>
      <w:r w:rsidRPr="00CF0478">
        <w:rPr>
          <w:rStyle w:val="cf01"/>
          <w:rFonts w:asciiTheme="minorHAnsi" w:hAnsiTheme="minorHAnsi" w:cstheme="minorHAnsi"/>
          <w:b/>
          <w:bCs/>
          <w:sz w:val="22"/>
          <w:szCs w:val="22"/>
        </w:rPr>
        <w:t xml:space="preserve">Investing to prevent and prepare for future pandemics is </w:t>
      </w:r>
      <w:proofErr w:type="gramStart"/>
      <w:r w:rsidRPr="00CF0478">
        <w:rPr>
          <w:rStyle w:val="cf01"/>
          <w:rFonts w:asciiTheme="minorHAnsi" w:hAnsiTheme="minorHAnsi" w:cstheme="minorHAnsi"/>
          <w:b/>
          <w:bCs/>
          <w:sz w:val="22"/>
          <w:szCs w:val="22"/>
        </w:rPr>
        <w:t>paramount</w:t>
      </w:r>
      <w:proofErr w:type="gramEnd"/>
    </w:p>
    <w:p w14:paraId="1F9A631E" w14:textId="77777777" w:rsidR="008F2287" w:rsidRDefault="003271A9" w:rsidP="008F2287">
      <w:pPr>
        <w:jc w:val="both"/>
        <w:rPr>
          <w:rFonts w:eastAsia="Times New Roman"/>
        </w:rPr>
      </w:pPr>
      <w:r>
        <w:rPr>
          <w:rFonts w:eastAsia="Times New Roman"/>
        </w:rPr>
        <w:t xml:space="preserve">Effective financing for Pandemic Preparedness and Response (PPR) necessitates flexible and accountable budget funding. The total annual financing requirement for future PPR is </w:t>
      </w:r>
      <w:hyperlink r:id="rId11" w:history="1">
        <w:r w:rsidRPr="00025ACB">
          <w:rPr>
            <w:rStyle w:val="Hyperlink"/>
            <w:rFonts w:eastAsia="Times New Roman"/>
          </w:rPr>
          <w:t>estimated at US$ 31.1 billion</w:t>
        </w:r>
      </w:hyperlink>
      <w:hyperlink r:id="rId12" w:history="1">
        <w:r>
          <w:rPr>
            <w:rStyle w:val="Hyperlink"/>
            <w:rFonts w:eastAsia="Times New Roman"/>
          </w:rPr>
          <w:t>.</w:t>
        </w:r>
      </w:hyperlink>
      <w:r>
        <w:rPr>
          <w:rFonts w:eastAsia="Times New Roman"/>
        </w:rPr>
        <w:t xml:space="preserve"> Enhancing and adapting </w:t>
      </w:r>
      <w:r w:rsidR="00EA12BF">
        <w:rPr>
          <w:rFonts w:eastAsia="Times New Roman"/>
        </w:rPr>
        <w:t>PFM</w:t>
      </w:r>
      <w:r>
        <w:rPr>
          <w:rFonts w:eastAsia="Times New Roman"/>
        </w:rPr>
        <w:t xml:space="preserve"> systems is crucial to swiftly mobilize funds, ensure timely disbursement to frontline services, and effectively track expenditures during health emergencies </w:t>
      </w:r>
      <w:r w:rsidR="00092217">
        <w:rPr>
          <w:rFonts w:eastAsia="Times New Roman"/>
        </w:rPr>
        <w:t xml:space="preserve">in order </w:t>
      </w:r>
      <w:r>
        <w:rPr>
          <w:rFonts w:eastAsia="Times New Roman"/>
        </w:rPr>
        <w:t>to strengthening PPR.</w:t>
      </w:r>
    </w:p>
    <w:p w14:paraId="243284CF" w14:textId="77777777" w:rsidR="003B4DA9" w:rsidRDefault="003B4DA9" w:rsidP="008F2287">
      <w:pPr>
        <w:jc w:val="both"/>
        <w:rPr>
          <w:rFonts w:eastAsia="Times New Roman"/>
        </w:rPr>
      </w:pPr>
    </w:p>
    <w:p w14:paraId="2E4D4E4B" w14:textId="77777777" w:rsidR="003B4DA9" w:rsidRDefault="003B4DA9" w:rsidP="008F2287">
      <w:pPr>
        <w:jc w:val="both"/>
        <w:rPr>
          <w:rFonts w:eastAsia="Times New Roman"/>
        </w:rPr>
      </w:pPr>
    </w:p>
    <w:p w14:paraId="60E4EADE" w14:textId="77777777" w:rsidR="002442DB" w:rsidRDefault="003271A9" w:rsidP="008F2287">
      <w:pPr>
        <w:jc w:val="both"/>
        <w:rPr>
          <w:rFonts w:eastAsia="Times New Roman"/>
        </w:rPr>
      </w:pPr>
      <w:r>
        <w:rPr>
          <w:rFonts w:eastAsia="Times New Roman"/>
        </w:rPr>
        <w:t xml:space="preserve"> </w:t>
      </w:r>
      <w:bookmarkStart w:id="0" w:name="_Hlk179192491"/>
    </w:p>
    <w:p w14:paraId="00624CAC" w14:textId="6D57EB25" w:rsidR="00F749AA" w:rsidRPr="00990CD9" w:rsidRDefault="00F749AA" w:rsidP="008F2287">
      <w:pPr>
        <w:jc w:val="both"/>
        <w:rPr>
          <w:rFonts w:cstheme="minorHAnsi"/>
          <w:b/>
          <w:bCs/>
        </w:rPr>
      </w:pPr>
      <w:r w:rsidRPr="00990CD9">
        <w:rPr>
          <w:rFonts w:cstheme="minorHAnsi"/>
          <w:b/>
          <w:bCs/>
        </w:rPr>
        <w:lastRenderedPageBreak/>
        <w:t xml:space="preserve">Message </w:t>
      </w:r>
      <w:r w:rsidR="00680A03">
        <w:rPr>
          <w:rFonts w:cstheme="minorHAnsi"/>
          <w:b/>
          <w:bCs/>
        </w:rPr>
        <w:t>5</w:t>
      </w:r>
      <w:r w:rsidRPr="00990CD9">
        <w:rPr>
          <w:rFonts w:cstheme="minorHAnsi"/>
          <w:b/>
          <w:bCs/>
        </w:rPr>
        <w:t>:</w:t>
      </w:r>
      <w:r w:rsidR="007E3CD0" w:rsidRPr="00990CD9">
        <w:rPr>
          <w:rFonts w:cstheme="minorHAnsi"/>
          <w:b/>
          <w:bCs/>
        </w:rPr>
        <w:t xml:space="preserve"> </w:t>
      </w:r>
      <w:r w:rsidR="00307D52">
        <w:rPr>
          <w:rFonts w:cstheme="minorHAnsi"/>
          <w:b/>
          <w:bCs/>
        </w:rPr>
        <w:t>External financing for health needs to align and support country priorities and systems</w:t>
      </w:r>
      <w:r w:rsidR="00FC08A7">
        <w:rPr>
          <w:rFonts w:cstheme="minorHAnsi"/>
          <w:b/>
          <w:bCs/>
        </w:rPr>
        <w:t>.</w:t>
      </w:r>
    </w:p>
    <w:p w14:paraId="350CC46C" w14:textId="29AE8DC8" w:rsidR="00FF41FC" w:rsidRDefault="00914007" w:rsidP="008F2287">
      <w:pPr>
        <w:jc w:val="both"/>
        <w:rPr>
          <w:rStyle w:val="SubtleEmphasis"/>
          <w:rFonts w:cstheme="minorHAnsi"/>
          <w:b/>
          <w:bCs/>
          <w:i w:val="0"/>
          <w:iCs w:val="0"/>
          <w:color w:val="auto"/>
          <w:highlight w:val="green"/>
        </w:rPr>
      </w:pPr>
      <w:r>
        <w:t>T</w:t>
      </w:r>
      <w:r w:rsidR="006069C4">
        <w:t xml:space="preserve">he current global health architecture </w:t>
      </w:r>
      <w:r w:rsidR="00EF0CFB">
        <w:t>requires reorientation to adequately support sustainable improvements in PHC-oriented health systems.  Current models</w:t>
      </w:r>
      <w:r w:rsidR="00B04550">
        <w:t xml:space="preserve"> of external assistance </w:t>
      </w:r>
      <w:r w:rsidR="00EF0CFB">
        <w:t>focus on short-term, heavily earmarked, inflexible</w:t>
      </w:r>
      <w:r w:rsidR="00B04550">
        <w:t>, vertical</w:t>
      </w:r>
      <w:r w:rsidR="00E43293">
        <w:t xml:space="preserve"> funding flows </w:t>
      </w:r>
      <w:r w:rsidR="000C26E6">
        <w:t xml:space="preserve">that often </w:t>
      </w:r>
      <w:r w:rsidR="00E43293">
        <w:t xml:space="preserve">do not align to country systems or priorities. </w:t>
      </w:r>
      <w:r w:rsidR="004669ED">
        <w:t xml:space="preserve">The </w:t>
      </w:r>
      <w:hyperlink r:id="rId13" w:history="1">
        <w:r w:rsidR="004669ED" w:rsidRPr="00862026">
          <w:rPr>
            <w:rStyle w:val="Hyperlink"/>
          </w:rPr>
          <w:t>Lusaka Agenda</w:t>
        </w:r>
      </w:hyperlink>
      <w:r w:rsidR="004669ED">
        <w:t>, launched in</w:t>
      </w:r>
      <w:r w:rsidR="007C6165">
        <w:t xml:space="preserve"> December 2023, </w:t>
      </w:r>
      <w:r w:rsidR="00B96E80">
        <w:t xml:space="preserve">underscores this problem, with a specific focus on Global Health Initiatives, and calls for </w:t>
      </w:r>
      <w:r w:rsidR="00591355">
        <w:t xml:space="preserve">coordination </w:t>
      </w:r>
      <w:r w:rsidR="00B14B46">
        <w:t xml:space="preserve">changes so external assistance can </w:t>
      </w:r>
      <w:r w:rsidR="00591355">
        <w:t xml:space="preserve">support </w:t>
      </w:r>
      <w:r w:rsidR="00B14B46">
        <w:t xml:space="preserve">and align behind </w:t>
      </w:r>
      <w:r w:rsidR="00706837">
        <w:t>domestically</w:t>
      </w:r>
      <w:r w:rsidR="00B14B46">
        <w:t xml:space="preserve"> </w:t>
      </w:r>
      <w:r w:rsidR="00706837">
        <w:t>financ</w:t>
      </w:r>
      <w:r w:rsidR="00B14B46">
        <w:t xml:space="preserve">ed </w:t>
      </w:r>
      <w:r w:rsidR="00706837">
        <w:t>health systems.</w:t>
      </w:r>
      <w:r w:rsidR="00B14B46">
        <w:t xml:space="preserve"> Th</w:t>
      </w:r>
      <w:r w:rsidR="000D5DF3">
        <w:t>e shifts laid out in the Lusaka Agenda</w:t>
      </w:r>
      <w:r w:rsidR="00B14B46">
        <w:t xml:space="preserve"> require </w:t>
      </w:r>
      <w:r w:rsidR="000D5DF3">
        <w:t>reforms to</w:t>
      </w:r>
      <w:r w:rsidR="00274298">
        <w:t xml:space="preserve"> </w:t>
      </w:r>
      <w:r w:rsidR="00B14B46">
        <w:t>funding approaches</w:t>
      </w:r>
      <w:r w:rsidR="00274298">
        <w:t xml:space="preserve"> and </w:t>
      </w:r>
      <w:r w:rsidR="00B14B46">
        <w:t>accountability mechanisms</w:t>
      </w:r>
      <w:r w:rsidR="00274298">
        <w:t xml:space="preserve"> to actively defragment and align behind domestic systems and priorities.</w:t>
      </w:r>
      <w:r w:rsidR="000D5DF3">
        <w:t xml:space="preserve"> </w:t>
      </w:r>
      <w:r w:rsidR="004208E0">
        <w:t>The strong voice of country leaders that are calling for these reforms will need to be sustained to ensure the political support for reform is maintained.</w:t>
      </w:r>
      <w:r w:rsidR="00274298">
        <w:t xml:space="preserve">  </w:t>
      </w:r>
      <w:bookmarkEnd w:id="0"/>
    </w:p>
    <w:p w14:paraId="66654C44" w14:textId="58D77446" w:rsidR="00072AF0" w:rsidRPr="00FF41FC" w:rsidRDefault="00F16103" w:rsidP="008F2287">
      <w:pPr>
        <w:jc w:val="both"/>
        <w:rPr>
          <w:rStyle w:val="SubtleEmphasis"/>
          <w:rFonts w:cstheme="minorHAnsi"/>
          <w:b/>
          <w:bCs/>
          <w:i w:val="0"/>
          <w:iCs w:val="0"/>
          <w:color w:val="auto"/>
        </w:rPr>
      </w:pPr>
      <w:r w:rsidRPr="00FF41FC">
        <w:rPr>
          <w:rStyle w:val="SubtleEmphasis"/>
          <w:rFonts w:cstheme="minorHAnsi"/>
          <w:b/>
          <w:bCs/>
          <w:i w:val="0"/>
          <w:iCs w:val="0"/>
          <w:color w:val="auto"/>
        </w:rPr>
        <w:t>Specific r</w:t>
      </w:r>
      <w:r w:rsidR="00072AF0" w:rsidRPr="00FF41FC">
        <w:rPr>
          <w:rStyle w:val="SubtleEmphasis"/>
          <w:rFonts w:cstheme="minorHAnsi"/>
          <w:b/>
          <w:bCs/>
          <w:i w:val="0"/>
          <w:iCs w:val="0"/>
          <w:color w:val="auto"/>
        </w:rPr>
        <w:t>ecommendation</w:t>
      </w:r>
      <w:r w:rsidRPr="00FF41FC">
        <w:rPr>
          <w:rStyle w:val="SubtleEmphasis"/>
          <w:rFonts w:cstheme="minorHAnsi"/>
          <w:b/>
          <w:bCs/>
          <w:i w:val="0"/>
          <w:iCs w:val="0"/>
          <w:color w:val="auto"/>
        </w:rPr>
        <w:t xml:space="preserve"> to </w:t>
      </w:r>
      <w:r w:rsidR="00612AA5" w:rsidRPr="00FF41FC">
        <w:rPr>
          <w:rStyle w:val="SubtleEmphasis"/>
          <w:rFonts w:cstheme="minorHAnsi"/>
          <w:b/>
          <w:bCs/>
          <w:i w:val="0"/>
          <w:iCs w:val="0"/>
          <w:color w:val="auto"/>
        </w:rPr>
        <w:t>FfD4</w:t>
      </w:r>
    </w:p>
    <w:p w14:paraId="1728E652" w14:textId="5E0781AD" w:rsidR="00F16103" w:rsidRDefault="00B916C1" w:rsidP="008F2287">
      <w:pPr>
        <w:pStyle w:val="ListParagraph"/>
        <w:numPr>
          <w:ilvl w:val="0"/>
          <w:numId w:val="9"/>
        </w:numPr>
        <w:jc w:val="both"/>
      </w:pPr>
      <w:r>
        <w:rPr>
          <w:rFonts w:eastAsia="Times New Roman"/>
        </w:rPr>
        <w:t>Global partners should s</w:t>
      </w:r>
      <w:r w:rsidR="00F16103" w:rsidRPr="00530A46">
        <w:rPr>
          <w:rFonts w:eastAsia="Times New Roman"/>
        </w:rPr>
        <w:t xml:space="preserve">upport countries </w:t>
      </w:r>
      <w:r>
        <w:rPr>
          <w:rFonts w:eastAsia="Times New Roman"/>
        </w:rPr>
        <w:t>in</w:t>
      </w:r>
      <w:r w:rsidR="00F16103" w:rsidRPr="00530A46">
        <w:rPr>
          <w:rFonts w:eastAsia="Times New Roman"/>
        </w:rPr>
        <w:t xml:space="preserve"> establish</w:t>
      </w:r>
      <w:r>
        <w:rPr>
          <w:rFonts w:eastAsia="Times New Roman"/>
        </w:rPr>
        <w:t>ing</w:t>
      </w:r>
      <w:r w:rsidR="00F16103" w:rsidRPr="00530A46">
        <w:rPr>
          <w:rFonts w:eastAsia="Times New Roman"/>
        </w:rPr>
        <w:t xml:space="preserve"> national-level emergency response funding mechanisms with adequate activation protocols to allow for rapid disbursement of funds. There is also </w:t>
      </w:r>
      <w:proofErr w:type="gramStart"/>
      <w:r w:rsidR="00F16103" w:rsidRPr="00530A46">
        <w:rPr>
          <w:rFonts w:eastAsia="Times New Roman"/>
        </w:rPr>
        <w:t>need</w:t>
      </w:r>
      <w:proofErr w:type="gramEnd"/>
      <w:r w:rsidR="00F16103" w:rsidRPr="00530A46">
        <w:rPr>
          <w:rFonts w:eastAsia="Times New Roman"/>
        </w:rPr>
        <w:t xml:space="preserve"> to develop </w:t>
      </w:r>
      <w:r w:rsidR="00F16103" w:rsidRPr="00FF41FC">
        <w:t>standard operating procedures for extra-budgetary mechanisms to provide response financing.</w:t>
      </w:r>
    </w:p>
    <w:p w14:paraId="434BE651" w14:textId="77777777" w:rsidR="00A206CB" w:rsidRPr="00FF41FC" w:rsidRDefault="00A206CB" w:rsidP="008F2287">
      <w:pPr>
        <w:pStyle w:val="ListParagraph"/>
        <w:ind w:left="360"/>
        <w:jc w:val="both"/>
      </w:pPr>
    </w:p>
    <w:p w14:paraId="26F29093" w14:textId="47A77D1E" w:rsidR="00B916C1" w:rsidRDefault="00B916C1" w:rsidP="008F2287">
      <w:pPr>
        <w:pStyle w:val="ListParagraph"/>
        <w:numPr>
          <w:ilvl w:val="0"/>
          <w:numId w:val="9"/>
        </w:numPr>
        <w:jc w:val="both"/>
        <w:rPr>
          <w:rStyle w:val="SubtleEmphasis"/>
          <w:rFonts w:cstheme="minorHAnsi"/>
          <w:i w:val="0"/>
          <w:iCs w:val="0"/>
          <w:color w:val="auto"/>
        </w:rPr>
      </w:pPr>
      <w:bookmarkStart w:id="1" w:name="_Hlk179192595"/>
      <w:r>
        <w:rPr>
          <w:rFonts w:cstheme="minorHAnsi"/>
        </w:rPr>
        <w:t>Member states and global partners should p</w:t>
      </w:r>
      <w:r w:rsidR="00372201">
        <w:rPr>
          <w:rFonts w:cstheme="minorHAnsi"/>
        </w:rPr>
        <w:t>romote</w:t>
      </w:r>
      <w:r w:rsidR="00612AA5" w:rsidRPr="00530A46">
        <w:rPr>
          <w:rFonts w:cstheme="minorHAnsi"/>
        </w:rPr>
        <w:t xml:space="preserve"> the Lusaka </w:t>
      </w:r>
      <w:r w:rsidR="008363BE">
        <w:rPr>
          <w:rFonts w:cstheme="minorHAnsi"/>
        </w:rPr>
        <w:t>A</w:t>
      </w:r>
      <w:r w:rsidR="00612AA5" w:rsidRPr="00530A46">
        <w:rPr>
          <w:rFonts w:cstheme="minorHAnsi"/>
        </w:rPr>
        <w:t xml:space="preserve">genda, which supports the </w:t>
      </w:r>
      <w:r w:rsidR="00EF76AB">
        <w:rPr>
          <w:rFonts w:cstheme="minorHAnsi"/>
        </w:rPr>
        <w:t>improved alignment and coordination of</w:t>
      </w:r>
      <w:r w:rsidR="00EF76AB" w:rsidRPr="00530A46">
        <w:rPr>
          <w:rFonts w:cstheme="minorHAnsi"/>
        </w:rPr>
        <w:t xml:space="preserve"> </w:t>
      </w:r>
      <w:r w:rsidR="00612AA5" w:rsidRPr="00530A46">
        <w:rPr>
          <w:rFonts w:cstheme="minorHAnsi"/>
        </w:rPr>
        <w:t xml:space="preserve">health financing actions for UHC. </w:t>
      </w:r>
      <w:r w:rsidR="007E3CD0" w:rsidRPr="00530A46">
        <w:rPr>
          <w:rStyle w:val="SubtleEmphasis"/>
          <w:rFonts w:cstheme="minorHAnsi"/>
          <w:i w:val="0"/>
          <w:iCs w:val="0"/>
          <w:color w:val="auto"/>
        </w:rPr>
        <w:t xml:space="preserve">The Lusaka Agenda provides an opportunity to reinvigorate the “one budget, one plan, one M&amp;E system” to bring together </w:t>
      </w:r>
      <w:r w:rsidR="00B647DA">
        <w:rPr>
          <w:rStyle w:val="SubtleEmphasis"/>
          <w:rFonts w:cstheme="minorHAnsi"/>
          <w:i w:val="0"/>
          <w:iCs w:val="0"/>
          <w:color w:val="auto"/>
        </w:rPr>
        <w:t xml:space="preserve">and align </w:t>
      </w:r>
      <w:r w:rsidR="007E3CD0" w:rsidRPr="00530A46">
        <w:rPr>
          <w:rStyle w:val="SubtleEmphasis"/>
          <w:rFonts w:cstheme="minorHAnsi"/>
          <w:i w:val="0"/>
          <w:iCs w:val="0"/>
          <w:color w:val="auto"/>
        </w:rPr>
        <w:t>resources to strengthen overall health systems and r</w:t>
      </w:r>
      <w:r w:rsidR="007E3CD0" w:rsidRPr="00A206CB">
        <w:rPr>
          <w:rStyle w:val="SubtleEmphasis"/>
          <w:rFonts w:cstheme="minorHAnsi"/>
          <w:i w:val="0"/>
          <w:iCs w:val="0"/>
          <w:color w:val="auto"/>
        </w:rPr>
        <w:t xml:space="preserve">elated impact through a PHC approach.  </w:t>
      </w:r>
      <w:bookmarkEnd w:id="1"/>
    </w:p>
    <w:p w14:paraId="42A11212" w14:textId="77777777" w:rsidR="00B916C1" w:rsidRPr="00B916C1" w:rsidRDefault="00B916C1" w:rsidP="008F2287">
      <w:pPr>
        <w:pStyle w:val="ListParagraph"/>
        <w:jc w:val="both"/>
        <w:rPr>
          <w:rFonts w:cstheme="minorHAnsi"/>
        </w:rPr>
      </w:pPr>
    </w:p>
    <w:p w14:paraId="3B99405A" w14:textId="07EBB303" w:rsidR="00F30694" w:rsidRPr="00B916C1" w:rsidRDefault="00B916C1" w:rsidP="008F2287">
      <w:pPr>
        <w:pStyle w:val="ListParagraph"/>
        <w:numPr>
          <w:ilvl w:val="0"/>
          <w:numId w:val="9"/>
        </w:numPr>
        <w:shd w:val="clear" w:color="auto" w:fill="FFFFFF" w:themeFill="background1"/>
        <w:jc w:val="both"/>
        <w:rPr>
          <w:rFonts w:cstheme="minorHAnsi"/>
        </w:rPr>
      </w:pPr>
      <w:r>
        <w:rPr>
          <w:rFonts w:cstheme="minorHAnsi"/>
        </w:rPr>
        <w:t>Member states and development partners should i</w:t>
      </w:r>
      <w:r w:rsidR="00372201" w:rsidRPr="00B916C1">
        <w:rPr>
          <w:rFonts w:cstheme="minorHAnsi"/>
        </w:rPr>
        <w:t>dentify and commit to m</w:t>
      </w:r>
      <w:r w:rsidR="00A72FC0" w:rsidRPr="00B916C1">
        <w:rPr>
          <w:rFonts w:cstheme="minorHAnsi"/>
        </w:rPr>
        <w:t xml:space="preserve">itigation measures </w:t>
      </w:r>
      <w:r w:rsidR="00A72FC0" w:rsidRPr="00B916C1">
        <w:rPr>
          <w:rFonts w:cstheme="minorHAnsi"/>
          <w:shd w:val="clear" w:color="auto" w:fill="FFFFFF" w:themeFill="background1"/>
        </w:rPr>
        <w:t xml:space="preserve">against the </w:t>
      </w:r>
      <w:r w:rsidR="004F5DBF" w:rsidRPr="00B916C1">
        <w:rPr>
          <w:rFonts w:cstheme="minorHAnsi"/>
          <w:shd w:val="clear" w:color="auto" w:fill="FFFFFF" w:themeFill="background1"/>
        </w:rPr>
        <w:t>expected increases in debt servicing. This is critical as the expected growth in public debt servicing will severely constrain efforts to invest in the critical foundations of health systems, address coverage gaps and protect the poor and vulnerable</w:t>
      </w:r>
      <w:r w:rsidR="004F5DBF" w:rsidRPr="00B916C1">
        <w:rPr>
          <w:rFonts w:cstheme="minorHAnsi"/>
          <w:shd w:val="clear" w:color="auto" w:fill="D9D9D9" w:themeFill="background1" w:themeFillShade="D9"/>
        </w:rPr>
        <w:t>.</w:t>
      </w:r>
      <w:r w:rsidR="00F30694" w:rsidRPr="00B916C1">
        <w:rPr>
          <w:rFonts w:cstheme="minorHAnsi"/>
          <w:shd w:val="clear" w:color="auto" w:fill="D9D9D9" w:themeFill="background1" w:themeFillShade="D9"/>
        </w:rPr>
        <w:t xml:space="preserve"> </w:t>
      </w:r>
    </w:p>
    <w:p w14:paraId="603BD230" w14:textId="77777777" w:rsidR="00530A46" w:rsidRPr="00530A46" w:rsidRDefault="00530A46" w:rsidP="008F2287">
      <w:pPr>
        <w:pStyle w:val="ListParagraph"/>
        <w:shd w:val="clear" w:color="auto" w:fill="FFFFFF" w:themeFill="background1"/>
        <w:ind w:left="360"/>
        <w:jc w:val="both"/>
        <w:rPr>
          <w:rFonts w:cstheme="minorHAnsi"/>
        </w:rPr>
      </w:pPr>
    </w:p>
    <w:p w14:paraId="36492135" w14:textId="374EDA19" w:rsidR="005A6D53" w:rsidRPr="0088432B" w:rsidRDefault="00B916C1" w:rsidP="008F2287">
      <w:pPr>
        <w:pStyle w:val="ListParagraph"/>
        <w:numPr>
          <w:ilvl w:val="0"/>
          <w:numId w:val="9"/>
        </w:numPr>
        <w:shd w:val="clear" w:color="auto" w:fill="FFFFFF" w:themeFill="background1"/>
        <w:jc w:val="both"/>
        <w:rPr>
          <w:rFonts w:cstheme="minorHAnsi"/>
        </w:rPr>
      </w:pPr>
      <w:r>
        <w:rPr>
          <w:rFonts w:cstheme="minorHAnsi"/>
        </w:rPr>
        <w:t>Member states should d</w:t>
      </w:r>
      <w:r w:rsidR="00814579">
        <w:rPr>
          <w:rFonts w:cstheme="minorHAnsi"/>
        </w:rPr>
        <w:t>esign</w:t>
      </w:r>
      <w:r w:rsidR="00304E8D" w:rsidRPr="00530A46">
        <w:rPr>
          <w:rFonts w:cstheme="minorHAnsi"/>
        </w:rPr>
        <w:t xml:space="preserve"> health financing policy options to support climate mitigation and adaptation</w:t>
      </w:r>
      <w:r w:rsidR="00DE111E" w:rsidRPr="00530A46">
        <w:rPr>
          <w:rFonts w:cstheme="minorHAnsi"/>
        </w:rPr>
        <w:t xml:space="preserve">, with fiscal policies playing a critical role, such as the introduction or increase of taxes </w:t>
      </w:r>
      <w:r w:rsidR="005A6D53" w:rsidRPr="00530A46">
        <w:rPr>
          <w:rFonts w:cstheme="minorHAnsi"/>
        </w:rPr>
        <w:t xml:space="preserve">on </w:t>
      </w:r>
      <w:r w:rsidR="000A28E7">
        <w:rPr>
          <w:rFonts w:cstheme="minorHAnsi"/>
        </w:rPr>
        <w:t>goods and services with negative health or environmental effects</w:t>
      </w:r>
      <w:r w:rsidR="0088432B">
        <w:rPr>
          <w:rFonts w:cstheme="minorHAnsi"/>
        </w:rPr>
        <w:t xml:space="preserve">. </w:t>
      </w:r>
      <w:r w:rsidR="000A4210" w:rsidRPr="0088432B">
        <w:rPr>
          <w:rFonts w:cstheme="minorHAnsi"/>
        </w:rPr>
        <w:t xml:space="preserve">This </w:t>
      </w:r>
      <w:r w:rsidR="005A6D53" w:rsidRPr="0088432B">
        <w:rPr>
          <w:rFonts w:cstheme="minorHAnsi"/>
        </w:rPr>
        <w:t>is a cost-effective way of promoting better health</w:t>
      </w:r>
      <w:r w:rsidR="00AA0EEC">
        <w:rPr>
          <w:rFonts w:cstheme="minorHAnsi"/>
        </w:rPr>
        <w:t xml:space="preserve"> and protecting the climate as well as </w:t>
      </w:r>
      <w:r w:rsidR="005A6D53" w:rsidRPr="0088432B">
        <w:rPr>
          <w:rFonts w:cstheme="minorHAnsi"/>
        </w:rPr>
        <w:t>raising additional public revenues</w:t>
      </w:r>
      <w:r w:rsidR="00823428" w:rsidRPr="0088432B">
        <w:rPr>
          <w:rFonts w:cstheme="minorHAnsi"/>
        </w:rPr>
        <w:t xml:space="preserve">. For example, </w:t>
      </w:r>
      <w:r w:rsidR="005A6D53" w:rsidRPr="0088432B">
        <w:rPr>
          <w:rFonts w:cstheme="minorHAnsi"/>
        </w:rPr>
        <w:t xml:space="preserve">phasing out fossil fuel subsidies can support climate resilience, and savings can be redirected to support UHC or other government priorities. </w:t>
      </w:r>
    </w:p>
    <w:p w14:paraId="3C8BAAC4" w14:textId="34FE8D29" w:rsidR="004A1EDA" w:rsidRPr="00530A46" w:rsidRDefault="004A1EDA" w:rsidP="008F2287">
      <w:pPr>
        <w:pStyle w:val="ListParagraph"/>
        <w:shd w:val="clear" w:color="auto" w:fill="FFFFFF" w:themeFill="background1"/>
        <w:ind w:left="360"/>
        <w:jc w:val="both"/>
        <w:rPr>
          <w:rFonts w:cstheme="minorHAnsi"/>
        </w:rPr>
      </w:pPr>
    </w:p>
    <w:p w14:paraId="2BCC4107" w14:textId="106ED44D" w:rsidR="00DD2789" w:rsidRPr="008B1CB8" w:rsidRDefault="00B916C1" w:rsidP="008F2287">
      <w:pPr>
        <w:pStyle w:val="ListParagraph"/>
        <w:numPr>
          <w:ilvl w:val="0"/>
          <w:numId w:val="9"/>
        </w:numPr>
        <w:jc w:val="both"/>
        <w:rPr>
          <w:rFonts w:cstheme="minorHAnsi"/>
        </w:rPr>
      </w:pPr>
      <w:r w:rsidRPr="008B1CB8">
        <w:rPr>
          <w:rFonts w:cstheme="minorHAnsi"/>
        </w:rPr>
        <w:t>Member states should l</w:t>
      </w:r>
      <w:r w:rsidR="00EF76AB" w:rsidRPr="008B1CB8">
        <w:rPr>
          <w:rFonts w:cstheme="minorHAnsi"/>
        </w:rPr>
        <w:t>everage the opportunities of d</w:t>
      </w:r>
      <w:r w:rsidR="0042462F" w:rsidRPr="008B1CB8">
        <w:rPr>
          <w:rFonts w:cstheme="minorHAnsi"/>
        </w:rPr>
        <w:t xml:space="preserve">igitalization </w:t>
      </w:r>
      <w:r w:rsidR="00D91110" w:rsidRPr="008B1CB8">
        <w:rPr>
          <w:rFonts w:cstheme="minorHAnsi"/>
        </w:rPr>
        <w:t xml:space="preserve">of the health sector and health financing </w:t>
      </w:r>
      <w:r w:rsidR="00EF76AB" w:rsidRPr="008B1CB8">
        <w:rPr>
          <w:rFonts w:cstheme="minorHAnsi"/>
        </w:rPr>
        <w:t>while taking measures to assess and address the</w:t>
      </w:r>
      <w:r w:rsidR="00D91110" w:rsidRPr="008B1CB8">
        <w:rPr>
          <w:rFonts w:cstheme="minorHAnsi"/>
        </w:rPr>
        <w:t xml:space="preserve"> </w:t>
      </w:r>
      <w:r w:rsidR="0042462F" w:rsidRPr="008B1CB8">
        <w:rPr>
          <w:rFonts w:cstheme="minorHAnsi"/>
        </w:rPr>
        <w:t>challenge</w:t>
      </w:r>
      <w:r w:rsidR="00D91110" w:rsidRPr="008B1CB8">
        <w:rPr>
          <w:rFonts w:cstheme="minorHAnsi"/>
        </w:rPr>
        <w:t>s</w:t>
      </w:r>
      <w:r w:rsidR="002154BF" w:rsidRPr="008B1CB8">
        <w:rPr>
          <w:rFonts w:cstheme="minorHAnsi"/>
        </w:rPr>
        <w:t xml:space="preserve">. Countries and the international community need to </w:t>
      </w:r>
      <w:r w:rsidR="00304E8D" w:rsidRPr="008B1CB8">
        <w:rPr>
          <w:rFonts w:cstheme="minorHAnsi"/>
        </w:rPr>
        <w:t xml:space="preserve">carefully assess the role of digital technologies and their effects and use </w:t>
      </w:r>
      <w:r w:rsidR="002E6531" w:rsidRPr="008B1CB8">
        <w:rPr>
          <w:rFonts w:cstheme="minorHAnsi"/>
        </w:rPr>
        <w:t xml:space="preserve">them </w:t>
      </w:r>
      <w:r w:rsidR="00304E8D" w:rsidRPr="008B1CB8">
        <w:rPr>
          <w:rFonts w:cstheme="minorHAnsi"/>
        </w:rPr>
        <w:t>appropriately</w:t>
      </w:r>
      <w:r w:rsidR="002154BF" w:rsidRPr="008B1CB8">
        <w:rPr>
          <w:rFonts w:cstheme="minorHAnsi"/>
        </w:rPr>
        <w:t xml:space="preserve">, with supportive regulatory provisions to reap the benefits. </w:t>
      </w:r>
      <w:r w:rsidR="008E4EEE" w:rsidRPr="008B1CB8">
        <w:rPr>
          <w:rFonts w:cstheme="minorHAnsi"/>
        </w:rPr>
        <w:t xml:space="preserve">Tailoring </w:t>
      </w:r>
      <w:r w:rsidR="00551D94" w:rsidRPr="008B1CB8">
        <w:rPr>
          <w:rFonts w:cstheme="minorHAnsi"/>
        </w:rPr>
        <w:t>the design and implementation as well as regulation to countries’ (digital) ecosystems are critical to reduce digital divides.</w:t>
      </w:r>
    </w:p>
    <w:sectPr w:rsidR="00DD2789" w:rsidRPr="008B1CB8" w:rsidSect="00306584">
      <w:headerReference w:type="default" r:id="rId14"/>
      <w:footerReference w:type="default" r:id="rId15"/>
      <w:pgSz w:w="12240" w:h="15840"/>
      <w:pgMar w:top="1296" w:right="1440" w:bottom="1440" w:left="1166" w:header="18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3493C" w14:textId="77777777" w:rsidR="004A655C" w:rsidRDefault="004A655C" w:rsidP="00990CD9">
      <w:pPr>
        <w:spacing w:after="0" w:line="240" w:lineRule="auto"/>
      </w:pPr>
      <w:r>
        <w:separator/>
      </w:r>
    </w:p>
  </w:endnote>
  <w:endnote w:type="continuationSeparator" w:id="0">
    <w:p w14:paraId="3E7BDEC9" w14:textId="77777777" w:rsidR="004A655C" w:rsidRDefault="004A655C" w:rsidP="00990CD9">
      <w:pPr>
        <w:spacing w:after="0" w:line="240" w:lineRule="auto"/>
      </w:pPr>
      <w:r>
        <w:continuationSeparator/>
      </w:r>
    </w:p>
  </w:endnote>
  <w:endnote w:type="continuationNotice" w:id="1">
    <w:p w14:paraId="00CF37EE" w14:textId="77777777" w:rsidR="004A655C" w:rsidRDefault="004A6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23062"/>
      <w:docPartObj>
        <w:docPartGallery w:val="Page Numbers (Bottom of Page)"/>
        <w:docPartUnique/>
      </w:docPartObj>
    </w:sdtPr>
    <w:sdtEndPr>
      <w:rPr>
        <w:noProof/>
      </w:rPr>
    </w:sdtEndPr>
    <w:sdtContent>
      <w:p w14:paraId="4EF90C07" w14:textId="540454F5" w:rsidR="00FE2F8A" w:rsidRDefault="00FE2F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23B958" w14:textId="77777777" w:rsidR="008B1CB8" w:rsidRPr="008B1CB8" w:rsidRDefault="008B1CB8" w:rsidP="008B1CB8">
    <w:pPr>
      <w:pStyle w:val="Header"/>
      <w:rPr>
        <w:i/>
        <w:iCs/>
        <w:color w:val="595959" w:themeColor="text1" w:themeTint="A6"/>
      </w:rPr>
    </w:pPr>
    <w:r w:rsidRPr="008B1CB8">
      <w:rPr>
        <w:i/>
        <w:iCs/>
        <w:color w:val="595959" w:themeColor="text1" w:themeTint="A6"/>
      </w:rPr>
      <w:t>WHO Health Financing team, 9 October 2024</w:t>
    </w:r>
  </w:p>
  <w:p w14:paraId="7AC6B646" w14:textId="77777777" w:rsidR="00FE2F8A" w:rsidRDefault="00FE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AD4E" w14:textId="77777777" w:rsidR="004A655C" w:rsidRDefault="004A655C" w:rsidP="00990CD9">
      <w:pPr>
        <w:spacing w:after="0" w:line="240" w:lineRule="auto"/>
      </w:pPr>
      <w:r>
        <w:separator/>
      </w:r>
    </w:p>
  </w:footnote>
  <w:footnote w:type="continuationSeparator" w:id="0">
    <w:p w14:paraId="2218B5A3" w14:textId="77777777" w:rsidR="004A655C" w:rsidRDefault="004A655C" w:rsidP="00990CD9">
      <w:pPr>
        <w:spacing w:after="0" w:line="240" w:lineRule="auto"/>
      </w:pPr>
      <w:r>
        <w:continuationSeparator/>
      </w:r>
    </w:p>
  </w:footnote>
  <w:footnote w:type="continuationNotice" w:id="1">
    <w:p w14:paraId="0925EC92" w14:textId="77777777" w:rsidR="004A655C" w:rsidRDefault="004A65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00D9" w14:textId="77777777" w:rsidR="008B1CB8" w:rsidRDefault="008B1CB8" w:rsidP="008B1CB8">
    <w:pPr>
      <w:pStyle w:val="Header"/>
      <w:ind w:left="-900"/>
      <w:rPr>
        <w:color w:val="595959" w:themeColor="text1" w:themeTint="A6"/>
      </w:rPr>
    </w:pPr>
    <w:r>
      <w:rPr>
        <w:caps/>
        <w:noProof/>
        <w:sz w:val="18"/>
      </w:rPr>
      <w:drawing>
        <wp:inline distT="0" distB="0" distL="0" distR="0" wp14:anchorId="34698BDD" wp14:editId="6B69A7A1">
          <wp:extent cx="1787237" cy="563012"/>
          <wp:effectExtent l="0" t="0" r="3810" b="8890"/>
          <wp:docPr id="138381890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82859"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321" cy="5772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13F07"/>
    <w:multiLevelType w:val="multilevel"/>
    <w:tmpl w:val="641E655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6E63B4B"/>
    <w:multiLevelType w:val="hybridMultilevel"/>
    <w:tmpl w:val="FB6A9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E52CF"/>
    <w:multiLevelType w:val="hybridMultilevel"/>
    <w:tmpl w:val="F9086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90C74"/>
    <w:multiLevelType w:val="hybridMultilevel"/>
    <w:tmpl w:val="6D549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B95080"/>
    <w:multiLevelType w:val="hybridMultilevel"/>
    <w:tmpl w:val="E7542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AF1EF3"/>
    <w:multiLevelType w:val="hybridMultilevel"/>
    <w:tmpl w:val="06404674"/>
    <w:lvl w:ilvl="0" w:tplc="1C1A648E">
      <w:start w:val="1"/>
      <w:numFmt w:val="bullet"/>
      <w:lvlText w:val=""/>
      <w:lvlJc w:val="left"/>
      <w:pPr>
        <w:ind w:left="1080" w:hanging="360"/>
      </w:pPr>
      <w:rPr>
        <w:rFonts w:ascii="Symbol" w:hAnsi="Symbol"/>
      </w:rPr>
    </w:lvl>
    <w:lvl w:ilvl="1" w:tplc="FEF6D41C">
      <w:start w:val="1"/>
      <w:numFmt w:val="bullet"/>
      <w:lvlText w:val=""/>
      <w:lvlJc w:val="left"/>
      <w:pPr>
        <w:ind w:left="1080" w:hanging="360"/>
      </w:pPr>
      <w:rPr>
        <w:rFonts w:ascii="Symbol" w:hAnsi="Symbol"/>
      </w:rPr>
    </w:lvl>
    <w:lvl w:ilvl="2" w:tplc="DC5A2846">
      <w:start w:val="1"/>
      <w:numFmt w:val="bullet"/>
      <w:lvlText w:val=""/>
      <w:lvlJc w:val="left"/>
      <w:pPr>
        <w:ind w:left="1080" w:hanging="360"/>
      </w:pPr>
      <w:rPr>
        <w:rFonts w:ascii="Symbol" w:hAnsi="Symbol"/>
      </w:rPr>
    </w:lvl>
    <w:lvl w:ilvl="3" w:tplc="7FEAAC1E">
      <w:start w:val="1"/>
      <w:numFmt w:val="bullet"/>
      <w:lvlText w:val=""/>
      <w:lvlJc w:val="left"/>
      <w:pPr>
        <w:ind w:left="1080" w:hanging="360"/>
      </w:pPr>
      <w:rPr>
        <w:rFonts w:ascii="Symbol" w:hAnsi="Symbol"/>
      </w:rPr>
    </w:lvl>
    <w:lvl w:ilvl="4" w:tplc="A3600804">
      <w:start w:val="1"/>
      <w:numFmt w:val="bullet"/>
      <w:lvlText w:val=""/>
      <w:lvlJc w:val="left"/>
      <w:pPr>
        <w:ind w:left="1080" w:hanging="360"/>
      </w:pPr>
      <w:rPr>
        <w:rFonts w:ascii="Symbol" w:hAnsi="Symbol"/>
      </w:rPr>
    </w:lvl>
    <w:lvl w:ilvl="5" w:tplc="E0443A76">
      <w:start w:val="1"/>
      <w:numFmt w:val="bullet"/>
      <w:lvlText w:val=""/>
      <w:lvlJc w:val="left"/>
      <w:pPr>
        <w:ind w:left="1080" w:hanging="360"/>
      </w:pPr>
      <w:rPr>
        <w:rFonts w:ascii="Symbol" w:hAnsi="Symbol"/>
      </w:rPr>
    </w:lvl>
    <w:lvl w:ilvl="6" w:tplc="11C88228">
      <w:start w:val="1"/>
      <w:numFmt w:val="bullet"/>
      <w:lvlText w:val=""/>
      <w:lvlJc w:val="left"/>
      <w:pPr>
        <w:ind w:left="1080" w:hanging="360"/>
      </w:pPr>
      <w:rPr>
        <w:rFonts w:ascii="Symbol" w:hAnsi="Symbol"/>
      </w:rPr>
    </w:lvl>
    <w:lvl w:ilvl="7" w:tplc="C58E5C96">
      <w:start w:val="1"/>
      <w:numFmt w:val="bullet"/>
      <w:lvlText w:val=""/>
      <w:lvlJc w:val="left"/>
      <w:pPr>
        <w:ind w:left="1080" w:hanging="360"/>
      </w:pPr>
      <w:rPr>
        <w:rFonts w:ascii="Symbol" w:hAnsi="Symbol"/>
      </w:rPr>
    </w:lvl>
    <w:lvl w:ilvl="8" w:tplc="779E6E5A">
      <w:start w:val="1"/>
      <w:numFmt w:val="bullet"/>
      <w:lvlText w:val=""/>
      <w:lvlJc w:val="left"/>
      <w:pPr>
        <w:ind w:left="1080" w:hanging="360"/>
      </w:pPr>
      <w:rPr>
        <w:rFonts w:ascii="Symbol" w:hAnsi="Symbol"/>
      </w:rPr>
    </w:lvl>
  </w:abstractNum>
  <w:abstractNum w:abstractNumId="6" w15:restartNumberingAfterBreak="0">
    <w:nsid w:val="45116A7F"/>
    <w:multiLevelType w:val="multilevel"/>
    <w:tmpl w:val="9F248D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70E253B"/>
    <w:multiLevelType w:val="hybridMultilevel"/>
    <w:tmpl w:val="0466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537145"/>
    <w:multiLevelType w:val="hybridMultilevel"/>
    <w:tmpl w:val="E1EE0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4133B2"/>
    <w:multiLevelType w:val="multilevel"/>
    <w:tmpl w:val="FCA2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D31EB8"/>
    <w:multiLevelType w:val="hybridMultilevel"/>
    <w:tmpl w:val="1F322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7256B9"/>
    <w:multiLevelType w:val="hybridMultilevel"/>
    <w:tmpl w:val="6A3A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EB311E"/>
    <w:multiLevelType w:val="hybridMultilevel"/>
    <w:tmpl w:val="04662B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871AD8"/>
    <w:multiLevelType w:val="hybridMultilevel"/>
    <w:tmpl w:val="78502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115FF2"/>
    <w:multiLevelType w:val="hybridMultilevel"/>
    <w:tmpl w:val="42E0F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3F77BB"/>
    <w:multiLevelType w:val="hybridMultilevel"/>
    <w:tmpl w:val="41A84128"/>
    <w:lvl w:ilvl="0" w:tplc="FCE68AA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16437055">
    <w:abstractNumId w:val="0"/>
  </w:num>
  <w:num w:numId="2" w16cid:durableId="1660501493">
    <w:abstractNumId w:val="6"/>
  </w:num>
  <w:num w:numId="3" w16cid:durableId="42797548">
    <w:abstractNumId w:val="8"/>
  </w:num>
  <w:num w:numId="4" w16cid:durableId="2015061427">
    <w:abstractNumId w:val="3"/>
  </w:num>
  <w:num w:numId="5" w16cid:durableId="390738174">
    <w:abstractNumId w:val="14"/>
  </w:num>
  <w:num w:numId="6" w16cid:durableId="955791704">
    <w:abstractNumId w:val="11"/>
  </w:num>
  <w:num w:numId="7" w16cid:durableId="176624457">
    <w:abstractNumId w:val="13"/>
  </w:num>
  <w:num w:numId="8" w16cid:durableId="74519757">
    <w:abstractNumId w:val="5"/>
  </w:num>
  <w:num w:numId="9" w16cid:durableId="79103217">
    <w:abstractNumId w:val="15"/>
  </w:num>
  <w:num w:numId="10" w16cid:durableId="1241065328">
    <w:abstractNumId w:val="9"/>
  </w:num>
  <w:num w:numId="11" w16cid:durableId="1205100108">
    <w:abstractNumId w:val="1"/>
  </w:num>
  <w:num w:numId="12" w16cid:durableId="1189418325">
    <w:abstractNumId w:val="2"/>
  </w:num>
  <w:num w:numId="13" w16cid:durableId="2067797028">
    <w:abstractNumId w:val="7"/>
  </w:num>
  <w:num w:numId="14" w16cid:durableId="461001962">
    <w:abstractNumId w:val="10"/>
  </w:num>
  <w:num w:numId="15" w16cid:durableId="1846895607">
    <w:abstractNumId w:val="4"/>
  </w:num>
  <w:num w:numId="16" w16cid:durableId="21453928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EA"/>
    <w:rsid w:val="00007058"/>
    <w:rsid w:val="00015E3E"/>
    <w:rsid w:val="00025ACB"/>
    <w:rsid w:val="0003052E"/>
    <w:rsid w:val="00033128"/>
    <w:rsid w:val="0003396D"/>
    <w:rsid w:val="000377D8"/>
    <w:rsid w:val="000447FB"/>
    <w:rsid w:val="00052F31"/>
    <w:rsid w:val="00056BF0"/>
    <w:rsid w:val="0005703A"/>
    <w:rsid w:val="00057ED7"/>
    <w:rsid w:val="00067F7E"/>
    <w:rsid w:val="00070489"/>
    <w:rsid w:val="00072AF0"/>
    <w:rsid w:val="00091F2E"/>
    <w:rsid w:val="00092217"/>
    <w:rsid w:val="000958CD"/>
    <w:rsid w:val="000A0E81"/>
    <w:rsid w:val="000A28E7"/>
    <w:rsid w:val="000A319E"/>
    <w:rsid w:val="000A37E5"/>
    <w:rsid w:val="000A4210"/>
    <w:rsid w:val="000B0151"/>
    <w:rsid w:val="000B28D2"/>
    <w:rsid w:val="000C26E6"/>
    <w:rsid w:val="000C3A05"/>
    <w:rsid w:val="000C6D14"/>
    <w:rsid w:val="000D5DF3"/>
    <w:rsid w:val="000F07FD"/>
    <w:rsid w:val="000F1068"/>
    <w:rsid w:val="000F61B7"/>
    <w:rsid w:val="0013336B"/>
    <w:rsid w:val="00136786"/>
    <w:rsid w:val="0014131A"/>
    <w:rsid w:val="00145651"/>
    <w:rsid w:val="001508D9"/>
    <w:rsid w:val="00155FEA"/>
    <w:rsid w:val="001643F9"/>
    <w:rsid w:val="00174050"/>
    <w:rsid w:val="00176868"/>
    <w:rsid w:val="0019145F"/>
    <w:rsid w:val="001D71EA"/>
    <w:rsid w:val="001E34F6"/>
    <w:rsid w:val="001E748A"/>
    <w:rsid w:val="001F1023"/>
    <w:rsid w:val="001F6E0E"/>
    <w:rsid w:val="00213DC6"/>
    <w:rsid w:val="00213EAB"/>
    <w:rsid w:val="002154BF"/>
    <w:rsid w:val="002270BD"/>
    <w:rsid w:val="002328CB"/>
    <w:rsid w:val="00236EB3"/>
    <w:rsid w:val="002375E2"/>
    <w:rsid w:val="00241FD5"/>
    <w:rsid w:val="002442DB"/>
    <w:rsid w:val="00257260"/>
    <w:rsid w:val="00264BC4"/>
    <w:rsid w:val="00271F2F"/>
    <w:rsid w:val="00272B84"/>
    <w:rsid w:val="00274298"/>
    <w:rsid w:val="00276459"/>
    <w:rsid w:val="00281BF7"/>
    <w:rsid w:val="00293EC8"/>
    <w:rsid w:val="0029405D"/>
    <w:rsid w:val="002A0F29"/>
    <w:rsid w:val="002A2F2E"/>
    <w:rsid w:val="002B5A92"/>
    <w:rsid w:val="002C40CD"/>
    <w:rsid w:val="002C642C"/>
    <w:rsid w:val="002D314D"/>
    <w:rsid w:val="002D636B"/>
    <w:rsid w:val="002D68DA"/>
    <w:rsid w:val="002E2B87"/>
    <w:rsid w:val="002E4DB8"/>
    <w:rsid w:val="002E4E83"/>
    <w:rsid w:val="002E6531"/>
    <w:rsid w:val="002E7D0E"/>
    <w:rsid w:val="002F56FB"/>
    <w:rsid w:val="002F601C"/>
    <w:rsid w:val="002F6F3A"/>
    <w:rsid w:val="00302C16"/>
    <w:rsid w:val="00304E8D"/>
    <w:rsid w:val="0030522B"/>
    <w:rsid w:val="00306584"/>
    <w:rsid w:val="00307D52"/>
    <w:rsid w:val="00320A6D"/>
    <w:rsid w:val="00326F03"/>
    <w:rsid w:val="003271A9"/>
    <w:rsid w:val="003301CC"/>
    <w:rsid w:val="0033120A"/>
    <w:rsid w:val="0033416D"/>
    <w:rsid w:val="00336B57"/>
    <w:rsid w:val="003373E3"/>
    <w:rsid w:val="00340441"/>
    <w:rsid w:val="00351340"/>
    <w:rsid w:val="00354265"/>
    <w:rsid w:val="00363AC2"/>
    <w:rsid w:val="00363AE3"/>
    <w:rsid w:val="00364367"/>
    <w:rsid w:val="00372201"/>
    <w:rsid w:val="00373F36"/>
    <w:rsid w:val="00374CD3"/>
    <w:rsid w:val="00375B56"/>
    <w:rsid w:val="00376A01"/>
    <w:rsid w:val="00387CB8"/>
    <w:rsid w:val="00390164"/>
    <w:rsid w:val="0039737B"/>
    <w:rsid w:val="00397B58"/>
    <w:rsid w:val="003A0BEE"/>
    <w:rsid w:val="003B245E"/>
    <w:rsid w:val="003B3A9C"/>
    <w:rsid w:val="003B4D68"/>
    <w:rsid w:val="003B4DA9"/>
    <w:rsid w:val="003C18A5"/>
    <w:rsid w:val="003D6921"/>
    <w:rsid w:val="003D76F7"/>
    <w:rsid w:val="004076B0"/>
    <w:rsid w:val="00417D5B"/>
    <w:rsid w:val="004208E0"/>
    <w:rsid w:val="004239D5"/>
    <w:rsid w:val="0042462F"/>
    <w:rsid w:val="004312C5"/>
    <w:rsid w:val="0043428B"/>
    <w:rsid w:val="00442DDA"/>
    <w:rsid w:val="00446328"/>
    <w:rsid w:val="004508F6"/>
    <w:rsid w:val="00454661"/>
    <w:rsid w:val="00460BB6"/>
    <w:rsid w:val="00461D85"/>
    <w:rsid w:val="004630DC"/>
    <w:rsid w:val="00463114"/>
    <w:rsid w:val="004669ED"/>
    <w:rsid w:val="00470937"/>
    <w:rsid w:val="004A1EDA"/>
    <w:rsid w:val="004A655C"/>
    <w:rsid w:val="004B0FDA"/>
    <w:rsid w:val="004B18DF"/>
    <w:rsid w:val="004D0277"/>
    <w:rsid w:val="004D4F85"/>
    <w:rsid w:val="004D63BA"/>
    <w:rsid w:val="004E4474"/>
    <w:rsid w:val="004F5DBF"/>
    <w:rsid w:val="00503863"/>
    <w:rsid w:val="005044E0"/>
    <w:rsid w:val="00512020"/>
    <w:rsid w:val="00530A46"/>
    <w:rsid w:val="00535A4D"/>
    <w:rsid w:val="005364D3"/>
    <w:rsid w:val="00543BCD"/>
    <w:rsid w:val="00543E72"/>
    <w:rsid w:val="0055045B"/>
    <w:rsid w:val="00551D94"/>
    <w:rsid w:val="005548C8"/>
    <w:rsid w:val="0055744B"/>
    <w:rsid w:val="00561457"/>
    <w:rsid w:val="00566374"/>
    <w:rsid w:val="00567E49"/>
    <w:rsid w:val="00573D1C"/>
    <w:rsid w:val="00576175"/>
    <w:rsid w:val="00586A9E"/>
    <w:rsid w:val="00591355"/>
    <w:rsid w:val="005A2A5A"/>
    <w:rsid w:val="005A6D53"/>
    <w:rsid w:val="005B0153"/>
    <w:rsid w:val="005B258B"/>
    <w:rsid w:val="005C2B71"/>
    <w:rsid w:val="005C6095"/>
    <w:rsid w:val="005D1FA4"/>
    <w:rsid w:val="005D480F"/>
    <w:rsid w:val="005E28B1"/>
    <w:rsid w:val="005E6FBB"/>
    <w:rsid w:val="005F37EF"/>
    <w:rsid w:val="005F45D3"/>
    <w:rsid w:val="006069C4"/>
    <w:rsid w:val="00612AA5"/>
    <w:rsid w:val="00614C23"/>
    <w:rsid w:val="00616948"/>
    <w:rsid w:val="006178DF"/>
    <w:rsid w:val="00623F22"/>
    <w:rsid w:val="00630D8C"/>
    <w:rsid w:val="0063478A"/>
    <w:rsid w:val="00637D7F"/>
    <w:rsid w:val="006469A5"/>
    <w:rsid w:val="00652B76"/>
    <w:rsid w:val="0065385D"/>
    <w:rsid w:val="00680A03"/>
    <w:rsid w:val="006823CD"/>
    <w:rsid w:val="0068584E"/>
    <w:rsid w:val="00695545"/>
    <w:rsid w:val="00697AE2"/>
    <w:rsid w:val="006A0274"/>
    <w:rsid w:val="006A13BB"/>
    <w:rsid w:val="006B3EA6"/>
    <w:rsid w:val="006C28E4"/>
    <w:rsid w:val="006C40CE"/>
    <w:rsid w:val="006D6338"/>
    <w:rsid w:val="006F101E"/>
    <w:rsid w:val="00701B90"/>
    <w:rsid w:val="00704E39"/>
    <w:rsid w:val="00706837"/>
    <w:rsid w:val="007110FC"/>
    <w:rsid w:val="00727C50"/>
    <w:rsid w:val="00732829"/>
    <w:rsid w:val="00740EE1"/>
    <w:rsid w:val="00745083"/>
    <w:rsid w:val="00745A9F"/>
    <w:rsid w:val="00745D3A"/>
    <w:rsid w:val="007469EF"/>
    <w:rsid w:val="00750FDA"/>
    <w:rsid w:val="0076529D"/>
    <w:rsid w:val="007659FB"/>
    <w:rsid w:val="007734DA"/>
    <w:rsid w:val="00780817"/>
    <w:rsid w:val="007856A6"/>
    <w:rsid w:val="00786D26"/>
    <w:rsid w:val="007902C9"/>
    <w:rsid w:val="007A156F"/>
    <w:rsid w:val="007A30A6"/>
    <w:rsid w:val="007A6CCF"/>
    <w:rsid w:val="007B5CDE"/>
    <w:rsid w:val="007B7659"/>
    <w:rsid w:val="007C19B4"/>
    <w:rsid w:val="007C6165"/>
    <w:rsid w:val="007C7381"/>
    <w:rsid w:val="007D14F2"/>
    <w:rsid w:val="007E05D3"/>
    <w:rsid w:val="007E2024"/>
    <w:rsid w:val="007E3CD0"/>
    <w:rsid w:val="007E61BF"/>
    <w:rsid w:val="007E6AF4"/>
    <w:rsid w:val="007F2475"/>
    <w:rsid w:val="007F6C81"/>
    <w:rsid w:val="00814579"/>
    <w:rsid w:val="008162FA"/>
    <w:rsid w:val="00823428"/>
    <w:rsid w:val="00824A2D"/>
    <w:rsid w:val="00826F2D"/>
    <w:rsid w:val="00835C54"/>
    <w:rsid w:val="008363BE"/>
    <w:rsid w:val="00845B58"/>
    <w:rsid w:val="00852E57"/>
    <w:rsid w:val="008545F3"/>
    <w:rsid w:val="008603A4"/>
    <w:rsid w:val="00861191"/>
    <w:rsid w:val="00862026"/>
    <w:rsid w:val="00864D60"/>
    <w:rsid w:val="0087282F"/>
    <w:rsid w:val="00875493"/>
    <w:rsid w:val="0088432B"/>
    <w:rsid w:val="008A096D"/>
    <w:rsid w:val="008A0A77"/>
    <w:rsid w:val="008A32EC"/>
    <w:rsid w:val="008A33F7"/>
    <w:rsid w:val="008B1CB8"/>
    <w:rsid w:val="008B45B0"/>
    <w:rsid w:val="008C1E7D"/>
    <w:rsid w:val="008C1F80"/>
    <w:rsid w:val="008C2E80"/>
    <w:rsid w:val="008E0250"/>
    <w:rsid w:val="008E0526"/>
    <w:rsid w:val="008E4599"/>
    <w:rsid w:val="008E4EEE"/>
    <w:rsid w:val="008E61D1"/>
    <w:rsid w:val="008F2287"/>
    <w:rsid w:val="00912E82"/>
    <w:rsid w:val="00914007"/>
    <w:rsid w:val="00914D12"/>
    <w:rsid w:val="00916436"/>
    <w:rsid w:val="00916F5A"/>
    <w:rsid w:val="00917E46"/>
    <w:rsid w:val="00926B46"/>
    <w:rsid w:val="00935E5A"/>
    <w:rsid w:val="0093700C"/>
    <w:rsid w:val="00943A94"/>
    <w:rsid w:val="00945F7B"/>
    <w:rsid w:val="00947ED6"/>
    <w:rsid w:val="00970629"/>
    <w:rsid w:val="0097357E"/>
    <w:rsid w:val="00980ED3"/>
    <w:rsid w:val="009854EE"/>
    <w:rsid w:val="00987949"/>
    <w:rsid w:val="00990678"/>
    <w:rsid w:val="00990CD9"/>
    <w:rsid w:val="009A0F58"/>
    <w:rsid w:val="009B2BEC"/>
    <w:rsid w:val="009B2C75"/>
    <w:rsid w:val="009C2303"/>
    <w:rsid w:val="009C5B01"/>
    <w:rsid w:val="009D0ED7"/>
    <w:rsid w:val="009D2881"/>
    <w:rsid w:val="009D4E01"/>
    <w:rsid w:val="00A00419"/>
    <w:rsid w:val="00A1128E"/>
    <w:rsid w:val="00A1196A"/>
    <w:rsid w:val="00A138D6"/>
    <w:rsid w:val="00A17418"/>
    <w:rsid w:val="00A206CB"/>
    <w:rsid w:val="00A27B3E"/>
    <w:rsid w:val="00A31F69"/>
    <w:rsid w:val="00A37FAC"/>
    <w:rsid w:val="00A40D93"/>
    <w:rsid w:val="00A466F6"/>
    <w:rsid w:val="00A46ACF"/>
    <w:rsid w:val="00A72FC0"/>
    <w:rsid w:val="00A81AB0"/>
    <w:rsid w:val="00A86205"/>
    <w:rsid w:val="00A87541"/>
    <w:rsid w:val="00AA0EEC"/>
    <w:rsid w:val="00AA1220"/>
    <w:rsid w:val="00AA2227"/>
    <w:rsid w:val="00AB14C0"/>
    <w:rsid w:val="00AB3D5F"/>
    <w:rsid w:val="00AC1299"/>
    <w:rsid w:val="00AC18ED"/>
    <w:rsid w:val="00AC40DD"/>
    <w:rsid w:val="00AC498A"/>
    <w:rsid w:val="00AC5825"/>
    <w:rsid w:val="00AC778D"/>
    <w:rsid w:val="00AD5777"/>
    <w:rsid w:val="00AD7DFE"/>
    <w:rsid w:val="00AE0911"/>
    <w:rsid w:val="00AE55E6"/>
    <w:rsid w:val="00AE6437"/>
    <w:rsid w:val="00AF0E57"/>
    <w:rsid w:val="00B04550"/>
    <w:rsid w:val="00B11004"/>
    <w:rsid w:val="00B11C38"/>
    <w:rsid w:val="00B14B46"/>
    <w:rsid w:val="00B303DC"/>
    <w:rsid w:val="00B31B95"/>
    <w:rsid w:val="00B323DD"/>
    <w:rsid w:val="00B36005"/>
    <w:rsid w:val="00B414E3"/>
    <w:rsid w:val="00B647DA"/>
    <w:rsid w:val="00B7344D"/>
    <w:rsid w:val="00B80576"/>
    <w:rsid w:val="00B87850"/>
    <w:rsid w:val="00B87887"/>
    <w:rsid w:val="00B916C1"/>
    <w:rsid w:val="00B95839"/>
    <w:rsid w:val="00B96E80"/>
    <w:rsid w:val="00BB0CD2"/>
    <w:rsid w:val="00BB0DFD"/>
    <w:rsid w:val="00BB1247"/>
    <w:rsid w:val="00BB4176"/>
    <w:rsid w:val="00BB7D56"/>
    <w:rsid w:val="00BD55AB"/>
    <w:rsid w:val="00BE078A"/>
    <w:rsid w:val="00BF645C"/>
    <w:rsid w:val="00C05C6E"/>
    <w:rsid w:val="00C10D18"/>
    <w:rsid w:val="00C14D95"/>
    <w:rsid w:val="00C161C7"/>
    <w:rsid w:val="00C16CDD"/>
    <w:rsid w:val="00C16F68"/>
    <w:rsid w:val="00C26E57"/>
    <w:rsid w:val="00C50515"/>
    <w:rsid w:val="00C528DB"/>
    <w:rsid w:val="00C56849"/>
    <w:rsid w:val="00C9051C"/>
    <w:rsid w:val="00C93684"/>
    <w:rsid w:val="00CA715D"/>
    <w:rsid w:val="00CB07AD"/>
    <w:rsid w:val="00CB15E7"/>
    <w:rsid w:val="00CB4126"/>
    <w:rsid w:val="00CC0ED5"/>
    <w:rsid w:val="00CC4611"/>
    <w:rsid w:val="00CD1401"/>
    <w:rsid w:val="00CD6431"/>
    <w:rsid w:val="00CE066D"/>
    <w:rsid w:val="00CE3DB1"/>
    <w:rsid w:val="00CF0478"/>
    <w:rsid w:val="00CF2418"/>
    <w:rsid w:val="00CF2F92"/>
    <w:rsid w:val="00CF4CDF"/>
    <w:rsid w:val="00D0256C"/>
    <w:rsid w:val="00D03CF8"/>
    <w:rsid w:val="00D048DE"/>
    <w:rsid w:val="00D10BD2"/>
    <w:rsid w:val="00D129E7"/>
    <w:rsid w:val="00D138FF"/>
    <w:rsid w:val="00D21E11"/>
    <w:rsid w:val="00D365F4"/>
    <w:rsid w:val="00D43AAF"/>
    <w:rsid w:val="00D43F4B"/>
    <w:rsid w:val="00D46C1F"/>
    <w:rsid w:val="00D53CE4"/>
    <w:rsid w:val="00D6239E"/>
    <w:rsid w:val="00D64632"/>
    <w:rsid w:val="00D673DE"/>
    <w:rsid w:val="00D75356"/>
    <w:rsid w:val="00D77218"/>
    <w:rsid w:val="00D85FB3"/>
    <w:rsid w:val="00D91110"/>
    <w:rsid w:val="00D975DE"/>
    <w:rsid w:val="00DA4675"/>
    <w:rsid w:val="00DA6179"/>
    <w:rsid w:val="00DB5396"/>
    <w:rsid w:val="00DC7970"/>
    <w:rsid w:val="00DD2789"/>
    <w:rsid w:val="00DD7F0B"/>
    <w:rsid w:val="00DE111E"/>
    <w:rsid w:val="00DE6F7B"/>
    <w:rsid w:val="00DF0F30"/>
    <w:rsid w:val="00DF15E3"/>
    <w:rsid w:val="00DF16F2"/>
    <w:rsid w:val="00DF2500"/>
    <w:rsid w:val="00E03DBE"/>
    <w:rsid w:val="00E10289"/>
    <w:rsid w:val="00E1116A"/>
    <w:rsid w:val="00E156EC"/>
    <w:rsid w:val="00E17A66"/>
    <w:rsid w:val="00E21D3D"/>
    <w:rsid w:val="00E423F4"/>
    <w:rsid w:val="00E43293"/>
    <w:rsid w:val="00E4404F"/>
    <w:rsid w:val="00E62B44"/>
    <w:rsid w:val="00E77327"/>
    <w:rsid w:val="00E95B6A"/>
    <w:rsid w:val="00EA12BF"/>
    <w:rsid w:val="00EA1436"/>
    <w:rsid w:val="00EA3221"/>
    <w:rsid w:val="00EA326A"/>
    <w:rsid w:val="00EA6090"/>
    <w:rsid w:val="00EA6694"/>
    <w:rsid w:val="00EB243F"/>
    <w:rsid w:val="00EC4FBE"/>
    <w:rsid w:val="00ED1D0C"/>
    <w:rsid w:val="00ED2C3F"/>
    <w:rsid w:val="00ED5958"/>
    <w:rsid w:val="00EE12BB"/>
    <w:rsid w:val="00EE4B0D"/>
    <w:rsid w:val="00EE5356"/>
    <w:rsid w:val="00EF0CFB"/>
    <w:rsid w:val="00EF76AB"/>
    <w:rsid w:val="00F0577A"/>
    <w:rsid w:val="00F061E1"/>
    <w:rsid w:val="00F11C7B"/>
    <w:rsid w:val="00F1416E"/>
    <w:rsid w:val="00F16103"/>
    <w:rsid w:val="00F30694"/>
    <w:rsid w:val="00F30F78"/>
    <w:rsid w:val="00F42C1F"/>
    <w:rsid w:val="00F46CFE"/>
    <w:rsid w:val="00F46E96"/>
    <w:rsid w:val="00F67327"/>
    <w:rsid w:val="00F749AA"/>
    <w:rsid w:val="00F768A8"/>
    <w:rsid w:val="00F84E90"/>
    <w:rsid w:val="00F94027"/>
    <w:rsid w:val="00F94AF1"/>
    <w:rsid w:val="00F97316"/>
    <w:rsid w:val="00FA0703"/>
    <w:rsid w:val="00FA55DE"/>
    <w:rsid w:val="00FA7823"/>
    <w:rsid w:val="00FB14FA"/>
    <w:rsid w:val="00FB236B"/>
    <w:rsid w:val="00FB657B"/>
    <w:rsid w:val="00FC08A7"/>
    <w:rsid w:val="00FC0B50"/>
    <w:rsid w:val="00FC1142"/>
    <w:rsid w:val="00FD3742"/>
    <w:rsid w:val="00FD786E"/>
    <w:rsid w:val="00FE2F8A"/>
    <w:rsid w:val="00FF0138"/>
    <w:rsid w:val="00FF1434"/>
    <w:rsid w:val="00FF41FC"/>
    <w:rsid w:val="084A730B"/>
    <w:rsid w:val="08E782D6"/>
    <w:rsid w:val="1625A80B"/>
    <w:rsid w:val="322D4F20"/>
    <w:rsid w:val="32BA295C"/>
    <w:rsid w:val="339CCA31"/>
    <w:rsid w:val="371A74F5"/>
    <w:rsid w:val="38248E81"/>
    <w:rsid w:val="3C58219A"/>
    <w:rsid w:val="439809B4"/>
    <w:rsid w:val="481A736F"/>
    <w:rsid w:val="5255CE3F"/>
    <w:rsid w:val="5473BDE1"/>
    <w:rsid w:val="632A7D0C"/>
    <w:rsid w:val="64C14202"/>
    <w:rsid w:val="70B1F962"/>
    <w:rsid w:val="76F32E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70C45C"/>
  <w15:chartTrackingRefBased/>
  <w15:docId w15:val="{9225E523-A649-4B33-8E75-147A98C9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D4E01"/>
  </w:style>
  <w:style w:type="paragraph" w:customStyle="1" w:styleId="paragraph">
    <w:name w:val="paragraph"/>
    <w:basedOn w:val="Normal"/>
    <w:rsid w:val="005663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566374"/>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A27B3E"/>
    <w:pPr>
      <w:ind w:left="720"/>
      <w:contextualSpacing/>
    </w:pPr>
  </w:style>
  <w:style w:type="paragraph" w:styleId="Revision">
    <w:name w:val="Revision"/>
    <w:hidden/>
    <w:uiPriority w:val="99"/>
    <w:semiHidden/>
    <w:rsid w:val="0019145F"/>
    <w:pPr>
      <w:spacing w:after="0" w:line="240" w:lineRule="auto"/>
    </w:pPr>
  </w:style>
  <w:style w:type="character" w:styleId="CommentReference">
    <w:name w:val="annotation reference"/>
    <w:basedOn w:val="DefaultParagraphFont"/>
    <w:uiPriority w:val="99"/>
    <w:semiHidden/>
    <w:unhideWhenUsed/>
    <w:rsid w:val="00FB14FA"/>
    <w:rPr>
      <w:sz w:val="16"/>
      <w:szCs w:val="16"/>
    </w:rPr>
  </w:style>
  <w:style w:type="paragraph" w:styleId="CommentText">
    <w:name w:val="annotation text"/>
    <w:basedOn w:val="Normal"/>
    <w:link w:val="CommentTextChar"/>
    <w:uiPriority w:val="99"/>
    <w:unhideWhenUsed/>
    <w:rsid w:val="00FB14FA"/>
    <w:pPr>
      <w:spacing w:line="240" w:lineRule="auto"/>
    </w:pPr>
    <w:rPr>
      <w:sz w:val="20"/>
      <w:szCs w:val="20"/>
    </w:rPr>
  </w:style>
  <w:style w:type="character" w:customStyle="1" w:styleId="CommentTextChar">
    <w:name w:val="Comment Text Char"/>
    <w:basedOn w:val="DefaultParagraphFont"/>
    <w:link w:val="CommentText"/>
    <w:uiPriority w:val="99"/>
    <w:rsid w:val="00FB14FA"/>
    <w:rPr>
      <w:sz w:val="20"/>
      <w:szCs w:val="20"/>
    </w:rPr>
  </w:style>
  <w:style w:type="paragraph" w:styleId="CommentSubject">
    <w:name w:val="annotation subject"/>
    <w:basedOn w:val="CommentText"/>
    <w:next w:val="CommentText"/>
    <w:link w:val="CommentSubjectChar"/>
    <w:uiPriority w:val="99"/>
    <w:semiHidden/>
    <w:unhideWhenUsed/>
    <w:rsid w:val="00FB14FA"/>
    <w:rPr>
      <w:b/>
      <w:bCs/>
    </w:rPr>
  </w:style>
  <w:style w:type="character" w:customStyle="1" w:styleId="CommentSubjectChar">
    <w:name w:val="Comment Subject Char"/>
    <w:basedOn w:val="CommentTextChar"/>
    <w:link w:val="CommentSubject"/>
    <w:uiPriority w:val="99"/>
    <w:semiHidden/>
    <w:rsid w:val="00FB14FA"/>
    <w:rPr>
      <w:b/>
      <w:bCs/>
      <w:sz w:val="20"/>
      <w:szCs w:val="20"/>
    </w:rPr>
  </w:style>
  <w:style w:type="character" w:styleId="Hyperlink">
    <w:name w:val="Hyperlink"/>
    <w:basedOn w:val="DefaultParagraphFont"/>
    <w:uiPriority w:val="99"/>
    <w:unhideWhenUsed/>
    <w:rsid w:val="007E3CD0"/>
    <w:rPr>
      <w:color w:val="0563C1"/>
      <w:u w:val="single"/>
    </w:rPr>
  </w:style>
  <w:style w:type="character" w:styleId="SubtleEmphasis">
    <w:name w:val="Subtle Emphasis"/>
    <w:basedOn w:val="DefaultParagraphFont"/>
    <w:uiPriority w:val="19"/>
    <w:qFormat/>
    <w:rsid w:val="007E3CD0"/>
    <w:rPr>
      <w:i/>
      <w:iCs/>
      <w:color w:val="404040"/>
    </w:rPr>
  </w:style>
  <w:style w:type="paragraph" w:styleId="Header">
    <w:name w:val="header"/>
    <w:basedOn w:val="Normal"/>
    <w:link w:val="HeaderChar"/>
    <w:uiPriority w:val="99"/>
    <w:unhideWhenUsed/>
    <w:rsid w:val="00990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CD9"/>
  </w:style>
  <w:style w:type="paragraph" w:styleId="Footer">
    <w:name w:val="footer"/>
    <w:basedOn w:val="Normal"/>
    <w:link w:val="FooterChar"/>
    <w:uiPriority w:val="99"/>
    <w:unhideWhenUsed/>
    <w:rsid w:val="00990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CD9"/>
  </w:style>
  <w:style w:type="character" w:customStyle="1" w:styleId="cf01">
    <w:name w:val="cf01"/>
    <w:basedOn w:val="DefaultParagraphFont"/>
    <w:rsid w:val="00CF0478"/>
    <w:rPr>
      <w:rFonts w:ascii="Segoe UI" w:hAnsi="Segoe UI" w:cs="Segoe UI" w:hint="default"/>
      <w:sz w:val="18"/>
      <w:szCs w:val="18"/>
    </w:rPr>
  </w:style>
  <w:style w:type="paragraph" w:customStyle="1" w:styleId="pf0">
    <w:name w:val="pf0"/>
    <w:basedOn w:val="Normal"/>
    <w:rsid w:val="00CF04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sid w:val="00F30694"/>
  </w:style>
  <w:style w:type="character" w:styleId="FollowedHyperlink">
    <w:name w:val="FollowedHyperlink"/>
    <w:basedOn w:val="DefaultParagraphFont"/>
    <w:uiPriority w:val="99"/>
    <w:semiHidden/>
    <w:unhideWhenUsed/>
    <w:rsid w:val="004669ED"/>
    <w:rPr>
      <w:color w:val="954F72" w:themeColor="followedHyperlink"/>
      <w:u w:val="single"/>
    </w:rPr>
  </w:style>
  <w:style w:type="character" w:styleId="UnresolvedMention">
    <w:name w:val="Unresolved Mention"/>
    <w:basedOn w:val="DefaultParagraphFont"/>
    <w:uiPriority w:val="99"/>
    <w:semiHidden/>
    <w:unhideWhenUsed/>
    <w:rsid w:val="00DC7970"/>
    <w:rPr>
      <w:color w:val="605E5C"/>
      <w:shd w:val="clear" w:color="auto" w:fill="E1DFDD"/>
    </w:rPr>
  </w:style>
  <w:style w:type="paragraph" w:customStyle="1" w:styleId="Default">
    <w:name w:val="Default"/>
    <w:rsid w:val="000A28E7"/>
    <w:pPr>
      <w:autoSpaceDE w:val="0"/>
      <w:autoSpaceDN w:val="0"/>
      <w:adjustRightInd w:val="0"/>
      <w:spacing w:after="0" w:line="240" w:lineRule="auto"/>
    </w:pPr>
    <w:rPr>
      <w:rFonts w:ascii="Minion Pro" w:hAnsi="Minion Pro" w:cs="Minion Pro"/>
      <w:color w:val="000000"/>
      <w:kern w:val="0"/>
      <w:sz w:val="24"/>
      <w:szCs w:val="24"/>
    </w:rPr>
  </w:style>
  <w:style w:type="paragraph" w:styleId="IntenseQuote">
    <w:name w:val="Intense Quote"/>
    <w:basedOn w:val="Normal"/>
    <w:next w:val="Normal"/>
    <w:link w:val="IntenseQuoteChar"/>
    <w:uiPriority w:val="30"/>
    <w:qFormat/>
    <w:rsid w:val="00B11C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11C3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49163">
      <w:bodyDiv w:val="1"/>
      <w:marLeft w:val="0"/>
      <w:marRight w:val="0"/>
      <w:marTop w:val="0"/>
      <w:marBottom w:val="0"/>
      <w:divBdr>
        <w:top w:val="none" w:sz="0" w:space="0" w:color="auto"/>
        <w:left w:val="none" w:sz="0" w:space="0" w:color="auto"/>
        <w:bottom w:val="none" w:sz="0" w:space="0" w:color="auto"/>
        <w:right w:val="none" w:sz="0" w:space="0" w:color="auto"/>
      </w:divBdr>
    </w:div>
    <w:div w:id="575284305">
      <w:bodyDiv w:val="1"/>
      <w:marLeft w:val="0"/>
      <w:marRight w:val="0"/>
      <w:marTop w:val="0"/>
      <w:marBottom w:val="0"/>
      <w:divBdr>
        <w:top w:val="none" w:sz="0" w:space="0" w:color="auto"/>
        <w:left w:val="none" w:sz="0" w:space="0" w:color="auto"/>
        <w:bottom w:val="none" w:sz="0" w:space="0" w:color="auto"/>
        <w:right w:val="none" w:sz="0" w:space="0" w:color="auto"/>
      </w:divBdr>
    </w:div>
    <w:div w:id="1187250584">
      <w:bodyDiv w:val="1"/>
      <w:marLeft w:val="0"/>
      <w:marRight w:val="0"/>
      <w:marTop w:val="0"/>
      <w:marBottom w:val="0"/>
      <w:divBdr>
        <w:top w:val="none" w:sz="0" w:space="0" w:color="auto"/>
        <w:left w:val="none" w:sz="0" w:space="0" w:color="auto"/>
        <w:bottom w:val="none" w:sz="0" w:space="0" w:color="auto"/>
        <w:right w:val="none" w:sz="0" w:space="0" w:color="auto"/>
      </w:divBdr>
    </w:div>
    <w:div w:id="1611425725">
      <w:bodyDiv w:val="1"/>
      <w:marLeft w:val="0"/>
      <w:marRight w:val="0"/>
      <w:marTop w:val="0"/>
      <w:marBottom w:val="0"/>
      <w:divBdr>
        <w:top w:val="none" w:sz="0" w:space="0" w:color="auto"/>
        <w:left w:val="none" w:sz="0" w:space="0" w:color="auto"/>
        <w:bottom w:val="none" w:sz="0" w:space="0" w:color="auto"/>
        <w:right w:val="none" w:sz="0" w:space="0" w:color="auto"/>
      </w:divBdr>
    </w:div>
    <w:div w:id="171438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ank.org/en/topic/health/publication/from-double-shock-to-double-recovery-health-financing-in-the-time-of-covid-19" TargetMode="External"/><Relationship Id="rId13" Type="http://schemas.openxmlformats.org/officeDocument/2006/relationships/hyperlink" Target="https://futureofghis.org/final-outputs/lusaka-agenda/"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docs.worldbank.org/en/doc/5760109c4db174ff90a8dfa7d025644a-0290032022/original/G20-Gaps-in-PPR-Financing-Mechanisms-WHO-and-WB-pdf.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docs.worldbank.org/en/doc/5760109c4db174ff90a8dfa7d025644a-0290032022/original/G20-Gaps-in-PPR-Financing-Mechanisms-WHO-and-WB-pdf.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uments.un.org/doc/undoc/gen/n23/142/05/pdf/n2314205.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apps.who.int/gb/ebwha/pdf_files/WHA77/A77_R13-en.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981C7B2D-3FA1-4EFC-BC40-F34B1E5785A5}">
  <ds:schemaRefs>
    <ds:schemaRef ds:uri="http://schemas.openxmlformats.org/officeDocument/2006/bibliography"/>
  </ds:schemaRefs>
</ds:datastoreItem>
</file>

<file path=customXml/itemProps2.xml><?xml version="1.0" encoding="utf-8"?>
<ds:datastoreItem xmlns:ds="http://schemas.openxmlformats.org/officeDocument/2006/customXml" ds:itemID="{96C3A3AD-36EA-431F-A52E-39BE9F02A3E9}"/>
</file>

<file path=customXml/itemProps3.xml><?xml version="1.0" encoding="utf-8"?>
<ds:datastoreItem xmlns:ds="http://schemas.openxmlformats.org/officeDocument/2006/customXml" ds:itemID="{9159955B-BE3F-49B2-BD35-E87656CFEB4B}"/>
</file>

<file path=customXml/itemProps4.xml><?xml version="1.0" encoding="utf-8"?>
<ds:datastoreItem xmlns:ds="http://schemas.openxmlformats.org/officeDocument/2006/customXml" ds:itemID="{33CB3F49-B472-4FFF-9709-56FC246C9A31}"/>
</file>

<file path=docProps/app.xml><?xml version="1.0" encoding="utf-8"?>
<Properties xmlns="http://schemas.openxmlformats.org/officeDocument/2006/extended-properties" xmlns:vt="http://schemas.openxmlformats.org/officeDocument/2006/docPropsVTypes">
  <Template>Normal.dotm</Template>
  <TotalTime>3</TotalTime>
  <Pages>4</Pages>
  <Words>1988</Words>
  <Characters>11334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MATHAUER, Inke</dc:creator>
  <cp:keywords/>
  <dc:description/>
  <cp:lastModifiedBy>MATHAUER, Inke</cp:lastModifiedBy>
  <cp:revision>2</cp:revision>
  <dcterms:created xsi:type="dcterms:W3CDTF">2024-10-14T06:34:00Z</dcterms:created>
  <dcterms:modified xsi:type="dcterms:W3CDTF">2024-10-14T06:34:00Z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