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76677" w14:textId="493995B0" w:rsidR="00FB5C79" w:rsidRPr="00FB5C79" w:rsidRDefault="00FB5C79" w:rsidP="00FB5C79">
      <w:pPr>
        <w:pStyle w:val="NormalWeb"/>
        <w:spacing w:before="0" w:beforeAutospacing="0"/>
        <w:jc w:val="center"/>
        <w:rPr>
          <w:rStyle w:val="Strong"/>
          <w:rFonts w:asciiTheme="minorHAnsi" w:eastAsiaTheme="majorEastAsia" w:hAnsiTheme="minorHAnsi"/>
          <w:color w:val="0070C0"/>
        </w:rPr>
      </w:pPr>
      <w:r w:rsidRPr="00FB5C79">
        <w:rPr>
          <w:rStyle w:val="Strong"/>
          <w:rFonts w:asciiTheme="minorHAnsi" w:eastAsiaTheme="majorEastAsia" w:hAnsiTheme="minorHAnsi"/>
          <w:color w:val="0070C0"/>
        </w:rPr>
        <w:t>Third Preparatory Committee Session for FfD4</w:t>
      </w:r>
    </w:p>
    <w:p w14:paraId="302DE80D" w14:textId="2396C983" w:rsidR="00FB5C79" w:rsidRPr="00FB5C79" w:rsidRDefault="00FB5C79" w:rsidP="00FB5C79">
      <w:pPr>
        <w:pStyle w:val="NormalWeb"/>
        <w:spacing w:before="0" w:beforeAutospacing="0"/>
        <w:jc w:val="center"/>
        <w:rPr>
          <w:rStyle w:val="Strong"/>
          <w:rFonts w:asciiTheme="minorHAnsi" w:eastAsiaTheme="majorEastAsia" w:hAnsiTheme="minorHAnsi"/>
          <w:color w:val="0070C0"/>
        </w:rPr>
      </w:pPr>
      <w:r w:rsidRPr="00FB5C79">
        <w:rPr>
          <w:rStyle w:val="Strong"/>
          <w:rFonts w:asciiTheme="minorHAnsi" w:eastAsiaTheme="majorEastAsia" w:hAnsiTheme="minorHAnsi"/>
          <w:color w:val="0070C0"/>
        </w:rPr>
        <w:t>Statement by</w:t>
      </w:r>
    </w:p>
    <w:p w14:paraId="37B9D63B" w14:textId="6F5C7677" w:rsidR="00FB5C79" w:rsidRPr="00FB5C79" w:rsidRDefault="00FB5C79" w:rsidP="00FB5C79">
      <w:pPr>
        <w:pStyle w:val="NormalWeb"/>
        <w:spacing w:before="0" w:beforeAutospacing="0"/>
        <w:jc w:val="center"/>
        <w:rPr>
          <w:rFonts w:asciiTheme="minorHAnsi" w:eastAsiaTheme="majorEastAsia" w:hAnsiTheme="minorHAnsi"/>
          <w:b/>
          <w:bCs/>
          <w:color w:val="0070C0"/>
          <w:lang w:val="de-AT"/>
        </w:rPr>
      </w:pPr>
      <w:r w:rsidRPr="00FB5C79">
        <w:rPr>
          <w:rFonts w:asciiTheme="minorHAnsi" w:eastAsiaTheme="majorEastAsia" w:hAnsiTheme="minorHAnsi"/>
          <w:b/>
          <w:bCs/>
          <w:color w:val="0070C0"/>
          <w:lang w:val="de-AT"/>
        </w:rPr>
        <w:t>Angelica Jacome, Director – FAO Liaison Office in New York</w:t>
      </w:r>
    </w:p>
    <w:p w14:paraId="5CBB108E" w14:textId="77777777" w:rsidR="00FB5C79" w:rsidRDefault="00FB5C79" w:rsidP="009633B9">
      <w:pPr>
        <w:jc w:val="both"/>
      </w:pPr>
    </w:p>
    <w:p w14:paraId="1B339D2D" w14:textId="3506B0D8" w:rsidR="009633B9" w:rsidRPr="009633B9" w:rsidRDefault="00212AAD" w:rsidP="009633B9">
      <w:pPr>
        <w:jc w:val="both"/>
      </w:pPr>
      <w:r>
        <w:t>Than</w:t>
      </w:r>
      <w:r w:rsidR="00F02D1A">
        <w:t>k</w:t>
      </w:r>
      <w:r>
        <w:t xml:space="preserve"> you chair</w:t>
      </w:r>
      <w:r w:rsidR="009633B9" w:rsidRPr="009633B9">
        <w:t>,</w:t>
      </w:r>
    </w:p>
    <w:p w14:paraId="63AFDCB2" w14:textId="6671896A" w:rsidR="009728B7" w:rsidRPr="009633B9" w:rsidRDefault="008D42B2" w:rsidP="009728B7">
      <w:pPr>
        <w:pStyle w:val="ListParagraph"/>
        <w:numPr>
          <w:ilvl w:val="0"/>
          <w:numId w:val="1"/>
        </w:numPr>
        <w:jc w:val="both"/>
      </w:pPr>
      <w:r w:rsidRPr="009633B9">
        <w:t xml:space="preserve">FAO </w:t>
      </w:r>
      <w:r>
        <w:t>considers</w:t>
      </w:r>
      <w:r w:rsidR="009633B9" w:rsidRPr="009633B9">
        <w:t xml:space="preserve"> that the upcoming Fourth International Conference on Financing for Development </w:t>
      </w:r>
      <w:r w:rsidR="00006F84">
        <w:t>is a</w:t>
      </w:r>
      <w:r w:rsidR="00FC3418">
        <w:t xml:space="preserve"> unique </w:t>
      </w:r>
      <w:r w:rsidR="0029353C">
        <w:t xml:space="preserve">opportunity to </w:t>
      </w:r>
      <w:r w:rsidR="00F4259F">
        <w:t xml:space="preserve">take bold steps </w:t>
      </w:r>
      <w:r>
        <w:t>towards mobilizing finance to eradicate hunger and undernutrition.</w:t>
      </w:r>
    </w:p>
    <w:p w14:paraId="2B855FF0" w14:textId="77777777" w:rsidR="0017519A" w:rsidRDefault="0017519A" w:rsidP="00BD3E81">
      <w:pPr>
        <w:pStyle w:val="ListParagraph"/>
        <w:jc w:val="both"/>
      </w:pPr>
    </w:p>
    <w:p w14:paraId="0F7613F4" w14:textId="2F3545FA" w:rsidR="008D42B2" w:rsidRDefault="00EE4332" w:rsidP="008D42B2">
      <w:pPr>
        <w:pStyle w:val="ListParagraph"/>
        <w:numPr>
          <w:ilvl w:val="0"/>
          <w:numId w:val="1"/>
        </w:numPr>
        <w:jc w:val="both"/>
      </w:pPr>
      <w:r>
        <w:t xml:space="preserve">FAO congratulates the </w:t>
      </w:r>
      <w:r w:rsidR="00275EA8">
        <w:t>co-facilitators</w:t>
      </w:r>
      <w:r>
        <w:t xml:space="preserve"> for developing the zero draft</w:t>
      </w:r>
      <w:r w:rsidR="00275EA8">
        <w:t>,</w:t>
      </w:r>
      <w:r>
        <w:t xml:space="preserve"> </w:t>
      </w:r>
      <w:r w:rsidR="005B59FF">
        <w:t>which pr</w:t>
      </w:r>
      <w:r w:rsidR="008D42B2">
        <w:t xml:space="preserve">ovides a strong starting point to the effort to put in place a renewed global financing framework for sustainable development. </w:t>
      </w:r>
    </w:p>
    <w:p w14:paraId="572FC5FA" w14:textId="77777777" w:rsidR="005B59FF" w:rsidRDefault="005B59FF" w:rsidP="005B59FF">
      <w:pPr>
        <w:pStyle w:val="ListParagraph"/>
      </w:pPr>
    </w:p>
    <w:p w14:paraId="264B49B2" w14:textId="35A75704" w:rsidR="00B80B32" w:rsidRDefault="00F4259F" w:rsidP="00B80B32">
      <w:pPr>
        <w:pStyle w:val="ListParagraph"/>
        <w:numPr>
          <w:ilvl w:val="0"/>
          <w:numId w:val="1"/>
        </w:numPr>
        <w:jc w:val="both"/>
      </w:pPr>
      <w:r>
        <w:t>C</w:t>
      </w:r>
      <w:r w:rsidRPr="00F4259F">
        <w:t xml:space="preserve">onsidering </w:t>
      </w:r>
      <w:r w:rsidR="00A25483">
        <w:t>that</w:t>
      </w:r>
      <w:r w:rsidRPr="00F4259F">
        <w:t xml:space="preserve"> food crises </w:t>
      </w:r>
      <w:r w:rsidR="004F244B">
        <w:t>are one of the</w:t>
      </w:r>
      <w:r w:rsidRPr="00F4259F">
        <w:t xml:space="preserve"> multiple crises that </w:t>
      </w:r>
      <w:r w:rsidR="00275EA8">
        <w:t>threaten</w:t>
      </w:r>
      <w:r w:rsidRPr="00F4259F">
        <w:t xml:space="preserve"> the achievement of the SDGs</w:t>
      </w:r>
      <w:r w:rsidR="004F244B">
        <w:t xml:space="preserve">, </w:t>
      </w:r>
      <w:r w:rsidR="00715A77">
        <w:t>t</w:t>
      </w:r>
      <w:r w:rsidR="00C223ED">
        <w:t>he recognition</w:t>
      </w:r>
      <w:r w:rsidR="00542E43">
        <w:t xml:space="preserve"> </w:t>
      </w:r>
      <w:r w:rsidR="00686020">
        <w:t>of food</w:t>
      </w:r>
      <w:r w:rsidR="008D42B2">
        <w:t xml:space="preserve"> security and nutrition</w:t>
      </w:r>
      <w:r w:rsidR="00275EA8">
        <w:t>, as well as</w:t>
      </w:r>
      <w:r w:rsidR="008D42B2">
        <w:t xml:space="preserve"> agrifood systems transformation as cross-cutting issue</w:t>
      </w:r>
      <w:r w:rsidR="00686020">
        <w:t>s</w:t>
      </w:r>
      <w:r w:rsidR="00C223ED">
        <w:t xml:space="preserve"> for FFD 4</w:t>
      </w:r>
      <w:r w:rsidR="009A4728">
        <w:t xml:space="preserve"> is</w:t>
      </w:r>
      <w:r w:rsidR="00EF7549">
        <w:t xml:space="preserve"> </w:t>
      </w:r>
      <w:r w:rsidR="009A4728">
        <w:t>a very important step</w:t>
      </w:r>
      <w:r w:rsidR="00715A77">
        <w:t>.</w:t>
      </w:r>
      <w:r w:rsidR="00542E43">
        <w:t xml:space="preserve"> </w:t>
      </w:r>
    </w:p>
    <w:p w14:paraId="25FD7555" w14:textId="77777777" w:rsidR="00715A77" w:rsidRDefault="00715A77" w:rsidP="00715A77">
      <w:pPr>
        <w:pStyle w:val="ListParagraph"/>
      </w:pPr>
    </w:p>
    <w:p w14:paraId="6837CF60" w14:textId="19C1BE2F" w:rsidR="009304AE" w:rsidRDefault="00B43267" w:rsidP="00B80036">
      <w:pPr>
        <w:pStyle w:val="ListParagraph"/>
        <w:numPr>
          <w:ilvl w:val="0"/>
          <w:numId w:val="1"/>
        </w:numPr>
        <w:jc w:val="both"/>
      </w:pPr>
      <w:r>
        <w:t>Furt</w:t>
      </w:r>
      <w:r w:rsidR="00EC5440">
        <w:t>hermore, i</w:t>
      </w:r>
      <w:r w:rsidR="00830FB1">
        <w:t xml:space="preserve">t is </w:t>
      </w:r>
      <w:r w:rsidR="00715A77">
        <w:t>crucial</w:t>
      </w:r>
      <w:r w:rsidR="00830FB1">
        <w:t xml:space="preserve"> that </w:t>
      </w:r>
      <w:r w:rsidR="00830FB1" w:rsidRPr="00830FB1">
        <w:t xml:space="preserve">specific </w:t>
      </w:r>
      <w:r w:rsidR="009823D9">
        <w:t xml:space="preserve">financing </w:t>
      </w:r>
      <w:r w:rsidR="00830FB1" w:rsidRPr="00830FB1">
        <w:t xml:space="preserve">commitments </w:t>
      </w:r>
      <w:r w:rsidR="004849F0">
        <w:t>for</w:t>
      </w:r>
      <w:r w:rsidR="004849F0" w:rsidRPr="004849F0">
        <w:t xml:space="preserve"> food security and nutrition, agrifood systems transformation </w:t>
      </w:r>
      <w:r w:rsidR="004849F0">
        <w:t>and</w:t>
      </w:r>
      <w:r w:rsidR="004849F0" w:rsidRPr="004849F0">
        <w:t xml:space="preserve"> food crises </w:t>
      </w:r>
      <w:r w:rsidR="009823D9">
        <w:t>preventi</w:t>
      </w:r>
      <w:r w:rsidR="00A6735A">
        <w:t>on</w:t>
      </w:r>
      <w:r w:rsidR="009823D9">
        <w:t xml:space="preserve"> and mitigation </w:t>
      </w:r>
      <w:r w:rsidR="00A6735A">
        <w:t xml:space="preserve">are achieved </w:t>
      </w:r>
      <w:r w:rsidR="009304AE">
        <w:t>across</w:t>
      </w:r>
      <w:r w:rsidR="00A6735A">
        <w:t xml:space="preserve"> relevant FfD action areas</w:t>
      </w:r>
      <w:r w:rsidR="00EC5440">
        <w:t>,</w:t>
      </w:r>
      <w:r w:rsidR="00A6735A">
        <w:t xml:space="preserve"> such as</w:t>
      </w:r>
      <w:r w:rsidR="009304AE">
        <w:t>:</w:t>
      </w:r>
    </w:p>
    <w:p w14:paraId="401B77BB" w14:textId="77777777" w:rsidR="009304AE" w:rsidRDefault="009304AE" w:rsidP="009304AE">
      <w:pPr>
        <w:pStyle w:val="ListParagraph"/>
      </w:pPr>
    </w:p>
    <w:p w14:paraId="4B8313B8" w14:textId="6A0D6610" w:rsidR="009304AE" w:rsidRDefault="00A6735A" w:rsidP="009304AE">
      <w:pPr>
        <w:pStyle w:val="ListParagraph"/>
        <w:numPr>
          <w:ilvl w:val="2"/>
          <w:numId w:val="1"/>
        </w:numPr>
        <w:jc w:val="both"/>
      </w:pPr>
      <w:r>
        <w:t xml:space="preserve"> </w:t>
      </w:r>
      <w:r w:rsidR="00830FB1" w:rsidRPr="00830FB1">
        <w:t>domestic support</w:t>
      </w:r>
      <w:r w:rsidR="009067B1">
        <w:t xml:space="preserve"> (including </w:t>
      </w:r>
      <w:r w:rsidR="00275EA8">
        <w:t xml:space="preserve">increasing </w:t>
      </w:r>
      <w:r w:rsidR="009067B1">
        <w:t xml:space="preserve">and reorientation of </w:t>
      </w:r>
      <w:r w:rsidR="00E76640">
        <w:t>public funding for food security and nutrition and agrifood systems transformation</w:t>
      </w:r>
      <w:r w:rsidR="00183D01">
        <w:t xml:space="preserve"> towards sustainability and inclusion</w:t>
      </w:r>
      <w:r w:rsidR="00E76640">
        <w:t>)</w:t>
      </w:r>
      <w:r w:rsidR="00830FB1" w:rsidRPr="00830FB1">
        <w:t>,</w:t>
      </w:r>
    </w:p>
    <w:p w14:paraId="783AE801" w14:textId="461BCC94" w:rsidR="004730E0" w:rsidRDefault="00830FB1" w:rsidP="009304AE">
      <w:pPr>
        <w:pStyle w:val="ListParagraph"/>
        <w:numPr>
          <w:ilvl w:val="2"/>
          <w:numId w:val="1"/>
        </w:numPr>
        <w:jc w:val="both"/>
      </w:pPr>
      <w:r w:rsidRPr="00830FB1">
        <w:t xml:space="preserve"> international development cooperation</w:t>
      </w:r>
      <w:r w:rsidR="00AB4C2F">
        <w:t xml:space="preserve"> (including climate finance</w:t>
      </w:r>
      <w:r w:rsidR="00275EA8">
        <w:t xml:space="preserve"> and financial inclusion for the poorest</w:t>
      </w:r>
      <w:r w:rsidR="00AB4C2F">
        <w:t>)</w:t>
      </w:r>
      <w:r w:rsidR="004730E0">
        <w:t>,</w:t>
      </w:r>
    </w:p>
    <w:p w14:paraId="72430712" w14:textId="4E74C8E5" w:rsidR="00AC0B1F" w:rsidRDefault="00830FB1" w:rsidP="0AA2E25C">
      <w:pPr>
        <w:pStyle w:val="ListParagraph"/>
        <w:numPr>
          <w:ilvl w:val="2"/>
          <w:numId w:val="1"/>
        </w:numPr>
        <w:jc w:val="both"/>
      </w:pPr>
      <w:r>
        <w:t xml:space="preserve"> innovative finance (including debt swaps and blended finance)</w:t>
      </w:r>
      <w:r w:rsidR="00AC0B1F">
        <w:t xml:space="preserve">. </w:t>
      </w:r>
    </w:p>
    <w:p w14:paraId="3DA807E1" w14:textId="77777777" w:rsidR="00AC0B1F" w:rsidRDefault="00AC0B1F" w:rsidP="004730E0">
      <w:pPr>
        <w:pStyle w:val="ListParagraph"/>
        <w:jc w:val="both"/>
      </w:pPr>
    </w:p>
    <w:p w14:paraId="07007235" w14:textId="47A28752" w:rsidR="00183D01" w:rsidRDefault="006A0C91" w:rsidP="00CD35A0">
      <w:pPr>
        <w:pStyle w:val="ListParagraph"/>
        <w:jc w:val="both"/>
      </w:pPr>
      <w:r>
        <w:t>FAO c</w:t>
      </w:r>
      <w:r w:rsidR="00912CB8">
        <w:t xml:space="preserve">onsiders that </w:t>
      </w:r>
      <w:r w:rsidR="004730E0">
        <w:t xml:space="preserve">members </w:t>
      </w:r>
      <w:r w:rsidR="00912CB8">
        <w:t>consider</w:t>
      </w:r>
      <w:r w:rsidR="00E94EBA">
        <w:t xml:space="preserve"> including </w:t>
      </w:r>
      <w:r w:rsidR="0047373C">
        <w:t>commitments</w:t>
      </w:r>
      <w:r w:rsidR="00E94EBA">
        <w:t xml:space="preserve"> to</w:t>
      </w:r>
      <w:r w:rsidR="00183D01">
        <w:t xml:space="preserve"> enable rapid-</w:t>
      </w:r>
      <w:r w:rsidR="00945EE3">
        <w:t>response financing</w:t>
      </w:r>
      <w:r w:rsidR="00183D01">
        <w:t xml:space="preserve"> in anticipation of severe food crises, </w:t>
      </w:r>
      <w:r w:rsidR="633C895F">
        <w:t xml:space="preserve">using mechanisms such </w:t>
      </w:r>
      <w:r w:rsidR="00183D01">
        <w:t>as the Financing for Shock-Driven Food Crisis Facility</w:t>
      </w:r>
      <w:r w:rsidR="1E399897">
        <w:t>,</w:t>
      </w:r>
      <w:r w:rsidR="00183D01">
        <w:t xml:space="preserve"> and to establish</w:t>
      </w:r>
      <w:r w:rsidR="00E94EBA">
        <w:t xml:space="preserve"> </w:t>
      </w:r>
      <w:r w:rsidR="000F380A">
        <w:t>a</w:t>
      </w:r>
      <w:r w:rsidR="006065AE">
        <w:t xml:space="preserve"> permanent food import financing facility to provide food-specific </w:t>
      </w:r>
      <w:r w:rsidR="0047373C">
        <w:t>balance of payments</w:t>
      </w:r>
      <w:r w:rsidR="006065AE">
        <w:t xml:space="preserve"> support for net food importing LICs and LMICs</w:t>
      </w:r>
      <w:r w:rsidR="00183D01">
        <w:t xml:space="preserve">. </w:t>
      </w:r>
    </w:p>
    <w:p w14:paraId="0E25DD9B" w14:textId="77777777" w:rsidR="00CD35A0" w:rsidRDefault="00CD35A0" w:rsidP="00CD35A0">
      <w:pPr>
        <w:pStyle w:val="ListParagraph"/>
        <w:jc w:val="both"/>
      </w:pPr>
    </w:p>
    <w:p w14:paraId="7948A8E9" w14:textId="352FC333" w:rsidR="000F380A" w:rsidRDefault="00183D01" w:rsidP="00CD35A0">
      <w:pPr>
        <w:pStyle w:val="ListParagraph"/>
        <w:numPr>
          <w:ilvl w:val="0"/>
          <w:numId w:val="1"/>
        </w:numPr>
        <w:jc w:val="both"/>
      </w:pPr>
      <w:r w:rsidRPr="00183D01">
        <w:t xml:space="preserve">The Global Alliance against Hunger and Poverty </w:t>
      </w:r>
      <w:r>
        <w:t xml:space="preserve">is </w:t>
      </w:r>
      <w:r w:rsidR="00941403">
        <w:t>addressing fragmentation</w:t>
      </w:r>
      <w:r w:rsidR="006052B2">
        <w:t xml:space="preserve"> and promoting alignment towards effective poverty policy instruments</w:t>
      </w:r>
      <w:r w:rsidR="00941403">
        <w:t xml:space="preserve">, while </w:t>
      </w:r>
      <w:r w:rsidRPr="00183D01">
        <w:t>mobilizing increased financing for food security and nutrition.</w:t>
      </w:r>
      <w:r>
        <w:t xml:space="preserve"> FFD4 </w:t>
      </w:r>
      <w:r w:rsidR="000633C3">
        <w:t>can achieve important commitments towards</w:t>
      </w:r>
      <w:r w:rsidRPr="00183D01">
        <w:t xml:space="preserve"> better alignment and synergy among the different sources of financing</w:t>
      </w:r>
      <w:r>
        <w:t xml:space="preserve"> for the achievement of the SDGs. </w:t>
      </w:r>
    </w:p>
    <w:p w14:paraId="3C0C40B5" w14:textId="77777777" w:rsidR="004A27F4" w:rsidRDefault="001900BA" w:rsidP="009633B9">
      <w:pPr>
        <w:jc w:val="both"/>
      </w:pPr>
      <w:r>
        <w:t>FfD</w:t>
      </w:r>
      <w:r w:rsidR="009633B9">
        <w:t xml:space="preserve"> can serve as a transformative tool to mitigate food crises, foster sustainable agrifood systems, and drive meaningful progress toward the </w:t>
      </w:r>
      <w:r w:rsidR="00B65337">
        <w:t xml:space="preserve">Agenda </w:t>
      </w:r>
      <w:r w:rsidR="009633B9">
        <w:t>2030</w:t>
      </w:r>
      <w:r w:rsidR="004A27F4">
        <w:t>.</w:t>
      </w:r>
    </w:p>
    <w:p w14:paraId="5FCAC628" w14:textId="02AA3A2E" w:rsidR="009633B9" w:rsidRPr="009633B9" w:rsidRDefault="004A27F4" w:rsidP="009633B9">
      <w:pPr>
        <w:jc w:val="both"/>
      </w:pPr>
      <w:r>
        <w:t>FAO is</w:t>
      </w:r>
      <w:r w:rsidR="009633B9" w:rsidRPr="009633B9">
        <w:t xml:space="preserve"> fully committed to supporting this process.</w:t>
      </w:r>
    </w:p>
    <w:p w14:paraId="1FDD622B" w14:textId="0D02C3D0" w:rsidR="009633B9" w:rsidRPr="009633B9" w:rsidRDefault="009633B9" w:rsidP="009633B9">
      <w:pPr>
        <w:jc w:val="both"/>
      </w:pPr>
      <w:r w:rsidRPr="009633B9">
        <w:t>Thank you.</w:t>
      </w:r>
    </w:p>
    <w:p w14:paraId="07E8817B" w14:textId="77777777" w:rsidR="00761EAB" w:rsidRPr="009633B9" w:rsidRDefault="00761EAB" w:rsidP="009633B9">
      <w:pPr>
        <w:jc w:val="both"/>
      </w:pPr>
    </w:p>
    <w:sectPr w:rsidR="00761EAB" w:rsidRPr="009633B9" w:rsidSect="009633B9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466FD"/>
    <w:multiLevelType w:val="hybridMultilevel"/>
    <w:tmpl w:val="7FE64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F13D20"/>
    <w:multiLevelType w:val="hybridMultilevel"/>
    <w:tmpl w:val="5AD8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961343">
    <w:abstractNumId w:val="1"/>
  </w:num>
  <w:num w:numId="2" w16cid:durableId="50898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AB"/>
    <w:rsid w:val="00006F84"/>
    <w:rsid w:val="00012830"/>
    <w:rsid w:val="000151D1"/>
    <w:rsid w:val="00022C14"/>
    <w:rsid w:val="000324FF"/>
    <w:rsid w:val="00045AB9"/>
    <w:rsid w:val="0005360A"/>
    <w:rsid w:val="000604C9"/>
    <w:rsid w:val="000633C3"/>
    <w:rsid w:val="000C4604"/>
    <w:rsid w:val="000C6258"/>
    <w:rsid w:val="000F24B7"/>
    <w:rsid w:val="000F380A"/>
    <w:rsid w:val="000F5CC3"/>
    <w:rsid w:val="000F648C"/>
    <w:rsid w:val="00111331"/>
    <w:rsid w:val="001218DB"/>
    <w:rsid w:val="00131ECC"/>
    <w:rsid w:val="00157863"/>
    <w:rsid w:val="0017519A"/>
    <w:rsid w:val="00183D01"/>
    <w:rsid w:val="001900BA"/>
    <w:rsid w:val="00193438"/>
    <w:rsid w:val="00195CEE"/>
    <w:rsid w:val="001C4D7B"/>
    <w:rsid w:val="001D3918"/>
    <w:rsid w:val="001F1FE6"/>
    <w:rsid w:val="00212AAD"/>
    <w:rsid w:val="0022023A"/>
    <w:rsid w:val="00221240"/>
    <w:rsid w:val="00224576"/>
    <w:rsid w:val="00233A18"/>
    <w:rsid w:val="00233CEA"/>
    <w:rsid w:val="002369B7"/>
    <w:rsid w:val="0024313A"/>
    <w:rsid w:val="00246B02"/>
    <w:rsid w:val="00263DC9"/>
    <w:rsid w:val="00267128"/>
    <w:rsid w:val="002731A9"/>
    <w:rsid w:val="002745BE"/>
    <w:rsid w:val="0027466D"/>
    <w:rsid w:val="00275EA8"/>
    <w:rsid w:val="00276CDA"/>
    <w:rsid w:val="0029353C"/>
    <w:rsid w:val="002B685B"/>
    <w:rsid w:val="002C68DF"/>
    <w:rsid w:val="002E373D"/>
    <w:rsid w:val="002E5087"/>
    <w:rsid w:val="002F7758"/>
    <w:rsid w:val="003025A5"/>
    <w:rsid w:val="00324FBC"/>
    <w:rsid w:val="00332B66"/>
    <w:rsid w:val="00347EAE"/>
    <w:rsid w:val="00352484"/>
    <w:rsid w:val="00363A80"/>
    <w:rsid w:val="003814ED"/>
    <w:rsid w:val="0038341B"/>
    <w:rsid w:val="003868A5"/>
    <w:rsid w:val="00397412"/>
    <w:rsid w:val="003A0DB3"/>
    <w:rsid w:val="003B7F2D"/>
    <w:rsid w:val="003C527F"/>
    <w:rsid w:val="003D443A"/>
    <w:rsid w:val="003F22F0"/>
    <w:rsid w:val="00401F8B"/>
    <w:rsid w:val="004072EF"/>
    <w:rsid w:val="00422255"/>
    <w:rsid w:val="00432C2E"/>
    <w:rsid w:val="0043655F"/>
    <w:rsid w:val="0045190F"/>
    <w:rsid w:val="0045525A"/>
    <w:rsid w:val="004730E0"/>
    <w:rsid w:val="0047373C"/>
    <w:rsid w:val="00475469"/>
    <w:rsid w:val="004813DC"/>
    <w:rsid w:val="004849F0"/>
    <w:rsid w:val="004A114F"/>
    <w:rsid w:val="004A27F4"/>
    <w:rsid w:val="004A2C21"/>
    <w:rsid w:val="004B616C"/>
    <w:rsid w:val="004C69D6"/>
    <w:rsid w:val="004E3D49"/>
    <w:rsid w:val="004F244B"/>
    <w:rsid w:val="005047FF"/>
    <w:rsid w:val="005125E8"/>
    <w:rsid w:val="00517CBF"/>
    <w:rsid w:val="00534611"/>
    <w:rsid w:val="00542E43"/>
    <w:rsid w:val="005671D9"/>
    <w:rsid w:val="005930C3"/>
    <w:rsid w:val="00593325"/>
    <w:rsid w:val="00594E18"/>
    <w:rsid w:val="005B59FF"/>
    <w:rsid w:val="005B6516"/>
    <w:rsid w:val="006052B2"/>
    <w:rsid w:val="006065AE"/>
    <w:rsid w:val="006179D6"/>
    <w:rsid w:val="00630769"/>
    <w:rsid w:val="006357FF"/>
    <w:rsid w:val="00643D94"/>
    <w:rsid w:val="00643F02"/>
    <w:rsid w:val="00650F2F"/>
    <w:rsid w:val="00657248"/>
    <w:rsid w:val="00657B4B"/>
    <w:rsid w:val="00665094"/>
    <w:rsid w:val="00672FFC"/>
    <w:rsid w:val="00676E3E"/>
    <w:rsid w:val="0068345B"/>
    <w:rsid w:val="00686020"/>
    <w:rsid w:val="00687749"/>
    <w:rsid w:val="006A0C91"/>
    <w:rsid w:val="006A718F"/>
    <w:rsid w:val="006B76D2"/>
    <w:rsid w:val="006C130B"/>
    <w:rsid w:val="006D6D5B"/>
    <w:rsid w:val="00706CA9"/>
    <w:rsid w:val="00707185"/>
    <w:rsid w:val="00715A77"/>
    <w:rsid w:val="00720478"/>
    <w:rsid w:val="00720DC5"/>
    <w:rsid w:val="00722CA9"/>
    <w:rsid w:val="007354A3"/>
    <w:rsid w:val="00735688"/>
    <w:rsid w:val="00750D0E"/>
    <w:rsid w:val="00761EAB"/>
    <w:rsid w:val="007668BB"/>
    <w:rsid w:val="0078245E"/>
    <w:rsid w:val="007B5C86"/>
    <w:rsid w:val="007E4414"/>
    <w:rsid w:val="007F1053"/>
    <w:rsid w:val="007F2C95"/>
    <w:rsid w:val="007F72CF"/>
    <w:rsid w:val="00817B58"/>
    <w:rsid w:val="00830FB1"/>
    <w:rsid w:val="008321F0"/>
    <w:rsid w:val="00841C2D"/>
    <w:rsid w:val="00854A60"/>
    <w:rsid w:val="00856031"/>
    <w:rsid w:val="00877081"/>
    <w:rsid w:val="008A202C"/>
    <w:rsid w:val="008B0F01"/>
    <w:rsid w:val="008D42B2"/>
    <w:rsid w:val="008E4024"/>
    <w:rsid w:val="008F1B88"/>
    <w:rsid w:val="009067B1"/>
    <w:rsid w:val="00912CB8"/>
    <w:rsid w:val="00917F6C"/>
    <w:rsid w:val="009304AE"/>
    <w:rsid w:val="00941403"/>
    <w:rsid w:val="00945EE3"/>
    <w:rsid w:val="00952990"/>
    <w:rsid w:val="00955BED"/>
    <w:rsid w:val="009633B9"/>
    <w:rsid w:val="009728B7"/>
    <w:rsid w:val="009823D9"/>
    <w:rsid w:val="00982F53"/>
    <w:rsid w:val="009A4728"/>
    <w:rsid w:val="009B2BD5"/>
    <w:rsid w:val="009B5C7E"/>
    <w:rsid w:val="009F4012"/>
    <w:rsid w:val="009F4785"/>
    <w:rsid w:val="00A04168"/>
    <w:rsid w:val="00A07C0B"/>
    <w:rsid w:val="00A16DA5"/>
    <w:rsid w:val="00A24E1D"/>
    <w:rsid w:val="00A25483"/>
    <w:rsid w:val="00A36686"/>
    <w:rsid w:val="00A55E0E"/>
    <w:rsid w:val="00A56A6D"/>
    <w:rsid w:val="00A6735A"/>
    <w:rsid w:val="00A73219"/>
    <w:rsid w:val="00A76856"/>
    <w:rsid w:val="00A8770B"/>
    <w:rsid w:val="00A902C6"/>
    <w:rsid w:val="00A909C7"/>
    <w:rsid w:val="00AB0B1A"/>
    <w:rsid w:val="00AB1FC9"/>
    <w:rsid w:val="00AB4C2F"/>
    <w:rsid w:val="00AC0122"/>
    <w:rsid w:val="00AC03A1"/>
    <w:rsid w:val="00AC0B1F"/>
    <w:rsid w:val="00AF7D4B"/>
    <w:rsid w:val="00B010FA"/>
    <w:rsid w:val="00B11C67"/>
    <w:rsid w:val="00B23691"/>
    <w:rsid w:val="00B24B8F"/>
    <w:rsid w:val="00B26D02"/>
    <w:rsid w:val="00B32753"/>
    <w:rsid w:val="00B43267"/>
    <w:rsid w:val="00B51D3A"/>
    <w:rsid w:val="00B61DC1"/>
    <w:rsid w:val="00B65337"/>
    <w:rsid w:val="00B762FB"/>
    <w:rsid w:val="00B77A95"/>
    <w:rsid w:val="00B80B32"/>
    <w:rsid w:val="00B862A9"/>
    <w:rsid w:val="00B87CE1"/>
    <w:rsid w:val="00BA44C8"/>
    <w:rsid w:val="00BA61E2"/>
    <w:rsid w:val="00BB2B36"/>
    <w:rsid w:val="00BC1B1A"/>
    <w:rsid w:val="00BD1F38"/>
    <w:rsid w:val="00BD3E81"/>
    <w:rsid w:val="00BE2E3D"/>
    <w:rsid w:val="00BF328E"/>
    <w:rsid w:val="00BF75DB"/>
    <w:rsid w:val="00C223ED"/>
    <w:rsid w:val="00C30D92"/>
    <w:rsid w:val="00C31C66"/>
    <w:rsid w:val="00C8729A"/>
    <w:rsid w:val="00C91D19"/>
    <w:rsid w:val="00CD35A0"/>
    <w:rsid w:val="00CD4319"/>
    <w:rsid w:val="00CE5300"/>
    <w:rsid w:val="00CE5D56"/>
    <w:rsid w:val="00D11C9B"/>
    <w:rsid w:val="00D220F9"/>
    <w:rsid w:val="00D5439B"/>
    <w:rsid w:val="00D9536C"/>
    <w:rsid w:val="00DB6410"/>
    <w:rsid w:val="00DE6B2B"/>
    <w:rsid w:val="00DE7274"/>
    <w:rsid w:val="00DF7C19"/>
    <w:rsid w:val="00E00BD7"/>
    <w:rsid w:val="00E114FF"/>
    <w:rsid w:val="00E15BD3"/>
    <w:rsid w:val="00E17481"/>
    <w:rsid w:val="00E5335A"/>
    <w:rsid w:val="00E53EF7"/>
    <w:rsid w:val="00E715B5"/>
    <w:rsid w:val="00E76640"/>
    <w:rsid w:val="00E77325"/>
    <w:rsid w:val="00E776B0"/>
    <w:rsid w:val="00E82355"/>
    <w:rsid w:val="00E865F9"/>
    <w:rsid w:val="00E92E91"/>
    <w:rsid w:val="00E946E8"/>
    <w:rsid w:val="00E94EBA"/>
    <w:rsid w:val="00EB1DCD"/>
    <w:rsid w:val="00EC083A"/>
    <w:rsid w:val="00EC0FE6"/>
    <w:rsid w:val="00EC5440"/>
    <w:rsid w:val="00EC5F2D"/>
    <w:rsid w:val="00EE4332"/>
    <w:rsid w:val="00EF2324"/>
    <w:rsid w:val="00EF7549"/>
    <w:rsid w:val="00F02D1A"/>
    <w:rsid w:val="00F106F7"/>
    <w:rsid w:val="00F10FF0"/>
    <w:rsid w:val="00F3146C"/>
    <w:rsid w:val="00F406DE"/>
    <w:rsid w:val="00F41937"/>
    <w:rsid w:val="00F4259F"/>
    <w:rsid w:val="00F433B2"/>
    <w:rsid w:val="00F57B34"/>
    <w:rsid w:val="00F6121D"/>
    <w:rsid w:val="00F67671"/>
    <w:rsid w:val="00F740C7"/>
    <w:rsid w:val="00F74F7A"/>
    <w:rsid w:val="00F7636C"/>
    <w:rsid w:val="00F875BC"/>
    <w:rsid w:val="00F92A1D"/>
    <w:rsid w:val="00FA2F47"/>
    <w:rsid w:val="00FB198A"/>
    <w:rsid w:val="00FB385D"/>
    <w:rsid w:val="00FB5C79"/>
    <w:rsid w:val="00FB5D4C"/>
    <w:rsid w:val="00FC3418"/>
    <w:rsid w:val="00FC4C64"/>
    <w:rsid w:val="00FE2522"/>
    <w:rsid w:val="00FE5D6F"/>
    <w:rsid w:val="0165C6AA"/>
    <w:rsid w:val="044C095C"/>
    <w:rsid w:val="0521BCFB"/>
    <w:rsid w:val="05829DEE"/>
    <w:rsid w:val="062E7711"/>
    <w:rsid w:val="074D3AE9"/>
    <w:rsid w:val="07B975E2"/>
    <w:rsid w:val="0AA2E25C"/>
    <w:rsid w:val="0AD7C47B"/>
    <w:rsid w:val="0B542623"/>
    <w:rsid w:val="0BB64431"/>
    <w:rsid w:val="0BD0B104"/>
    <w:rsid w:val="0BE70CD9"/>
    <w:rsid w:val="0C246890"/>
    <w:rsid w:val="0E52B022"/>
    <w:rsid w:val="0F7A17C8"/>
    <w:rsid w:val="10138CCF"/>
    <w:rsid w:val="13F111EF"/>
    <w:rsid w:val="14200F87"/>
    <w:rsid w:val="1562298D"/>
    <w:rsid w:val="169A5714"/>
    <w:rsid w:val="1782C26A"/>
    <w:rsid w:val="180AA1B7"/>
    <w:rsid w:val="190A3118"/>
    <w:rsid w:val="195F6E39"/>
    <w:rsid w:val="1C41E5B7"/>
    <w:rsid w:val="1CFAC5D3"/>
    <w:rsid w:val="1E399897"/>
    <w:rsid w:val="1E78DCB8"/>
    <w:rsid w:val="20A3531F"/>
    <w:rsid w:val="2352159B"/>
    <w:rsid w:val="2376C09A"/>
    <w:rsid w:val="23AE8F22"/>
    <w:rsid w:val="24498AA4"/>
    <w:rsid w:val="26A55E30"/>
    <w:rsid w:val="28CBDD49"/>
    <w:rsid w:val="290B8B9C"/>
    <w:rsid w:val="2C82EB17"/>
    <w:rsid w:val="2F1CF691"/>
    <w:rsid w:val="2F2477B9"/>
    <w:rsid w:val="31DD03BD"/>
    <w:rsid w:val="35DB1A6D"/>
    <w:rsid w:val="38BB6FA7"/>
    <w:rsid w:val="390AAF9A"/>
    <w:rsid w:val="39508545"/>
    <w:rsid w:val="395B6BAA"/>
    <w:rsid w:val="39CD7D0A"/>
    <w:rsid w:val="3D5C15C7"/>
    <w:rsid w:val="4094FD25"/>
    <w:rsid w:val="40ABA387"/>
    <w:rsid w:val="41280EEA"/>
    <w:rsid w:val="42CB530A"/>
    <w:rsid w:val="43959D34"/>
    <w:rsid w:val="43DE10C5"/>
    <w:rsid w:val="455BEDEF"/>
    <w:rsid w:val="458E0F88"/>
    <w:rsid w:val="4794511A"/>
    <w:rsid w:val="48506C7C"/>
    <w:rsid w:val="4932CA5F"/>
    <w:rsid w:val="4B0B6B19"/>
    <w:rsid w:val="4D2F92A5"/>
    <w:rsid w:val="50C1CA16"/>
    <w:rsid w:val="53604C41"/>
    <w:rsid w:val="5628AE54"/>
    <w:rsid w:val="5CDF7EDC"/>
    <w:rsid w:val="5D3BEA71"/>
    <w:rsid w:val="633C895F"/>
    <w:rsid w:val="63FE1C50"/>
    <w:rsid w:val="6429EE9E"/>
    <w:rsid w:val="66AC65D8"/>
    <w:rsid w:val="67B05B18"/>
    <w:rsid w:val="696F7D88"/>
    <w:rsid w:val="6A907417"/>
    <w:rsid w:val="6CF90AD4"/>
    <w:rsid w:val="6EBB8A16"/>
    <w:rsid w:val="6EE5DD65"/>
    <w:rsid w:val="6F52FB15"/>
    <w:rsid w:val="75F4B306"/>
    <w:rsid w:val="7963E0AE"/>
    <w:rsid w:val="7A55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C622"/>
  <w15:chartTrackingRefBased/>
  <w15:docId w15:val="{001C2985-5BFB-4E9B-815A-62AB867E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AB"/>
  </w:style>
  <w:style w:type="paragraph" w:styleId="Heading1">
    <w:name w:val="heading 1"/>
    <w:basedOn w:val="Normal"/>
    <w:next w:val="Normal"/>
    <w:link w:val="Heading1Char"/>
    <w:uiPriority w:val="9"/>
    <w:qFormat/>
    <w:rsid w:val="00761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E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EA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6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61EAB"/>
    <w:rPr>
      <w:b/>
      <w:bCs/>
    </w:rPr>
  </w:style>
  <w:style w:type="paragraph" w:styleId="Revision">
    <w:name w:val="Revision"/>
    <w:hidden/>
    <w:uiPriority w:val="99"/>
    <w:semiHidden/>
    <w:rsid w:val="00F57B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5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5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E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Country xmlns="b49397d3-2376-4764-9b34-2b39112a7e40" xsi:nil="true"/>
    <Feedback xmlns="b49397d3-2376-4764-9b34-2b39112a7e40" xsi:nil="true"/>
    <MH_x002f_MDN xmlns="b49397d3-2376-4764-9b34-2b39112a7e40" xsi:nil="true"/>
    <Topic xmlns="b49397d3-2376-4764-9b34-2b39112a7e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DD4C0-00A1-4C84-8A1B-23531F91659B}">
  <ds:schemaRefs>
    <ds:schemaRef ds:uri="http://schemas.microsoft.com/office/2006/metadata/properties"/>
    <ds:schemaRef ds:uri="http://schemas.microsoft.com/office/infopath/2007/PartnerControls"/>
    <ds:schemaRef ds:uri="6d5f6a3f-1ec6-43b8-a371-8857ba93c53e"/>
    <ds:schemaRef ds:uri="http://schemas.microsoft.com/sharepoint/v3"/>
    <ds:schemaRef ds:uri="38fc8d40-25a1-4f8b-9289-3a9877b91133"/>
  </ds:schemaRefs>
</ds:datastoreItem>
</file>

<file path=customXml/itemProps2.xml><?xml version="1.0" encoding="utf-8"?>
<ds:datastoreItem xmlns:ds="http://schemas.openxmlformats.org/officeDocument/2006/customXml" ds:itemID="{732E17F8-F59E-4C65-8E54-21FB15607399}"/>
</file>

<file path=customXml/itemProps3.xml><?xml version="1.0" encoding="utf-8"?>
<ds:datastoreItem xmlns:ds="http://schemas.openxmlformats.org/officeDocument/2006/customXml" ds:itemID="{EBB0124B-D1BE-44A0-94B0-EFF769F1AD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4</DocSecurity>
  <Lines>16</Lines>
  <Paragraphs>4</Paragraphs>
  <ScaleCrop>false</ScaleCrop>
  <Company>FAO of the UN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Zoppi, Francesca (ESP)</dc:creator>
  <cp:keywords/>
  <dc:description/>
  <cp:lastModifiedBy>Abhinav Nathan Jain</cp:lastModifiedBy>
  <cp:revision>2</cp:revision>
  <dcterms:created xsi:type="dcterms:W3CDTF">2025-02-19T14:53:00Z</dcterms:created>
  <dcterms:modified xsi:type="dcterms:W3CDTF">2025-02-19T14:53:00Z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</Properties>
</file>