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4E112" w14:textId="77777777" w:rsidR="0035788D" w:rsidRPr="00D52A21" w:rsidRDefault="0035788D" w:rsidP="0035788D">
      <w:pPr>
        <w:jc w:val="center"/>
        <w:rPr>
          <w:rFonts w:asciiTheme="majorBidi" w:hAnsiTheme="majorBidi" w:cstheme="majorBidi"/>
          <w:b/>
          <w:bCs/>
        </w:rPr>
      </w:pPr>
    </w:p>
    <w:p w14:paraId="5158312E" w14:textId="343222D8" w:rsidR="0035788D" w:rsidRPr="00D52A21" w:rsidRDefault="00CD5727" w:rsidP="0035788D">
      <w:pPr>
        <w:jc w:val="center"/>
        <w:rPr>
          <w:rFonts w:asciiTheme="majorBidi" w:hAnsiTheme="majorBidi" w:cstheme="majorBidi"/>
          <w:b/>
          <w:bCs/>
        </w:rPr>
      </w:pPr>
      <w:r>
        <w:rPr>
          <w:rFonts w:asciiTheme="majorBidi" w:hAnsiTheme="majorBidi" w:cstheme="majorBidi"/>
          <w:b/>
          <w:bCs/>
        </w:rPr>
        <w:t xml:space="preserve">LDCs Intervention </w:t>
      </w:r>
      <w:r w:rsidR="0035788D" w:rsidRPr="00D52A21">
        <w:rPr>
          <w:rFonts w:asciiTheme="majorBidi" w:hAnsiTheme="majorBidi" w:cstheme="majorBidi"/>
          <w:b/>
          <w:bCs/>
        </w:rPr>
        <w:t xml:space="preserve">for Chapter on STI at FfD4 </w:t>
      </w:r>
      <w:proofErr w:type="spellStart"/>
      <w:r w:rsidR="0035788D" w:rsidRPr="00D52A21">
        <w:rPr>
          <w:rFonts w:asciiTheme="majorBidi" w:hAnsiTheme="majorBidi" w:cstheme="majorBidi"/>
          <w:b/>
          <w:bCs/>
        </w:rPr>
        <w:t>Prepcom</w:t>
      </w:r>
      <w:proofErr w:type="spellEnd"/>
      <w:r w:rsidR="0035788D" w:rsidRPr="00D52A21">
        <w:rPr>
          <w:rFonts w:asciiTheme="majorBidi" w:hAnsiTheme="majorBidi" w:cstheme="majorBidi"/>
          <w:b/>
          <w:bCs/>
        </w:rPr>
        <w:t xml:space="preserve"> 3</w:t>
      </w:r>
    </w:p>
    <w:p w14:paraId="6664BE3F" w14:textId="77777777" w:rsidR="0022553C" w:rsidRDefault="0022553C" w:rsidP="005F1C57">
      <w:pPr>
        <w:jc w:val="both"/>
        <w:rPr>
          <w:rFonts w:asciiTheme="majorBidi" w:hAnsiTheme="majorBidi" w:cstheme="majorBidi"/>
        </w:rPr>
      </w:pPr>
    </w:p>
    <w:p w14:paraId="094D19AE" w14:textId="6F62A198" w:rsidR="00F17BC3" w:rsidRPr="00CD5727" w:rsidRDefault="00CD5727" w:rsidP="005F1C57">
      <w:pPr>
        <w:jc w:val="both"/>
        <w:rPr>
          <w:rFonts w:asciiTheme="majorBidi" w:hAnsiTheme="majorBidi" w:cstheme="majorBidi"/>
          <w:b/>
          <w:bCs/>
        </w:rPr>
      </w:pPr>
      <w:r w:rsidRPr="00CD5727">
        <w:rPr>
          <w:rFonts w:asciiTheme="majorBidi" w:hAnsiTheme="majorBidi" w:cstheme="majorBidi"/>
          <w:b/>
          <w:bCs/>
        </w:rPr>
        <w:t>Distinguished Co-facilitators</w:t>
      </w:r>
    </w:p>
    <w:p w14:paraId="271121BB" w14:textId="77777777" w:rsidR="00CD5727" w:rsidRDefault="00CD5727" w:rsidP="005F1C57">
      <w:pPr>
        <w:jc w:val="both"/>
        <w:rPr>
          <w:rFonts w:asciiTheme="majorBidi" w:hAnsiTheme="majorBidi" w:cstheme="majorBidi"/>
        </w:rPr>
      </w:pPr>
    </w:p>
    <w:p w14:paraId="465216A2" w14:textId="35DE2A7F" w:rsidR="005B6667" w:rsidRDefault="00EF3B53" w:rsidP="005F1C57">
      <w:pPr>
        <w:jc w:val="both"/>
        <w:rPr>
          <w:rFonts w:asciiTheme="majorBidi" w:hAnsiTheme="majorBidi" w:cstheme="majorBidi"/>
        </w:rPr>
      </w:pPr>
      <w:r w:rsidRPr="00EF3B53">
        <w:rPr>
          <w:rFonts w:asciiTheme="majorBidi" w:hAnsiTheme="majorBidi" w:cstheme="majorBidi"/>
        </w:rPr>
        <w:t>I have the honor to deliver these remarks on behalf of the Least Developed Countries (LDCs).</w:t>
      </w:r>
      <w:r w:rsidR="00C31362">
        <w:rPr>
          <w:rFonts w:asciiTheme="majorBidi" w:hAnsiTheme="majorBidi" w:cstheme="majorBidi"/>
        </w:rPr>
        <w:t xml:space="preserve"> </w:t>
      </w:r>
    </w:p>
    <w:p w14:paraId="04354556" w14:textId="0E3FF2CB" w:rsidR="00CB1C40" w:rsidRPr="00D52A21" w:rsidRDefault="00C31362" w:rsidP="005F1C57">
      <w:pPr>
        <w:jc w:val="both"/>
        <w:rPr>
          <w:rFonts w:asciiTheme="majorBidi" w:hAnsiTheme="majorBidi" w:cstheme="majorBidi"/>
        </w:rPr>
      </w:pPr>
      <w:r>
        <w:rPr>
          <w:rFonts w:asciiTheme="majorBidi" w:hAnsiTheme="majorBidi" w:cstheme="majorBidi"/>
        </w:rPr>
        <w:t xml:space="preserve">The Group aligns itself </w:t>
      </w:r>
      <w:r w:rsidR="005B6667">
        <w:rPr>
          <w:rFonts w:asciiTheme="majorBidi" w:hAnsiTheme="majorBidi" w:cstheme="majorBidi"/>
        </w:rPr>
        <w:t xml:space="preserve">with the statement of the G77 and China. </w:t>
      </w:r>
    </w:p>
    <w:p w14:paraId="5DF77E71" w14:textId="77777777" w:rsidR="00CB1C40" w:rsidRPr="00D52A21" w:rsidRDefault="00EF3B53" w:rsidP="005F1C57">
      <w:pPr>
        <w:jc w:val="both"/>
        <w:rPr>
          <w:rFonts w:asciiTheme="majorBidi" w:hAnsiTheme="majorBidi" w:cstheme="majorBidi"/>
        </w:rPr>
      </w:pPr>
      <w:r w:rsidRPr="00EF3B53">
        <w:rPr>
          <w:rFonts w:asciiTheme="majorBidi" w:hAnsiTheme="majorBidi" w:cstheme="majorBidi"/>
        </w:rPr>
        <w:t xml:space="preserve">Science, Technology, and Innovation (STI) are pivotal catalysts for economic growth and sustainable development. </w:t>
      </w:r>
    </w:p>
    <w:p w14:paraId="579C8DD1" w14:textId="5EF5A5BA" w:rsidR="0072465A" w:rsidRDefault="00EF3B53" w:rsidP="005F1C57">
      <w:pPr>
        <w:jc w:val="both"/>
        <w:rPr>
          <w:rFonts w:asciiTheme="majorBidi" w:hAnsiTheme="majorBidi" w:cstheme="majorBidi"/>
        </w:rPr>
      </w:pPr>
      <w:r w:rsidRPr="00EF3B53">
        <w:rPr>
          <w:rFonts w:asciiTheme="majorBidi" w:hAnsiTheme="majorBidi" w:cstheme="majorBidi"/>
        </w:rPr>
        <w:t>However,</w:t>
      </w:r>
      <w:r w:rsidR="0072465A">
        <w:rPr>
          <w:rFonts w:asciiTheme="majorBidi" w:hAnsiTheme="majorBidi" w:cstheme="majorBidi"/>
        </w:rPr>
        <w:t xml:space="preserve"> m</w:t>
      </w:r>
      <w:r w:rsidR="0072465A" w:rsidRPr="0072465A">
        <w:rPr>
          <w:rFonts w:asciiTheme="majorBidi" w:hAnsiTheme="majorBidi" w:cstheme="majorBidi"/>
        </w:rPr>
        <w:t>any LDCs lack the necessary infrastructure, such as reliable electricity, internet connectivity, and research facilities, to support STI activities</w:t>
      </w:r>
      <w:r w:rsidR="0072465A">
        <w:rPr>
          <w:rFonts w:asciiTheme="majorBidi" w:hAnsiTheme="majorBidi" w:cstheme="majorBidi"/>
        </w:rPr>
        <w:t>.</w:t>
      </w:r>
    </w:p>
    <w:p w14:paraId="6E75520B" w14:textId="10E3C157" w:rsidR="0072465A" w:rsidRDefault="0072465A" w:rsidP="005F1C57">
      <w:pPr>
        <w:jc w:val="both"/>
        <w:rPr>
          <w:rFonts w:asciiTheme="majorBidi" w:hAnsiTheme="majorBidi" w:cstheme="majorBidi"/>
        </w:rPr>
      </w:pPr>
      <w:r w:rsidRPr="0072465A">
        <w:rPr>
          <w:rFonts w:asciiTheme="majorBidi" w:hAnsiTheme="majorBidi" w:cstheme="majorBidi"/>
        </w:rPr>
        <w:t>There is a shortage of skilled professionals and researchers in LDCs. Low levels of education and training in science and technology fields contribute to this gap</w:t>
      </w:r>
      <w:r>
        <w:rPr>
          <w:rFonts w:asciiTheme="majorBidi" w:hAnsiTheme="majorBidi" w:cstheme="majorBidi"/>
        </w:rPr>
        <w:t>.</w:t>
      </w:r>
    </w:p>
    <w:p w14:paraId="56BA9197" w14:textId="28C47753" w:rsidR="00EF3B53" w:rsidRPr="00EF3B53" w:rsidRDefault="0072465A" w:rsidP="005F1C57">
      <w:pPr>
        <w:jc w:val="both"/>
        <w:rPr>
          <w:rFonts w:asciiTheme="majorBidi" w:hAnsiTheme="majorBidi" w:cstheme="majorBidi"/>
        </w:rPr>
      </w:pPr>
      <w:r>
        <w:rPr>
          <w:rFonts w:asciiTheme="majorBidi" w:hAnsiTheme="majorBidi" w:cstheme="majorBidi"/>
        </w:rPr>
        <w:t>We are disappointed to see t</w:t>
      </w:r>
      <w:r w:rsidR="00EF3B53" w:rsidRPr="00EF3B53">
        <w:rPr>
          <w:rFonts w:asciiTheme="majorBidi" w:hAnsiTheme="majorBidi" w:cstheme="majorBidi"/>
        </w:rPr>
        <w:t>he benefits of technological advancements remain disproportionately concentrated in</w:t>
      </w:r>
      <w:r>
        <w:rPr>
          <w:rFonts w:asciiTheme="majorBidi" w:hAnsiTheme="majorBidi" w:cstheme="majorBidi"/>
        </w:rPr>
        <w:t xml:space="preserve"> a few counties</w:t>
      </w:r>
      <w:r w:rsidR="00EF3B53" w:rsidRPr="00EF3B53">
        <w:rPr>
          <w:rFonts w:asciiTheme="majorBidi" w:hAnsiTheme="majorBidi" w:cstheme="majorBidi"/>
        </w:rPr>
        <w:t xml:space="preserve">, while </w:t>
      </w:r>
      <w:r>
        <w:rPr>
          <w:rFonts w:asciiTheme="majorBidi" w:hAnsiTheme="majorBidi" w:cstheme="majorBidi"/>
        </w:rPr>
        <w:t xml:space="preserve">developing countries including </w:t>
      </w:r>
      <w:r w:rsidR="00EF3B53" w:rsidRPr="00EF3B53">
        <w:rPr>
          <w:rFonts w:asciiTheme="majorBidi" w:hAnsiTheme="majorBidi" w:cstheme="majorBidi"/>
        </w:rPr>
        <w:t>LDCs face significant challenges in mobilizing financing for critical infrastructure, technology, and human capital investments, as well as in ascending manufacturing and services value chains.</w:t>
      </w:r>
    </w:p>
    <w:p w14:paraId="55733F41" w14:textId="30DC50AA" w:rsidR="00A60B67" w:rsidRDefault="00B51892" w:rsidP="00A60B67">
      <w:pPr>
        <w:jc w:val="both"/>
        <w:rPr>
          <w:rFonts w:asciiTheme="majorBidi" w:hAnsiTheme="majorBidi" w:cstheme="majorBidi"/>
        </w:rPr>
      </w:pPr>
      <w:r>
        <w:rPr>
          <w:rFonts w:asciiTheme="majorBidi" w:hAnsiTheme="majorBidi" w:cstheme="majorBidi"/>
        </w:rPr>
        <w:t>FfD4 is a unique opportunity to bridge the financing gap. We believe t</w:t>
      </w:r>
      <w:r w:rsidR="00EF3B53" w:rsidRPr="00EF3B53">
        <w:rPr>
          <w:rFonts w:asciiTheme="majorBidi" w:hAnsiTheme="majorBidi" w:cstheme="majorBidi"/>
        </w:rPr>
        <w:t>he zero draft outcome document outlines several crucial commitments for advancing STI and its development applications in LDCs</w:t>
      </w:r>
      <w:r w:rsidR="00F530FC" w:rsidRPr="00D52A21">
        <w:rPr>
          <w:rFonts w:asciiTheme="majorBidi" w:hAnsiTheme="majorBidi" w:cstheme="majorBidi"/>
        </w:rPr>
        <w:t xml:space="preserve"> which we support and should remain in the text.</w:t>
      </w:r>
    </w:p>
    <w:p w14:paraId="41ACD5B0" w14:textId="77777777" w:rsidR="00B51892" w:rsidRDefault="00B51892" w:rsidP="00B51892">
      <w:pPr>
        <w:jc w:val="both"/>
        <w:rPr>
          <w:rFonts w:asciiTheme="majorBidi" w:hAnsiTheme="majorBidi" w:cstheme="majorBidi"/>
        </w:rPr>
      </w:pPr>
      <w:r>
        <w:rPr>
          <w:rFonts w:asciiTheme="majorBidi" w:hAnsiTheme="majorBidi" w:cstheme="majorBidi"/>
        </w:rPr>
        <w:t>We appreciate the</w:t>
      </w:r>
      <w:r w:rsidR="00A60B67">
        <w:rPr>
          <w:rFonts w:asciiTheme="majorBidi" w:hAnsiTheme="majorBidi" w:cstheme="majorBidi"/>
        </w:rPr>
        <w:t xml:space="preserve"> c</w:t>
      </w:r>
      <w:r w:rsidR="00A779F9" w:rsidRPr="00A779F9">
        <w:rPr>
          <w:rFonts w:asciiTheme="majorBidi" w:hAnsiTheme="majorBidi" w:cstheme="majorBidi"/>
        </w:rPr>
        <w:t>ommitment in paragraph 59 (a) to support development and implementation of national STI4SDG roadmaps that foster an enabling environment while</w:t>
      </w:r>
      <w:r w:rsidR="00A779F9" w:rsidRPr="00A779F9">
        <w:rPr>
          <w:rFonts w:asciiTheme="majorBidi" w:hAnsiTheme="majorBidi" w:cstheme="majorBidi"/>
          <w:lang w:val="it-IT"/>
        </w:rPr>
        <w:t xml:space="preserve"> incentiviz</w:t>
      </w:r>
      <w:proofErr w:type="spellStart"/>
      <w:r w:rsidR="00A779F9" w:rsidRPr="00A779F9">
        <w:rPr>
          <w:rFonts w:asciiTheme="majorBidi" w:hAnsiTheme="majorBidi" w:cstheme="majorBidi"/>
        </w:rPr>
        <w:t>ing</w:t>
      </w:r>
      <w:proofErr w:type="spellEnd"/>
      <w:r w:rsidR="00A779F9" w:rsidRPr="00A779F9">
        <w:rPr>
          <w:rFonts w:asciiTheme="majorBidi" w:hAnsiTheme="majorBidi" w:cstheme="majorBidi"/>
        </w:rPr>
        <w:t xml:space="preserve"> innovations aligned with sustainable development.  </w:t>
      </w:r>
    </w:p>
    <w:p w14:paraId="49BCD911" w14:textId="77777777" w:rsidR="00B51892" w:rsidRDefault="00B51892" w:rsidP="00B51892">
      <w:pPr>
        <w:jc w:val="both"/>
        <w:rPr>
          <w:rFonts w:asciiTheme="majorBidi" w:hAnsiTheme="majorBidi" w:cstheme="majorBidi"/>
        </w:rPr>
      </w:pPr>
      <w:r>
        <w:rPr>
          <w:rFonts w:asciiTheme="majorBidi" w:hAnsiTheme="majorBidi" w:cstheme="majorBidi"/>
        </w:rPr>
        <w:t>We are also happy to see the p</w:t>
      </w:r>
      <w:r w:rsidR="00A779F9" w:rsidRPr="00A779F9">
        <w:rPr>
          <w:rFonts w:asciiTheme="majorBidi" w:hAnsiTheme="majorBidi" w:cstheme="majorBidi"/>
        </w:rPr>
        <w:t>rovision in paragraph 59 (e), of support and training on strategic STI, to build capacity,  </w:t>
      </w:r>
    </w:p>
    <w:p w14:paraId="746443AD" w14:textId="77777777" w:rsidR="00B51892" w:rsidRDefault="00B51892" w:rsidP="00B51892">
      <w:pPr>
        <w:jc w:val="both"/>
        <w:rPr>
          <w:rFonts w:asciiTheme="majorBidi" w:hAnsiTheme="majorBidi" w:cstheme="majorBidi"/>
        </w:rPr>
      </w:pPr>
      <w:r>
        <w:rPr>
          <w:rFonts w:asciiTheme="majorBidi" w:hAnsiTheme="majorBidi" w:cstheme="majorBidi"/>
        </w:rPr>
        <w:t xml:space="preserve">We support the </w:t>
      </w:r>
      <w:proofErr w:type="gramStart"/>
      <w:r>
        <w:rPr>
          <w:rFonts w:asciiTheme="majorBidi" w:hAnsiTheme="majorBidi" w:cstheme="majorBidi"/>
        </w:rPr>
        <w:t>c</w:t>
      </w:r>
      <w:r w:rsidR="00A779F9" w:rsidRPr="00A779F9">
        <w:rPr>
          <w:rFonts w:asciiTheme="majorBidi" w:hAnsiTheme="majorBidi" w:cstheme="majorBidi"/>
        </w:rPr>
        <w:t>all in</w:t>
      </w:r>
      <w:proofErr w:type="gramEnd"/>
      <w:r w:rsidR="00A779F9" w:rsidRPr="00A779F9">
        <w:rPr>
          <w:rFonts w:asciiTheme="majorBidi" w:hAnsiTheme="majorBidi" w:cstheme="majorBidi"/>
        </w:rPr>
        <w:t xml:space="preserve"> paragraph 59 (e) for the IFIs, international organizations, and development partners to enhance financing and capacity support to STI projects in developing countries. </w:t>
      </w:r>
    </w:p>
    <w:p w14:paraId="5C69EC6E" w14:textId="77777777" w:rsidR="00B51892" w:rsidRDefault="00B51892" w:rsidP="00B51892">
      <w:pPr>
        <w:jc w:val="both"/>
        <w:rPr>
          <w:rFonts w:asciiTheme="majorBidi" w:hAnsiTheme="majorBidi" w:cstheme="majorBidi"/>
        </w:rPr>
      </w:pPr>
      <w:r>
        <w:rPr>
          <w:rFonts w:asciiTheme="majorBidi" w:hAnsiTheme="majorBidi" w:cstheme="majorBidi"/>
        </w:rPr>
        <w:t xml:space="preserve">The group appreciates </w:t>
      </w:r>
      <w:r w:rsidR="00A779F9" w:rsidRPr="00A779F9">
        <w:rPr>
          <w:rFonts w:asciiTheme="majorBidi" w:hAnsiTheme="majorBidi" w:cstheme="majorBidi"/>
        </w:rPr>
        <w:t xml:space="preserve">paragraph 59 (g) </w:t>
      </w:r>
      <w:r>
        <w:rPr>
          <w:rFonts w:asciiTheme="majorBidi" w:hAnsiTheme="majorBidi" w:cstheme="majorBidi"/>
        </w:rPr>
        <w:t xml:space="preserve">which commits </w:t>
      </w:r>
      <w:r w:rsidR="00A779F9" w:rsidRPr="00A779F9">
        <w:rPr>
          <w:rFonts w:asciiTheme="majorBidi" w:hAnsiTheme="majorBidi" w:cstheme="majorBidi"/>
        </w:rPr>
        <w:t>to ensure that resources are directed to countries and regions with high needs and impacts.  </w:t>
      </w:r>
    </w:p>
    <w:p w14:paraId="598EB86A" w14:textId="77777777" w:rsidR="00B51892" w:rsidRDefault="00B51892" w:rsidP="00B51892">
      <w:pPr>
        <w:jc w:val="both"/>
        <w:rPr>
          <w:rFonts w:asciiTheme="majorBidi" w:hAnsiTheme="majorBidi" w:cstheme="majorBidi"/>
        </w:rPr>
      </w:pPr>
      <w:r>
        <w:rPr>
          <w:rFonts w:asciiTheme="majorBidi" w:hAnsiTheme="majorBidi" w:cstheme="majorBidi"/>
        </w:rPr>
        <w:t>Likewise, we welcome t</w:t>
      </w:r>
      <w:r w:rsidR="00A779F9" w:rsidRPr="00A779F9">
        <w:rPr>
          <w:rFonts w:asciiTheme="majorBidi" w:hAnsiTheme="majorBidi" w:cstheme="majorBidi"/>
        </w:rPr>
        <w:t xml:space="preserve">he </w:t>
      </w:r>
      <w:proofErr w:type="gramStart"/>
      <w:r w:rsidR="00A779F9" w:rsidRPr="00A779F9">
        <w:rPr>
          <w:rFonts w:asciiTheme="majorBidi" w:hAnsiTheme="majorBidi" w:cstheme="majorBidi"/>
        </w:rPr>
        <w:t>call in</w:t>
      </w:r>
      <w:proofErr w:type="gramEnd"/>
      <w:r w:rsidR="00A779F9" w:rsidRPr="00A779F9">
        <w:rPr>
          <w:rFonts w:asciiTheme="majorBidi" w:hAnsiTheme="majorBidi" w:cstheme="majorBidi"/>
        </w:rPr>
        <w:t xml:space="preserve"> paragraph 59 (d) urging expedient operationalization of the Online University for LDCs to promote science, technology, engineering, and mathematics (STEM) education.</w:t>
      </w:r>
      <w:r>
        <w:rPr>
          <w:rFonts w:asciiTheme="majorBidi" w:hAnsiTheme="majorBidi" w:cstheme="majorBidi"/>
        </w:rPr>
        <w:t xml:space="preserve"> </w:t>
      </w:r>
    </w:p>
    <w:p w14:paraId="404C78B1" w14:textId="1BEE296D" w:rsidR="00B51892" w:rsidRDefault="00B51892" w:rsidP="00B51892">
      <w:pPr>
        <w:jc w:val="both"/>
        <w:rPr>
          <w:rFonts w:asciiTheme="majorBidi" w:hAnsiTheme="majorBidi" w:cstheme="majorBidi"/>
        </w:rPr>
      </w:pPr>
      <w:r>
        <w:rPr>
          <w:rFonts w:asciiTheme="majorBidi" w:hAnsiTheme="majorBidi" w:cstheme="majorBidi"/>
        </w:rPr>
        <w:lastRenderedPageBreak/>
        <w:t xml:space="preserve">We support </w:t>
      </w:r>
      <w:r w:rsidR="00A779F9" w:rsidRPr="00A779F9">
        <w:rPr>
          <w:rFonts w:asciiTheme="majorBidi" w:hAnsiTheme="majorBidi" w:cstheme="majorBidi"/>
        </w:rPr>
        <w:t>paragraph 59 (h) to strengthen the capacity of the UN Technology Facilitation Mechanism and the Technology Bank for LDCs with adequate resources so they can effectively fulfill their mandates. </w:t>
      </w:r>
    </w:p>
    <w:p w14:paraId="191A35E5" w14:textId="77777777" w:rsidR="00B51892" w:rsidRDefault="00B51892" w:rsidP="00B51892">
      <w:pPr>
        <w:jc w:val="both"/>
        <w:rPr>
          <w:rFonts w:asciiTheme="majorBidi" w:hAnsiTheme="majorBidi" w:cstheme="majorBidi"/>
        </w:rPr>
      </w:pPr>
      <w:r>
        <w:rPr>
          <w:rFonts w:asciiTheme="majorBidi" w:hAnsiTheme="majorBidi" w:cstheme="majorBidi"/>
        </w:rPr>
        <w:t>P</w:t>
      </w:r>
      <w:r w:rsidR="00A779F9" w:rsidRPr="00A779F9">
        <w:rPr>
          <w:rFonts w:asciiTheme="majorBidi" w:hAnsiTheme="majorBidi" w:cstheme="majorBidi"/>
        </w:rPr>
        <w:t>aragraph 60 (a) to support countries in their design of digital infrastructure financing models and impact measurement to close the connectivity gap</w:t>
      </w:r>
      <w:r>
        <w:rPr>
          <w:rFonts w:asciiTheme="majorBidi" w:hAnsiTheme="majorBidi" w:cstheme="majorBidi"/>
        </w:rPr>
        <w:t xml:space="preserve"> is </w:t>
      </w:r>
      <w:proofErr w:type="gramStart"/>
      <w:r>
        <w:rPr>
          <w:rFonts w:asciiTheme="majorBidi" w:hAnsiTheme="majorBidi" w:cstheme="majorBidi"/>
        </w:rPr>
        <w:t>absolutely important</w:t>
      </w:r>
      <w:proofErr w:type="gramEnd"/>
      <w:r>
        <w:rPr>
          <w:rFonts w:asciiTheme="majorBidi" w:hAnsiTheme="majorBidi" w:cstheme="majorBidi"/>
        </w:rPr>
        <w:t xml:space="preserve"> for LDCs.</w:t>
      </w:r>
    </w:p>
    <w:p w14:paraId="33AB0574" w14:textId="5FD0D34D" w:rsidR="00A779F9" w:rsidRPr="00A779F9" w:rsidRDefault="00A779F9" w:rsidP="00B51892">
      <w:pPr>
        <w:jc w:val="both"/>
        <w:rPr>
          <w:rFonts w:asciiTheme="majorBidi" w:hAnsiTheme="majorBidi" w:cstheme="majorBidi"/>
        </w:rPr>
      </w:pPr>
      <w:r w:rsidRPr="00A779F9">
        <w:rPr>
          <w:rFonts w:asciiTheme="majorBidi" w:hAnsiTheme="majorBidi" w:cstheme="majorBidi"/>
        </w:rPr>
        <w:t>Commitments in paragraph 61 (a) and (b) to implement comprehensive and ethical financial and digital literacy programmes that target all segments of society</w:t>
      </w:r>
      <w:r w:rsidR="00B51892">
        <w:rPr>
          <w:rFonts w:asciiTheme="majorBidi" w:hAnsiTheme="majorBidi" w:cstheme="majorBidi"/>
        </w:rPr>
        <w:t xml:space="preserve"> </w:t>
      </w:r>
      <w:proofErr w:type="gramStart"/>
      <w:r w:rsidR="00B51892">
        <w:rPr>
          <w:rFonts w:asciiTheme="majorBidi" w:hAnsiTheme="majorBidi" w:cstheme="majorBidi"/>
        </w:rPr>
        <w:t>is</w:t>
      </w:r>
      <w:proofErr w:type="gramEnd"/>
      <w:r w:rsidR="00B51892">
        <w:rPr>
          <w:rFonts w:asciiTheme="majorBidi" w:hAnsiTheme="majorBidi" w:cstheme="majorBidi"/>
        </w:rPr>
        <w:t xml:space="preserve"> highly beneficial to our group.</w:t>
      </w:r>
    </w:p>
    <w:p w14:paraId="55CAB3D9" w14:textId="77777777" w:rsidR="00EF3B53" w:rsidRPr="00EF3B53" w:rsidRDefault="00EF3B53" w:rsidP="005F1C57">
      <w:pPr>
        <w:jc w:val="both"/>
        <w:rPr>
          <w:rFonts w:asciiTheme="majorBidi" w:hAnsiTheme="majorBidi" w:cstheme="majorBidi"/>
        </w:rPr>
      </w:pPr>
      <w:r w:rsidRPr="00EF3B53">
        <w:rPr>
          <w:rFonts w:asciiTheme="majorBidi" w:hAnsiTheme="majorBidi" w:cstheme="majorBidi"/>
        </w:rPr>
        <w:t>While the outcome document outlines many positive areas, several crucial aspects need reinforcement to effectively eradicate digital divides and ensure universal STI access in LDCs:</w:t>
      </w:r>
    </w:p>
    <w:p w14:paraId="5C6265E5" w14:textId="2792DDF7" w:rsidR="00EF3B53" w:rsidRPr="00EF3B53" w:rsidRDefault="00EF3B53" w:rsidP="00551FD1">
      <w:pPr>
        <w:numPr>
          <w:ilvl w:val="0"/>
          <w:numId w:val="12"/>
        </w:numPr>
        <w:tabs>
          <w:tab w:val="clear" w:pos="720"/>
          <w:tab w:val="left" w:pos="360"/>
        </w:tabs>
        <w:ind w:left="360" w:firstLine="0"/>
        <w:jc w:val="both"/>
        <w:rPr>
          <w:rFonts w:asciiTheme="majorBidi" w:hAnsiTheme="majorBidi" w:cstheme="majorBidi"/>
        </w:rPr>
      </w:pPr>
      <w:r w:rsidRPr="00EF3B53">
        <w:rPr>
          <w:rFonts w:asciiTheme="majorBidi" w:hAnsiTheme="majorBidi" w:cstheme="majorBidi"/>
        </w:rPr>
        <w:t>The outcome needs to strengthen commitments and establish clear targets on technology transfer, moving beyond mere knowledge sharing.</w:t>
      </w:r>
      <w:r w:rsidR="00E00609">
        <w:rPr>
          <w:rFonts w:asciiTheme="majorBidi" w:hAnsiTheme="majorBidi" w:cstheme="majorBidi"/>
        </w:rPr>
        <w:t xml:space="preserve"> This is in line with DPOA paragraph 179 that underlines the importance of facilitating technology transfer to LDCs </w:t>
      </w:r>
      <w:r w:rsidR="00220979">
        <w:rPr>
          <w:rFonts w:asciiTheme="majorBidi" w:hAnsiTheme="majorBidi" w:cstheme="majorBidi"/>
        </w:rPr>
        <w:t>under TRIPS Article 66.2.</w:t>
      </w:r>
    </w:p>
    <w:p w14:paraId="45EBE8C5" w14:textId="0D4A1A32" w:rsidR="00EF3B53" w:rsidRPr="00EF3B53" w:rsidRDefault="00992841" w:rsidP="00551FD1">
      <w:pPr>
        <w:numPr>
          <w:ilvl w:val="0"/>
          <w:numId w:val="12"/>
        </w:numPr>
        <w:tabs>
          <w:tab w:val="clear" w:pos="720"/>
          <w:tab w:val="left" w:pos="360"/>
        </w:tabs>
        <w:ind w:left="360" w:firstLine="0"/>
        <w:jc w:val="both"/>
        <w:rPr>
          <w:rFonts w:asciiTheme="majorBidi" w:hAnsiTheme="majorBidi" w:cstheme="majorBidi"/>
        </w:rPr>
      </w:pPr>
      <w:r w:rsidRPr="00D52A21">
        <w:rPr>
          <w:rFonts w:asciiTheme="majorBidi" w:hAnsiTheme="majorBidi" w:cstheme="majorBidi"/>
        </w:rPr>
        <w:t xml:space="preserve">The document needs to </w:t>
      </w:r>
      <w:r w:rsidR="007A277D" w:rsidRPr="00D52A21">
        <w:rPr>
          <w:rFonts w:asciiTheme="majorBidi" w:hAnsiTheme="majorBidi" w:cstheme="majorBidi"/>
        </w:rPr>
        <w:t xml:space="preserve">leverage </w:t>
      </w:r>
      <w:r w:rsidR="00EF3B53" w:rsidRPr="00EF3B53">
        <w:rPr>
          <w:rFonts w:asciiTheme="majorBidi" w:hAnsiTheme="majorBidi" w:cstheme="majorBidi"/>
        </w:rPr>
        <w:t>the untapped potential of LDCs to develop technology-driven entrepreneurships and enhance funding for innovative solutions relevant to the local context.</w:t>
      </w:r>
    </w:p>
    <w:p w14:paraId="064D9A99" w14:textId="6EDBB88B" w:rsidR="00EF3B53" w:rsidRPr="00EF3B53" w:rsidRDefault="00EF3B53" w:rsidP="00551FD1">
      <w:pPr>
        <w:numPr>
          <w:ilvl w:val="0"/>
          <w:numId w:val="12"/>
        </w:numPr>
        <w:tabs>
          <w:tab w:val="clear" w:pos="720"/>
          <w:tab w:val="left" w:pos="360"/>
        </w:tabs>
        <w:ind w:left="360" w:firstLine="0"/>
        <w:jc w:val="both"/>
        <w:rPr>
          <w:rFonts w:asciiTheme="majorBidi" w:hAnsiTheme="majorBidi" w:cstheme="majorBidi"/>
        </w:rPr>
      </w:pPr>
      <w:r w:rsidRPr="00EF3B53">
        <w:rPr>
          <w:rFonts w:asciiTheme="majorBidi" w:hAnsiTheme="majorBidi" w:cstheme="majorBidi"/>
        </w:rPr>
        <w:t>While acknowledging the growing impact of AI, LDCs' primary challenge remains the lack of basic digital infrastructure. Capacity building and financing in this respect are crucial.</w:t>
      </w:r>
    </w:p>
    <w:p w14:paraId="6A308891" w14:textId="7D331B35" w:rsidR="00EF3B53" w:rsidRPr="00EF3B53" w:rsidRDefault="006D7091" w:rsidP="00551FD1">
      <w:pPr>
        <w:numPr>
          <w:ilvl w:val="0"/>
          <w:numId w:val="12"/>
        </w:numPr>
        <w:tabs>
          <w:tab w:val="clear" w:pos="720"/>
          <w:tab w:val="left" w:pos="360"/>
        </w:tabs>
        <w:ind w:left="360" w:firstLine="0"/>
        <w:jc w:val="both"/>
        <w:rPr>
          <w:rFonts w:asciiTheme="majorBidi" w:hAnsiTheme="majorBidi" w:cstheme="majorBidi"/>
        </w:rPr>
      </w:pPr>
      <w:r w:rsidRPr="006D7091">
        <w:rPr>
          <w:rFonts w:asciiTheme="majorBidi" w:hAnsiTheme="majorBidi" w:cstheme="majorBidi"/>
        </w:rPr>
        <w:t>It is important to</w:t>
      </w:r>
      <w:r w:rsidR="00EF3B53" w:rsidRPr="00EF3B53">
        <w:rPr>
          <w:rFonts w:asciiTheme="majorBidi" w:hAnsiTheme="majorBidi" w:cstheme="majorBidi"/>
        </w:rPr>
        <w:t xml:space="preserve"> </w:t>
      </w:r>
      <w:r>
        <w:rPr>
          <w:rFonts w:asciiTheme="majorBidi" w:hAnsiTheme="majorBidi" w:cstheme="majorBidi"/>
        </w:rPr>
        <w:t>f</w:t>
      </w:r>
      <w:r w:rsidR="00EF3B53" w:rsidRPr="00EF3B53">
        <w:rPr>
          <w:rFonts w:asciiTheme="majorBidi" w:hAnsiTheme="majorBidi" w:cstheme="majorBidi"/>
        </w:rPr>
        <w:t>acilitate partnerships between governments, international tech firms, and development organizations to bring expertise, technology transfer, and financial resources to LDCs</w:t>
      </w:r>
      <w:r w:rsidR="00E10401" w:rsidRPr="00D52A21">
        <w:rPr>
          <w:rFonts w:asciiTheme="majorBidi" w:hAnsiTheme="majorBidi" w:cstheme="majorBidi"/>
        </w:rPr>
        <w:t xml:space="preserve"> are vitally important</w:t>
      </w:r>
      <w:r w:rsidR="00EF3B53" w:rsidRPr="00EF3B53">
        <w:rPr>
          <w:rFonts w:asciiTheme="majorBidi" w:hAnsiTheme="majorBidi" w:cstheme="majorBidi"/>
        </w:rPr>
        <w:t>.</w:t>
      </w:r>
    </w:p>
    <w:p w14:paraId="62F40A3A" w14:textId="408437AA" w:rsidR="00EF3B53" w:rsidRPr="00EF3B53" w:rsidRDefault="00B76644" w:rsidP="00551FD1">
      <w:pPr>
        <w:numPr>
          <w:ilvl w:val="0"/>
          <w:numId w:val="12"/>
        </w:numPr>
        <w:tabs>
          <w:tab w:val="clear" w:pos="720"/>
          <w:tab w:val="left" w:pos="360"/>
        </w:tabs>
        <w:ind w:left="360" w:firstLine="0"/>
        <w:jc w:val="both"/>
        <w:rPr>
          <w:rFonts w:asciiTheme="majorBidi" w:hAnsiTheme="majorBidi" w:cstheme="majorBidi"/>
        </w:rPr>
      </w:pPr>
      <w:r>
        <w:rPr>
          <w:rFonts w:asciiTheme="majorBidi" w:hAnsiTheme="majorBidi" w:cstheme="majorBidi"/>
        </w:rPr>
        <w:t xml:space="preserve">LDCs need to be supported to </w:t>
      </w:r>
      <w:r w:rsidR="00355D89">
        <w:rPr>
          <w:rFonts w:asciiTheme="majorBidi" w:hAnsiTheme="majorBidi" w:cstheme="majorBidi"/>
        </w:rPr>
        <w:t>build</w:t>
      </w:r>
      <w:r w:rsidR="00EF3B53" w:rsidRPr="00EF3B53">
        <w:rPr>
          <w:rFonts w:asciiTheme="majorBidi" w:hAnsiTheme="majorBidi" w:cstheme="majorBidi"/>
        </w:rPr>
        <w:t xml:space="preserve"> LDCs' capacity to attract and retain multi-stakeholder investment, including from the private sector and philanthropy, to expand and diversify their STI and digital solution capabilities.</w:t>
      </w:r>
    </w:p>
    <w:p w14:paraId="529271A5" w14:textId="77777777" w:rsidR="00D52A21" w:rsidRPr="00D52A21" w:rsidRDefault="004569EF" w:rsidP="005F1C57">
      <w:pPr>
        <w:jc w:val="both"/>
        <w:rPr>
          <w:rFonts w:asciiTheme="majorBidi" w:hAnsiTheme="majorBidi" w:cstheme="majorBidi"/>
        </w:rPr>
      </w:pPr>
      <w:r w:rsidRPr="00D52A21">
        <w:rPr>
          <w:rFonts w:asciiTheme="majorBidi" w:hAnsiTheme="majorBidi" w:cstheme="majorBidi"/>
        </w:rPr>
        <w:t xml:space="preserve">In closing, we would like to reiterate that </w:t>
      </w:r>
      <w:r w:rsidR="00EF3B53" w:rsidRPr="00D52A21">
        <w:rPr>
          <w:rFonts w:asciiTheme="majorBidi" w:hAnsiTheme="majorBidi" w:cstheme="majorBidi"/>
        </w:rPr>
        <w:t>FfD4 must prioritize technology, innovation, and data to advance financial inclusion and development objectives for the most vulnerable and furthest behind.</w:t>
      </w:r>
    </w:p>
    <w:p w14:paraId="5083225E" w14:textId="77777777" w:rsidR="00D52A21" w:rsidRPr="00D52A21" w:rsidRDefault="00EF3B53" w:rsidP="005F1C57">
      <w:pPr>
        <w:jc w:val="both"/>
        <w:rPr>
          <w:rFonts w:asciiTheme="majorBidi" w:hAnsiTheme="majorBidi" w:cstheme="majorBidi"/>
        </w:rPr>
      </w:pPr>
      <w:r w:rsidRPr="00D52A21">
        <w:rPr>
          <w:rFonts w:asciiTheme="majorBidi" w:hAnsiTheme="majorBidi" w:cstheme="majorBidi"/>
        </w:rPr>
        <w:t>We urge the international community to recognize the unique challenges faced by LDCs and to strengthen commitments in the areas highlighted. By doing so, we can ensure that the benefits of STI are equitably distributed, fostering inclusive and sustainable development for all.</w:t>
      </w:r>
    </w:p>
    <w:p w14:paraId="4F011BC0" w14:textId="571EB7EF" w:rsidR="00A434B3" w:rsidRPr="00D52A21" w:rsidRDefault="00EF3B53" w:rsidP="005F1C57">
      <w:pPr>
        <w:jc w:val="both"/>
        <w:rPr>
          <w:rFonts w:asciiTheme="majorBidi" w:hAnsiTheme="majorBidi" w:cstheme="majorBidi"/>
        </w:rPr>
      </w:pPr>
      <w:r w:rsidRPr="00D52A21">
        <w:rPr>
          <w:rFonts w:asciiTheme="majorBidi" w:hAnsiTheme="majorBidi" w:cstheme="majorBidi"/>
        </w:rPr>
        <w:t>Thank you.</w:t>
      </w:r>
    </w:p>
    <w:sectPr w:rsidR="00A434B3" w:rsidRPr="00D5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DC0"/>
    <w:multiLevelType w:val="multilevel"/>
    <w:tmpl w:val="3A7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7792B"/>
    <w:multiLevelType w:val="multilevel"/>
    <w:tmpl w:val="7CC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F79EE"/>
    <w:multiLevelType w:val="multilevel"/>
    <w:tmpl w:val="D8D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B6FC5"/>
    <w:multiLevelType w:val="multilevel"/>
    <w:tmpl w:val="6A46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9353CD"/>
    <w:multiLevelType w:val="multilevel"/>
    <w:tmpl w:val="391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7594A"/>
    <w:multiLevelType w:val="multilevel"/>
    <w:tmpl w:val="48C8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63307"/>
    <w:multiLevelType w:val="multilevel"/>
    <w:tmpl w:val="895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01464E"/>
    <w:multiLevelType w:val="multilevel"/>
    <w:tmpl w:val="C5F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757C90"/>
    <w:multiLevelType w:val="multilevel"/>
    <w:tmpl w:val="DD8A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480A07"/>
    <w:multiLevelType w:val="multilevel"/>
    <w:tmpl w:val="B1C097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26E8D"/>
    <w:multiLevelType w:val="multilevel"/>
    <w:tmpl w:val="EFF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0E47E4"/>
    <w:multiLevelType w:val="multilevel"/>
    <w:tmpl w:val="94F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1623023">
    <w:abstractNumId w:val="5"/>
  </w:num>
  <w:num w:numId="2" w16cid:durableId="1846480335">
    <w:abstractNumId w:val="2"/>
  </w:num>
  <w:num w:numId="3" w16cid:durableId="2109542208">
    <w:abstractNumId w:val="0"/>
  </w:num>
  <w:num w:numId="4" w16cid:durableId="1513296175">
    <w:abstractNumId w:val="10"/>
  </w:num>
  <w:num w:numId="5" w16cid:durableId="735015311">
    <w:abstractNumId w:val="8"/>
  </w:num>
  <w:num w:numId="6" w16cid:durableId="571548801">
    <w:abstractNumId w:val="4"/>
  </w:num>
  <w:num w:numId="7" w16cid:durableId="434597485">
    <w:abstractNumId w:val="1"/>
  </w:num>
  <w:num w:numId="8" w16cid:durableId="505829137">
    <w:abstractNumId w:val="7"/>
  </w:num>
  <w:num w:numId="9" w16cid:durableId="1503204729">
    <w:abstractNumId w:val="3"/>
  </w:num>
  <w:num w:numId="10" w16cid:durableId="959916333">
    <w:abstractNumId w:val="11"/>
  </w:num>
  <w:num w:numId="11" w16cid:durableId="1054425794">
    <w:abstractNumId w:val="6"/>
  </w:num>
  <w:num w:numId="12" w16cid:durableId="1643264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53"/>
    <w:rsid w:val="00081316"/>
    <w:rsid w:val="000B18B1"/>
    <w:rsid w:val="00145750"/>
    <w:rsid w:val="00220979"/>
    <w:rsid w:val="0022553C"/>
    <w:rsid w:val="003462B7"/>
    <w:rsid w:val="00355D89"/>
    <w:rsid w:val="0035788D"/>
    <w:rsid w:val="004569EF"/>
    <w:rsid w:val="00463ED5"/>
    <w:rsid w:val="004F6891"/>
    <w:rsid w:val="00551FD1"/>
    <w:rsid w:val="0056006D"/>
    <w:rsid w:val="005759A3"/>
    <w:rsid w:val="005B6667"/>
    <w:rsid w:val="005F1C57"/>
    <w:rsid w:val="006D7091"/>
    <w:rsid w:val="0072465A"/>
    <w:rsid w:val="007A277D"/>
    <w:rsid w:val="007B3A0A"/>
    <w:rsid w:val="00871796"/>
    <w:rsid w:val="00992841"/>
    <w:rsid w:val="00A434B3"/>
    <w:rsid w:val="00A60B67"/>
    <w:rsid w:val="00A779F9"/>
    <w:rsid w:val="00AF356E"/>
    <w:rsid w:val="00AF42A3"/>
    <w:rsid w:val="00B51892"/>
    <w:rsid w:val="00B76644"/>
    <w:rsid w:val="00C31362"/>
    <w:rsid w:val="00C741A1"/>
    <w:rsid w:val="00CB1C40"/>
    <w:rsid w:val="00CC4A2D"/>
    <w:rsid w:val="00CD5727"/>
    <w:rsid w:val="00D52A21"/>
    <w:rsid w:val="00D73ACE"/>
    <w:rsid w:val="00DE28EB"/>
    <w:rsid w:val="00E00609"/>
    <w:rsid w:val="00E10401"/>
    <w:rsid w:val="00EF3B53"/>
    <w:rsid w:val="00F17BC3"/>
    <w:rsid w:val="00F31217"/>
    <w:rsid w:val="00F53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56AF"/>
  <w15:chartTrackingRefBased/>
  <w15:docId w15:val="{11B895D8-F79A-453F-9E15-76DB676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B53"/>
    <w:rPr>
      <w:rFonts w:eastAsiaTheme="majorEastAsia" w:cstheme="majorBidi"/>
      <w:color w:val="272727" w:themeColor="text1" w:themeTint="D8"/>
    </w:rPr>
  </w:style>
  <w:style w:type="paragraph" w:styleId="Title">
    <w:name w:val="Title"/>
    <w:basedOn w:val="Normal"/>
    <w:next w:val="Normal"/>
    <w:link w:val="TitleChar"/>
    <w:uiPriority w:val="10"/>
    <w:qFormat/>
    <w:rsid w:val="00EF3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B53"/>
    <w:pPr>
      <w:spacing w:before="160"/>
      <w:jc w:val="center"/>
    </w:pPr>
    <w:rPr>
      <w:i/>
      <w:iCs/>
      <w:color w:val="404040" w:themeColor="text1" w:themeTint="BF"/>
    </w:rPr>
  </w:style>
  <w:style w:type="character" w:customStyle="1" w:styleId="QuoteChar">
    <w:name w:val="Quote Char"/>
    <w:basedOn w:val="DefaultParagraphFont"/>
    <w:link w:val="Quote"/>
    <w:uiPriority w:val="29"/>
    <w:rsid w:val="00EF3B53"/>
    <w:rPr>
      <w:i/>
      <w:iCs/>
      <w:color w:val="404040" w:themeColor="text1" w:themeTint="BF"/>
    </w:rPr>
  </w:style>
  <w:style w:type="paragraph" w:styleId="ListParagraph">
    <w:name w:val="List Paragraph"/>
    <w:basedOn w:val="Normal"/>
    <w:uiPriority w:val="34"/>
    <w:qFormat/>
    <w:rsid w:val="00EF3B53"/>
    <w:pPr>
      <w:ind w:left="720"/>
      <w:contextualSpacing/>
    </w:pPr>
  </w:style>
  <w:style w:type="character" w:styleId="IntenseEmphasis">
    <w:name w:val="Intense Emphasis"/>
    <w:basedOn w:val="DefaultParagraphFont"/>
    <w:uiPriority w:val="21"/>
    <w:qFormat/>
    <w:rsid w:val="00EF3B53"/>
    <w:rPr>
      <w:i/>
      <w:iCs/>
      <w:color w:val="0F4761" w:themeColor="accent1" w:themeShade="BF"/>
    </w:rPr>
  </w:style>
  <w:style w:type="paragraph" w:styleId="IntenseQuote">
    <w:name w:val="Intense Quote"/>
    <w:basedOn w:val="Normal"/>
    <w:next w:val="Normal"/>
    <w:link w:val="IntenseQuoteChar"/>
    <w:uiPriority w:val="30"/>
    <w:qFormat/>
    <w:rsid w:val="00EF3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B53"/>
    <w:rPr>
      <w:i/>
      <w:iCs/>
      <w:color w:val="0F4761" w:themeColor="accent1" w:themeShade="BF"/>
    </w:rPr>
  </w:style>
  <w:style w:type="character" w:styleId="IntenseReference">
    <w:name w:val="Intense Reference"/>
    <w:basedOn w:val="DefaultParagraphFont"/>
    <w:uiPriority w:val="32"/>
    <w:qFormat/>
    <w:rsid w:val="00EF3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1395">
      <w:bodyDiv w:val="1"/>
      <w:marLeft w:val="0"/>
      <w:marRight w:val="0"/>
      <w:marTop w:val="0"/>
      <w:marBottom w:val="0"/>
      <w:divBdr>
        <w:top w:val="none" w:sz="0" w:space="0" w:color="auto"/>
        <w:left w:val="none" w:sz="0" w:space="0" w:color="auto"/>
        <w:bottom w:val="none" w:sz="0" w:space="0" w:color="auto"/>
        <w:right w:val="none" w:sz="0" w:space="0" w:color="auto"/>
      </w:divBdr>
    </w:div>
    <w:div w:id="644238500">
      <w:bodyDiv w:val="1"/>
      <w:marLeft w:val="0"/>
      <w:marRight w:val="0"/>
      <w:marTop w:val="0"/>
      <w:marBottom w:val="0"/>
      <w:divBdr>
        <w:top w:val="none" w:sz="0" w:space="0" w:color="auto"/>
        <w:left w:val="none" w:sz="0" w:space="0" w:color="auto"/>
        <w:bottom w:val="none" w:sz="0" w:space="0" w:color="auto"/>
        <w:right w:val="none" w:sz="0" w:space="0" w:color="auto"/>
      </w:divBdr>
      <w:divsChild>
        <w:div w:id="421266790">
          <w:marLeft w:val="0"/>
          <w:marRight w:val="0"/>
          <w:marTop w:val="0"/>
          <w:marBottom w:val="0"/>
          <w:divBdr>
            <w:top w:val="none" w:sz="0" w:space="0" w:color="auto"/>
            <w:left w:val="none" w:sz="0" w:space="0" w:color="auto"/>
            <w:bottom w:val="none" w:sz="0" w:space="0" w:color="auto"/>
            <w:right w:val="none" w:sz="0" w:space="0" w:color="auto"/>
          </w:divBdr>
        </w:div>
        <w:div w:id="376272968">
          <w:marLeft w:val="0"/>
          <w:marRight w:val="0"/>
          <w:marTop w:val="0"/>
          <w:marBottom w:val="0"/>
          <w:divBdr>
            <w:top w:val="none" w:sz="0" w:space="0" w:color="auto"/>
            <w:left w:val="none" w:sz="0" w:space="0" w:color="auto"/>
            <w:bottom w:val="none" w:sz="0" w:space="0" w:color="auto"/>
            <w:right w:val="none" w:sz="0" w:space="0" w:color="auto"/>
          </w:divBdr>
        </w:div>
        <w:div w:id="1030758380">
          <w:marLeft w:val="0"/>
          <w:marRight w:val="0"/>
          <w:marTop w:val="0"/>
          <w:marBottom w:val="0"/>
          <w:divBdr>
            <w:top w:val="none" w:sz="0" w:space="0" w:color="auto"/>
            <w:left w:val="none" w:sz="0" w:space="0" w:color="auto"/>
            <w:bottom w:val="none" w:sz="0" w:space="0" w:color="auto"/>
            <w:right w:val="none" w:sz="0" w:space="0" w:color="auto"/>
          </w:divBdr>
        </w:div>
        <w:div w:id="337729742">
          <w:marLeft w:val="0"/>
          <w:marRight w:val="0"/>
          <w:marTop w:val="0"/>
          <w:marBottom w:val="0"/>
          <w:divBdr>
            <w:top w:val="none" w:sz="0" w:space="0" w:color="auto"/>
            <w:left w:val="none" w:sz="0" w:space="0" w:color="auto"/>
            <w:bottom w:val="none" w:sz="0" w:space="0" w:color="auto"/>
            <w:right w:val="none" w:sz="0" w:space="0" w:color="auto"/>
          </w:divBdr>
        </w:div>
        <w:div w:id="362629746">
          <w:marLeft w:val="0"/>
          <w:marRight w:val="0"/>
          <w:marTop w:val="0"/>
          <w:marBottom w:val="0"/>
          <w:divBdr>
            <w:top w:val="none" w:sz="0" w:space="0" w:color="auto"/>
            <w:left w:val="none" w:sz="0" w:space="0" w:color="auto"/>
            <w:bottom w:val="none" w:sz="0" w:space="0" w:color="auto"/>
            <w:right w:val="none" w:sz="0" w:space="0" w:color="auto"/>
          </w:divBdr>
        </w:div>
        <w:div w:id="1787890403">
          <w:marLeft w:val="0"/>
          <w:marRight w:val="0"/>
          <w:marTop w:val="0"/>
          <w:marBottom w:val="0"/>
          <w:divBdr>
            <w:top w:val="none" w:sz="0" w:space="0" w:color="auto"/>
            <w:left w:val="none" w:sz="0" w:space="0" w:color="auto"/>
            <w:bottom w:val="none" w:sz="0" w:space="0" w:color="auto"/>
            <w:right w:val="none" w:sz="0" w:space="0" w:color="auto"/>
          </w:divBdr>
        </w:div>
        <w:div w:id="1192034353">
          <w:marLeft w:val="0"/>
          <w:marRight w:val="0"/>
          <w:marTop w:val="0"/>
          <w:marBottom w:val="0"/>
          <w:divBdr>
            <w:top w:val="none" w:sz="0" w:space="0" w:color="auto"/>
            <w:left w:val="none" w:sz="0" w:space="0" w:color="auto"/>
            <w:bottom w:val="none" w:sz="0" w:space="0" w:color="auto"/>
            <w:right w:val="none" w:sz="0" w:space="0" w:color="auto"/>
          </w:divBdr>
        </w:div>
        <w:div w:id="753359462">
          <w:marLeft w:val="0"/>
          <w:marRight w:val="0"/>
          <w:marTop w:val="0"/>
          <w:marBottom w:val="0"/>
          <w:divBdr>
            <w:top w:val="none" w:sz="0" w:space="0" w:color="auto"/>
            <w:left w:val="none" w:sz="0" w:space="0" w:color="auto"/>
            <w:bottom w:val="none" w:sz="0" w:space="0" w:color="auto"/>
            <w:right w:val="none" w:sz="0" w:space="0" w:color="auto"/>
          </w:divBdr>
        </w:div>
        <w:div w:id="62797038">
          <w:marLeft w:val="0"/>
          <w:marRight w:val="0"/>
          <w:marTop w:val="0"/>
          <w:marBottom w:val="0"/>
          <w:divBdr>
            <w:top w:val="none" w:sz="0" w:space="0" w:color="auto"/>
            <w:left w:val="none" w:sz="0" w:space="0" w:color="auto"/>
            <w:bottom w:val="none" w:sz="0" w:space="0" w:color="auto"/>
            <w:right w:val="none" w:sz="0" w:space="0" w:color="auto"/>
          </w:divBdr>
        </w:div>
      </w:divsChild>
    </w:div>
    <w:div w:id="1557858315">
      <w:bodyDiv w:val="1"/>
      <w:marLeft w:val="0"/>
      <w:marRight w:val="0"/>
      <w:marTop w:val="0"/>
      <w:marBottom w:val="0"/>
      <w:divBdr>
        <w:top w:val="none" w:sz="0" w:space="0" w:color="auto"/>
        <w:left w:val="none" w:sz="0" w:space="0" w:color="auto"/>
        <w:bottom w:val="none" w:sz="0" w:space="0" w:color="auto"/>
        <w:right w:val="none" w:sz="0" w:space="0" w:color="auto"/>
      </w:divBdr>
      <w:divsChild>
        <w:div w:id="1259680701">
          <w:marLeft w:val="0"/>
          <w:marRight w:val="0"/>
          <w:marTop w:val="0"/>
          <w:marBottom w:val="0"/>
          <w:divBdr>
            <w:top w:val="none" w:sz="0" w:space="0" w:color="auto"/>
            <w:left w:val="none" w:sz="0" w:space="0" w:color="auto"/>
            <w:bottom w:val="none" w:sz="0" w:space="0" w:color="auto"/>
            <w:right w:val="none" w:sz="0" w:space="0" w:color="auto"/>
          </w:divBdr>
        </w:div>
        <w:div w:id="2010979552">
          <w:marLeft w:val="0"/>
          <w:marRight w:val="0"/>
          <w:marTop w:val="0"/>
          <w:marBottom w:val="0"/>
          <w:divBdr>
            <w:top w:val="none" w:sz="0" w:space="0" w:color="auto"/>
            <w:left w:val="none" w:sz="0" w:space="0" w:color="auto"/>
            <w:bottom w:val="none" w:sz="0" w:space="0" w:color="auto"/>
            <w:right w:val="none" w:sz="0" w:space="0" w:color="auto"/>
          </w:divBdr>
        </w:div>
        <w:div w:id="1429231056">
          <w:marLeft w:val="0"/>
          <w:marRight w:val="0"/>
          <w:marTop w:val="0"/>
          <w:marBottom w:val="0"/>
          <w:divBdr>
            <w:top w:val="none" w:sz="0" w:space="0" w:color="auto"/>
            <w:left w:val="none" w:sz="0" w:space="0" w:color="auto"/>
            <w:bottom w:val="none" w:sz="0" w:space="0" w:color="auto"/>
            <w:right w:val="none" w:sz="0" w:space="0" w:color="auto"/>
          </w:divBdr>
        </w:div>
        <w:div w:id="295645245">
          <w:marLeft w:val="0"/>
          <w:marRight w:val="0"/>
          <w:marTop w:val="0"/>
          <w:marBottom w:val="0"/>
          <w:divBdr>
            <w:top w:val="none" w:sz="0" w:space="0" w:color="auto"/>
            <w:left w:val="none" w:sz="0" w:space="0" w:color="auto"/>
            <w:bottom w:val="none" w:sz="0" w:space="0" w:color="auto"/>
            <w:right w:val="none" w:sz="0" w:space="0" w:color="auto"/>
          </w:divBdr>
        </w:div>
        <w:div w:id="394551128">
          <w:marLeft w:val="0"/>
          <w:marRight w:val="0"/>
          <w:marTop w:val="0"/>
          <w:marBottom w:val="0"/>
          <w:divBdr>
            <w:top w:val="none" w:sz="0" w:space="0" w:color="auto"/>
            <w:left w:val="none" w:sz="0" w:space="0" w:color="auto"/>
            <w:bottom w:val="none" w:sz="0" w:space="0" w:color="auto"/>
            <w:right w:val="none" w:sz="0" w:space="0" w:color="auto"/>
          </w:divBdr>
        </w:div>
        <w:div w:id="1710691327">
          <w:marLeft w:val="0"/>
          <w:marRight w:val="0"/>
          <w:marTop w:val="0"/>
          <w:marBottom w:val="0"/>
          <w:divBdr>
            <w:top w:val="none" w:sz="0" w:space="0" w:color="auto"/>
            <w:left w:val="none" w:sz="0" w:space="0" w:color="auto"/>
            <w:bottom w:val="none" w:sz="0" w:space="0" w:color="auto"/>
            <w:right w:val="none" w:sz="0" w:space="0" w:color="auto"/>
          </w:divBdr>
        </w:div>
        <w:div w:id="121192528">
          <w:marLeft w:val="0"/>
          <w:marRight w:val="0"/>
          <w:marTop w:val="0"/>
          <w:marBottom w:val="0"/>
          <w:divBdr>
            <w:top w:val="none" w:sz="0" w:space="0" w:color="auto"/>
            <w:left w:val="none" w:sz="0" w:space="0" w:color="auto"/>
            <w:bottom w:val="none" w:sz="0" w:space="0" w:color="auto"/>
            <w:right w:val="none" w:sz="0" w:space="0" w:color="auto"/>
          </w:divBdr>
        </w:div>
        <w:div w:id="1325813264">
          <w:marLeft w:val="0"/>
          <w:marRight w:val="0"/>
          <w:marTop w:val="0"/>
          <w:marBottom w:val="0"/>
          <w:divBdr>
            <w:top w:val="none" w:sz="0" w:space="0" w:color="auto"/>
            <w:left w:val="none" w:sz="0" w:space="0" w:color="auto"/>
            <w:bottom w:val="none" w:sz="0" w:space="0" w:color="auto"/>
            <w:right w:val="none" w:sz="0" w:space="0" w:color="auto"/>
          </w:divBdr>
        </w:div>
        <w:div w:id="1506826485">
          <w:marLeft w:val="0"/>
          <w:marRight w:val="0"/>
          <w:marTop w:val="0"/>
          <w:marBottom w:val="0"/>
          <w:divBdr>
            <w:top w:val="none" w:sz="0" w:space="0" w:color="auto"/>
            <w:left w:val="none" w:sz="0" w:space="0" w:color="auto"/>
            <w:bottom w:val="none" w:sz="0" w:space="0" w:color="auto"/>
            <w:right w:val="none" w:sz="0" w:space="0" w:color="auto"/>
          </w:divBdr>
        </w:div>
      </w:divsChild>
    </w:div>
    <w:div w:id="20110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7C0BA08C-AE25-41D9-8817-DFDD688BA2A9}"/>
</file>

<file path=customXml/itemProps2.xml><?xml version="1.0" encoding="utf-8"?>
<ds:datastoreItem xmlns:ds="http://schemas.openxmlformats.org/officeDocument/2006/customXml" ds:itemID="{8F6E4E87-DAFA-4214-9EDF-09098F43DC08}"/>
</file>

<file path=customXml/itemProps3.xml><?xml version="1.0" encoding="utf-8"?>
<ds:datastoreItem xmlns:ds="http://schemas.openxmlformats.org/officeDocument/2006/customXml" ds:itemID="{B617030B-6633-4EC5-925C-5E6BA7FF2CB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Kaushal Kishor Ray</cp:lastModifiedBy>
  <cp:revision>2</cp:revision>
  <dcterms:created xsi:type="dcterms:W3CDTF">2025-02-14T01:47:00Z</dcterms:created>
  <dcterms:modified xsi:type="dcterms:W3CDTF">2025-02-14T01:47:00Z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